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fontTable.xml" ContentType="application/vnd.openxmlformats-officedocument.wordprocessingml.fontTable+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media/image4.jpeg" ContentType="image/jpeg"/>
  <Override PartName="/word/media/image3.jpeg" ContentType="image/jpeg"/>
  <Override PartName="/word/media/image2.jpeg" ContentType="image/jpeg"/>
  <Override PartName="/word/media/image1.jpeg" ContentType="image/jpeg"/>
  <Override PartName="/word/document.xml" ContentType="application/vnd.openxmlformats-officedocument.wordprocessingml.document.main+xml"/>
  <Override PartName="/word/numbering.xml" ContentType="application/vnd.openxmlformats-officedocument.wordprocessingml.numbering+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rPr/>
      </w:pPr>
      <w:r>
        <w:rPr/>
      </w:r>
      <w:bookmarkStart w:id="0" w:name="a2243128z424b2.htm"/>
      <w:bookmarkStart w:id="1" w:name="ksa2243128z424b2"/>
      <w:bookmarkStart w:id="2" w:name="a2243128z424b2.htm"/>
      <w:bookmarkStart w:id="3" w:name="ksa2243128z424b2"/>
      <w:bookmarkEnd w:id="2"/>
      <w:bookmarkEnd w:id="3"/>
    </w:p>
    <w:p>
      <w:pPr>
        <w:pStyle w:val="TextBody"/>
        <w:rPr/>
      </w:pPr>
      <w:r>
        <w:rPr>
          <w:sz w:val="24"/>
        </w:rPr>
        <w:t>Use these links to rapidly review the document</w:t>
        <w:br/>
      </w:r>
      <w:hyperlink w:anchor="be43504_table_of_contents">
        <w:r>
          <w:rPr>
            <w:rStyle w:val="InternetLink"/>
            <w:sz w:val="24"/>
          </w:rPr>
          <w:t>TABLE OF CONTENTS</w:t>
        </w:r>
      </w:hyperlink>
      <w:r>
        <w:rPr>
          <w:sz w:val="24"/>
        </w:rPr>
        <w:t xml:space="preserve"> </w:t>
        <w:br/>
      </w:r>
      <w:hyperlink w:anchor="dg43504_table_of_contents">
        <w:r>
          <w:rPr>
            <w:rStyle w:val="InternetLink"/>
            <w:sz w:val="24"/>
          </w:rPr>
          <w:t>TABLE OF CONTENTS</w:t>
        </w:r>
      </w:hyperlink>
    </w:p>
    <w:p>
      <w:pPr>
        <w:pStyle w:val="TextBody"/>
        <w:rPr/>
      </w:pPr>
      <w:hyperlink w:anchor="bE43504A_main_toc">
        <w:r>
          <w:rPr>
            <w:rStyle w:val="InternetLink"/>
            <w:rFonts w:ascii="times" w:hAnsi="times"/>
            <w:sz w:val="20"/>
          </w:rPr>
          <w:t>Table of Contents</w:t>
        </w:r>
      </w:hyperlink>
      <w:r>
        <w:rPr>
          <w:rFonts w:ascii="times" w:hAnsi="times"/>
          <w:sz w:val="20"/>
        </w:rPr>
        <w:t xml:space="preserve"> </w:t>
      </w:r>
    </w:p>
    <w:p>
      <w:pPr>
        <w:pStyle w:val="TextBody"/>
        <w:jc w:val="right"/>
        <w:rPr>
          <w:rFonts w:ascii="times" w:hAnsi="times"/>
          <w:b/>
          <w:sz w:val="20"/>
        </w:rPr>
      </w:pPr>
      <w:r>
        <w:rPr>
          <w:rFonts w:ascii="times" w:hAnsi="times"/>
          <w:b/>
          <w:sz w:val="20"/>
        </w:rPr>
        <w:t>Filed Pursuant to Rule 424(b)(2)</w:t>
        <w:br/>
        <w:t>Registration No. 333-249399</w:t>
      </w:r>
    </w:p>
    <w:p>
      <w:pPr>
        <w:pStyle w:val="TextBody"/>
        <w:rPr>
          <w:rFonts w:ascii="times" w:hAnsi="times"/>
          <w:b/>
          <w:sz w:val="20"/>
        </w:rPr>
      </w:pPr>
      <w:r>
        <w:rPr>
          <w:rFonts w:ascii="times" w:hAnsi="times"/>
          <w:b/>
          <w:sz w:val="20"/>
        </w:rPr>
        <w:t>PROSPECTUS SUPPLEMENT</w:t>
        <w:br/>
        <w:t>(To Prospectus Dated October 9, 2020)</w:t>
      </w:r>
    </w:p>
    <w:p>
      <w:pPr>
        <w:pStyle w:val="TextBody"/>
        <w:jc w:val="center"/>
        <w:rPr/>
      </w:pPr>
      <w:r>
        <w:rPr/>
        <w:drawing>
          <wp:inline distT="0" distB="0" distL="0" distR="0">
            <wp:extent cx="1466850" cy="10572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466850" cy="1057275"/>
                    </a:xfrm>
                    <a:prstGeom prst="rect">
                      <a:avLst/>
                    </a:prstGeom>
                  </pic:spPr>
                </pic:pic>
              </a:graphicData>
            </a:graphic>
          </wp:inline>
        </w:drawing>
      </w:r>
      <w:r>
        <w:rPr/>
        <w:t xml:space="preserve"> </w:t>
      </w:r>
    </w:p>
    <w:p>
      <w:pPr>
        <w:pStyle w:val="TextBody"/>
        <w:jc w:val="center"/>
        <w:rPr>
          <w:rFonts w:ascii="times" w:hAnsi="times"/>
          <w:b/>
          <w:sz w:val="28"/>
        </w:rPr>
      </w:pPr>
      <w:r>
        <w:rPr>
          <w:rFonts w:ascii="times" w:hAnsi="times"/>
          <w:b/>
          <w:sz w:val="28"/>
        </w:rPr>
        <w:t>GasLog Partners LP</w:t>
      </w:r>
    </w:p>
    <w:p>
      <w:pPr>
        <w:pStyle w:val="TextBody"/>
        <w:jc w:val="center"/>
        <w:rPr>
          <w:rFonts w:ascii="times" w:hAnsi="times"/>
          <w:b/>
          <w:sz w:val="24"/>
        </w:rPr>
      </w:pPr>
      <w:r>
        <w:rPr>
          <w:rFonts w:ascii="times" w:hAnsi="times"/>
          <w:b/>
          <w:sz w:val="24"/>
        </w:rPr>
        <w:t>Common Units Representing Limited Partner Interests</w:t>
        <w:br/>
        <w:t>Having an Aggregate Offering Price of up to $250,000,000</w:t>
      </w:r>
    </w:p>
    <w:p>
      <w:pPr>
        <w:pStyle w:val="TextBody"/>
        <w:rPr>
          <w:rFonts w:ascii="times" w:hAnsi="times"/>
          <w:sz w:val="20"/>
        </w:rPr>
      </w:pPr>
      <w:r>
        <w:rPr>
          <w:rFonts w:ascii="times" w:hAnsi="times"/>
          <w:sz w:val="20"/>
        </w:rPr>
        <w:t xml:space="preserve">We have entered into a fourth amended and restated equity distribution agreement (the "Fourth Amended and Restated Equity Distribution Agreement") with Credit Agricole Securities (USA) Inc. and Stifel, Nicolaus &amp; Company, Incorporated relating to the common units representing limited partner interests in GasLog Partners LP offered by this prospectus supplement and the accompanying prospectus. In accordance with the terms of the Fourth Amended and Restated Equity Distribution Agreement, we may offer and sell common units having an aggregate offering price of up to $250,000,000 from time to time through Credit Agricole Securities (USA) Inc. and Stifel, Nicolaus &amp; Company, Incorporated as our sales agents. As of the date of this prospectus supplement, we have issued and sold common units having an aggregate offering price of $123,444,179, which means that we may sell common units having an aggregate offering price of up to $126,555,821. </w:t>
      </w:r>
    </w:p>
    <w:p>
      <w:pPr>
        <w:pStyle w:val="TextBody"/>
        <w:rPr>
          <w:rFonts w:ascii="times" w:hAnsi="times"/>
          <w:sz w:val="20"/>
        </w:rPr>
      </w:pPr>
      <w:r>
        <w:rPr>
          <w:rFonts w:ascii="times" w:hAnsi="times"/>
          <w:sz w:val="20"/>
        </w:rPr>
        <w:t xml:space="preserve">Sales of the common units, if any, will be made by means of ordinary brokers' transactions on the New York Stock Exchange, or the NYSE, at market prices, in block transactions, or as otherwise agreed upon by the sales agents and us. </w:t>
      </w:r>
    </w:p>
    <w:p>
      <w:pPr>
        <w:pStyle w:val="TextBody"/>
        <w:rPr>
          <w:rFonts w:ascii="times" w:hAnsi="times"/>
          <w:sz w:val="20"/>
        </w:rPr>
      </w:pPr>
      <w:r>
        <w:rPr>
          <w:rFonts w:ascii="times" w:hAnsi="times"/>
          <w:sz w:val="20"/>
        </w:rPr>
        <w:t xml:space="preserve">We will pay the sales agents a commission of up to 2.0% of the gross sales price per unit sold through them as sales agents under the Fourth Amended and Restated Equity Distribution Agreement. </w:t>
      </w:r>
    </w:p>
    <w:p>
      <w:pPr>
        <w:pStyle w:val="TextBody"/>
        <w:rPr>
          <w:rFonts w:ascii="times" w:hAnsi="times"/>
          <w:sz w:val="20"/>
        </w:rPr>
      </w:pPr>
      <w:r>
        <w:rPr>
          <w:rFonts w:ascii="times" w:hAnsi="times"/>
          <w:sz w:val="20"/>
        </w:rPr>
        <w:t xml:space="preserve">Under the terms of the Fourth Amended and Restated Equity Distribution Agreement, we also may sell common units to the sales agents as principals for their own account at a price agreed upon at the time of sale. If we sell common units to the sales agents as principals, we will enter into a separate terms agreement with the sales agents, and we will describe this agreement in a separate prospectus supplement or pricing supplement. </w:t>
      </w:r>
    </w:p>
    <w:p>
      <w:pPr>
        <w:pStyle w:val="TextBody"/>
        <w:rPr>
          <w:rFonts w:ascii="times" w:hAnsi="times"/>
          <w:sz w:val="20"/>
        </w:rPr>
      </w:pPr>
      <w:r>
        <w:rPr>
          <w:rFonts w:ascii="times" w:hAnsi="times"/>
          <w:sz w:val="20"/>
        </w:rPr>
        <w:t xml:space="preserve">The sales agents are not required to sell any specific number or dollar amount of our common units but will use their reasonable efforts, as our agents and subject to the terms of the Fourth Amended and Restated Equity Distribution Agreement, to sell the common units offered, as instructed by us. The offering of our common units pursuant to the Fourth Amended and Restated Equity Distribution Agreement will terminate upon the earlier of (1) the sale of all of the common units subject to the Fourth Amended and Restated Equity Distribution Agreement and (2) the termination of the Fourth Amended and Restated Equity Distribution Agreement by either the sales agents or us. </w:t>
      </w:r>
    </w:p>
    <w:p>
      <w:pPr>
        <w:pStyle w:val="TextBody"/>
        <w:rPr>
          <w:rFonts w:ascii="times" w:hAnsi="times"/>
          <w:sz w:val="20"/>
        </w:rPr>
      </w:pPr>
      <w:r>
        <w:rPr>
          <w:rFonts w:ascii="times" w:hAnsi="times"/>
          <w:sz w:val="20"/>
        </w:rPr>
        <w:t xml:space="preserve">Our common units are listed on the New York Stock Exchange under the symbol "GLOP". The last reported sales price of our common units on the New York Stock Exchange on March 30, 2021 was $2.76. </w:t>
      </w:r>
    </w:p>
    <w:p>
      <w:pPr>
        <w:pStyle w:val="TextBody"/>
        <w:rPr>
          <w:rFonts w:ascii="times" w:hAnsi="times"/>
          <w:b/>
          <w:sz w:val="20"/>
        </w:rPr>
      </w:pPr>
      <w:r>
        <w:rPr>
          <w:rFonts w:ascii="times" w:hAnsi="times"/>
          <w:b/>
          <w:sz w:val="20"/>
        </w:rPr>
        <w:t>Investing in our common units involves risks. Limited partnerships are inherently different from corporations. See "Risk Factors" beginning on page S-23 of this prospectus supplement and page 11 of our Annual Report on Form 20-F.</w:t>
      </w:r>
    </w:p>
    <w:p>
      <w:pPr>
        <w:pStyle w:val="TextBody"/>
        <w:rPr>
          <w:rFonts w:ascii="times" w:hAnsi="times"/>
          <w:sz w:val="20"/>
        </w:rPr>
      </w:pPr>
      <w:r>
        <w:rPr>
          <w:rFonts w:ascii="times" w:hAnsi="times"/>
          <w:sz w:val="20"/>
        </w:rPr>
        <w:t xml:space="preserve">Neither the Securities and Exchange Commission nor any state securities commission has approved or disapproved of these securities or determined if this prospectus supplement or the accompanying base prospectus is truthful or complete. Any representation to the contrary is a criminal offense. </w:t>
      </w:r>
    </w:p>
    <w:p>
      <w:pPr>
        <w:pStyle w:val="HorizontalLine"/>
        <w:pBdr>
          <w:bottom w:val="single" w:sz="6" w:space="0" w:color="000000"/>
        </w:pBdr>
        <w:ind w:left="3572" w:right="3572" w:hanging="0"/>
        <w:rPr/>
      </w:pPr>
      <w:r>
        <w:rPr/>
      </w:r>
    </w:p>
    <w:p>
      <w:pPr>
        <w:pStyle w:val="TextBody"/>
        <w:rPr>
          <w:sz w:val="20"/>
        </w:rPr>
      </w:pPr>
      <w:r>
        <w:rPr>
          <w:sz w:val="20"/>
        </w:rPr>
      </w:r>
    </w:p>
    <w:tbl>
      <w:tblPr>
        <w:tblW w:w="5000" w:type="pct"/>
        <w:jc w:val="center"/>
        <w:tblInd w:w="0" w:type="dxa"/>
        <w:tblCellMar>
          <w:top w:w="0" w:type="dxa"/>
          <w:left w:w="0" w:type="dxa"/>
          <w:bottom w:w="0" w:type="dxa"/>
          <w:right w:w="0" w:type="dxa"/>
        </w:tblCellMar>
      </w:tblPr>
      <w:tblGrid>
        <w:gridCol w:w="5072"/>
        <w:gridCol w:w="60"/>
        <w:gridCol w:w="5073"/>
      </w:tblGrid>
      <w:tr>
        <w:trPr/>
        <w:tc>
          <w:tcPr>
            <w:tcW w:w="5072"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5073" w:type="dxa"/>
            <w:tcBorders/>
            <w:shd w:fill="auto" w:val="clear"/>
            <w:vAlign w:val="center"/>
          </w:tcPr>
          <w:p>
            <w:pPr>
              <w:pStyle w:val="TableContents"/>
              <w:spacing w:before="0" w:after="283"/>
              <w:rPr>
                <w:sz w:val="4"/>
                <w:szCs w:val="4"/>
              </w:rPr>
            </w:pPr>
            <w:r>
              <w:rPr>
                <w:sz w:val="4"/>
                <w:szCs w:val="4"/>
              </w:rPr>
            </w:r>
          </w:p>
        </w:tc>
      </w:tr>
      <w:tr>
        <w:trPr/>
        <w:tc>
          <w:tcPr>
            <w:tcW w:w="5072" w:type="dxa"/>
            <w:tcBorders/>
            <w:shd w:fill="auto" w:val="clear"/>
          </w:tcPr>
          <w:p>
            <w:pPr>
              <w:pStyle w:val="TableContents"/>
              <w:spacing w:before="0" w:after="283"/>
              <w:jc w:val="center"/>
              <w:rPr>
                <w:rFonts w:ascii="times" w:hAnsi="times"/>
                <w:b/>
                <w:sz w:val="20"/>
              </w:rPr>
            </w:pPr>
            <w:r>
              <w:rPr>
                <w:rFonts w:ascii="times" w:hAnsi="times"/>
                <w:b/>
                <w:sz w:val="20"/>
              </w:rPr>
              <w:t>Credit Agricole CIB</w:t>
            </w:r>
          </w:p>
        </w:tc>
        <w:tc>
          <w:tcPr>
            <w:tcW w:w="60" w:type="dxa"/>
            <w:tcBorders/>
            <w:shd w:fill="auto" w:val="clear"/>
          </w:tcPr>
          <w:p>
            <w:pPr>
              <w:pStyle w:val="TableContents"/>
              <w:spacing w:before="0" w:after="283"/>
              <w:rPr/>
            </w:pPr>
            <w:r>
              <w:rPr/>
              <w:t> </w:t>
            </w:r>
          </w:p>
        </w:tc>
        <w:tc>
          <w:tcPr>
            <w:tcW w:w="5073" w:type="dxa"/>
            <w:tcBorders/>
            <w:shd w:fill="auto" w:val="clear"/>
          </w:tcPr>
          <w:p>
            <w:pPr>
              <w:pStyle w:val="TableContents"/>
              <w:spacing w:before="0" w:after="283"/>
              <w:jc w:val="center"/>
              <w:rPr>
                <w:rFonts w:ascii="times" w:hAnsi="times"/>
                <w:b/>
                <w:sz w:val="20"/>
              </w:rPr>
            </w:pPr>
            <w:r>
              <w:rPr>
                <w:rFonts w:ascii="times" w:hAnsi="times"/>
                <w:b/>
                <w:sz w:val="20"/>
              </w:rPr>
              <w:t>Stifel</w:t>
            </w:r>
          </w:p>
        </w:tc>
      </w:tr>
    </w:tbl>
    <w:p>
      <w:pPr>
        <w:pStyle w:val="TextBody"/>
        <w:jc w:val="center"/>
        <w:rPr>
          <w:rFonts w:ascii="times" w:hAnsi="times"/>
          <w:sz w:val="20"/>
        </w:rPr>
      </w:pPr>
      <w:r>
        <w:rPr>
          <w:rFonts w:ascii="times" w:hAnsi="times"/>
          <w:sz w:val="20"/>
        </w:rPr>
        <w:t xml:space="preserve">March 31, 2021 </w:t>
      </w:r>
    </w:p>
    <w:p>
      <w:pPr>
        <w:pStyle w:val="HorizontalLine"/>
        <w:pBdr>
          <w:bottom w:val="single" w:sz="20" w:space="0" w:color="808080"/>
        </w:pBdr>
        <w:rPr/>
      </w:pPr>
      <w:r>
        <w:rPr/>
      </w:r>
      <w:r>
        <w:br w:type="page"/>
      </w:r>
    </w:p>
    <w:p>
      <w:pPr>
        <w:pStyle w:val="TextBody"/>
        <w:rPr/>
      </w:pPr>
      <w:hyperlink w:anchor="bE43504A_main_toc">
        <w:r>
          <w:rPr>
            <w:rStyle w:val="InternetLink"/>
            <w:rFonts w:ascii="times" w:hAnsi="times"/>
            <w:sz w:val="20"/>
          </w:rPr>
          <w:t>Table of Contents</w:t>
        </w:r>
      </w:hyperlink>
      <w:r>
        <w:rPr>
          <w:rFonts w:ascii="times" w:hAnsi="times"/>
          <w:sz w:val="20"/>
        </w:rPr>
        <w:t xml:space="preserve"> </w:t>
      </w:r>
    </w:p>
    <w:p>
      <w:pPr>
        <w:pStyle w:val="TextBody"/>
        <w:jc w:val="center"/>
        <w:rPr/>
      </w:pPr>
      <w:r>
        <w:rPr/>
        <w:drawing>
          <wp:inline distT="0" distB="0" distL="0" distR="0">
            <wp:extent cx="6515100" cy="84867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6515100" cy="8486775"/>
                    </a:xfrm>
                    <a:prstGeom prst="rect">
                      <a:avLst/>
                    </a:prstGeom>
                  </pic:spPr>
                </pic:pic>
              </a:graphicData>
            </a:graphic>
          </wp:inline>
        </w:drawing>
      </w:r>
      <w:r>
        <w:rPr/>
        <w:t xml:space="preserve"> </w:t>
      </w:r>
    </w:p>
    <w:p>
      <w:pPr>
        <w:pStyle w:val="HorizontalLine"/>
        <w:pBdr>
          <w:bottom w:val="single" w:sz="20" w:space="0" w:color="808080"/>
        </w:pBdr>
        <w:rPr/>
      </w:pPr>
      <w:r>
        <w:rPr/>
      </w:r>
      <w:r>
        <w:br w:type="page"/>
      </w:r>
    </w:p>
    <w:p>
      <w:pPr>
        <w:pStyle w:val="TextBody"/>
        <w:rPr/>
      </w:pPr>
      <w:hyperlink w:anchor="bE43504A_main_toc">
        <w:bookmarkStart w:id="4" w:name="BE43504A_main_toc"/>
        <w:bookmarkStart w:id="5" w:name="page_be43504_1_1"/>
        <w:bookmarkEnd w:id="4"/>
        <w:bookmarkEnd w:id="5"/>
        <w:r>
          <w:rPr>
            <w:rStyle w:val="InternetLink"/>
            <w:rFonts w:ascii="times" w:hAnsi="times"/>
            <w:sz w:val="20"/>
          </w:rPr>
          <w:t>Table of Contents</w:t>
        </w:r>
      </w:hyperlink>
      <w:r>
        <w:rPr>
          <w:rFonts w:ascii="times" w:hAnsi="times"/>
          <w:sz w:val="20"/>
        </w:rPr>
        <w:t xml:space="preserve"> </w:t>
      </w:r>
    </w:p>
    <w:p>
      <w:pPr>
        <w:pStyle w:val="TextBody"/>
        <w:jc w:val="center"/>
        <w:rPr>
          <w:rFonts w:ascii="times" w:hAnsi="times"/>
        </w:rPr>
      </w:pPr>
      <w:bookmarkStart w:id="6" w:name="be43504_table_of_contents"/>
      <w:bookmarkEnd w:id="6"/>
      <w:r>
        <w:rPr>
          <w:rFonts w:ascii="times" w:hAnsi="times"/>
          <w:sz w:val="20"/>
        </w:rPr>
        <w:br/>
      </w:r>
      <w:r>
        <w:rPr>
          <w:rFonts w:ascii="times" w:hAnsi="times"/>
          <w:b/>
          <w:sz w:val="20"/>
        </w:rPr>
        <w:t xml:space="preserve">TABLE OF CONTENTS </w:t>
      </w:r>
    </w:p>
    <w:p>
      <w:pPr>
        <w:pStyle w:val="Normal"/>
        <w:spacing w:before="0" w:after="0"/>
        <w:rPr>
          <w:sz w:val="4"/>
          <w:szCs w:val="4"/>
        </w:rPr>
      </w:pPr>
      <w:r>
        <w:rPr>
          <w:sz w:val="4"/>
          <w:szCs w:val="4"/>
        </w:rPr>
      </w:r>
      <w:bookmarkStart w:id="7" w:name="BE43504_TOC"/>
      <w:bookmarkStart w:id="8" w:name="BE43504_TOC"/>
      <w:bookmarkEnd w:id="8"/>
    </w:p>
    <w:tbl>
      <w:tblPr>
        <w:tblW w:w="5000" w:type="pct"/>
        <w:jc w:val="center"/>
        <w:tblInd w:w="0" w:type="dxa"/>
        <w:tblCellMar>
          <w:top w:w="0" w:type="dxa"/>
          <w:left w:w="0" w:type="dxa"/>
          <w:bottom w:w="0" w:type="dxa"/>
          <w:right w:w="0" w:type="dxa"/>
        </w:tblCellMar>
      </w:tblPr>
      <w:tblGrid>
        <w:gridCol w:w="9040"/>
        <w:gridCol w:w="241"/>
        <w:gridCol w:w="141"/>
        <w:gridCol w:w="542"/>
        <w:gridCol w:w="241"/>
      </w:tblGrid>
      <w:tr>
        <w:trPr/>
        <w:tc>
          <w:tcPr>
            <w:tcW w:w="9040" w:type="dxa"/>
            <w:tcBorders/>
            <w:shd w:fill="auto" w:val="clear"/>
            <w:vAlign w:val="center"/>
          </w:tcPr>
          <w:p>
            <w:pPr>
              <w:pStyle w:val="TableContents"/>
              <w:spacing w:before="0" w:after="283"/>
              <w:rPr>
                <w:sz w:val="4"/>
                <w:szCs w:val="4"/>
              </w:rPr>
            </w:pPr>
            <w:r>
              <w:rPr>
                <w:sz w:val="4"/>
                <w:szCs w:val="4"/>
              </w:rPr>
            </w:r>
          </w:p>
        </w:tc>
        <w:tc>
          <w:tcPr>
            <w:tcW w:w="241" w:type="dxa"/>
            <w:tcBorders/>
            <w:shd w:fill="auto" w:val="clear"/>
            <w:vAlign w:val="center"/>
          </w:tcPr>
          <w:p>
            <w:pPr>
              <w:pStyle w:val="TableContents"/>
              <w:spacing w:before="0" w:after="283"/>
              <w:rPr>
                <w:sz w:val="4"/>
                <w:szCs w:val="4"/>
              </w:rPr>
            </w:pPr>
            <w:r>
              <w:rPr>
                <w:sz w:val="4"/>
                <w:szCs w:val="4"/>
              </w:rPr>
            </w:r>
          </w:p>
        </w:tc>
        <w:tc>
          <w:tcPr>
            <w:tcW w:w="141" w:type="dxa"/>
            <w:tcBorders/>
            <w:shd w:fill="auto" w:val="clear"/>
            <w:vAlign w:val="center"/>
          </w:tcPr>
          <w:p>
            <w:pPr>
              <w:pStyle w:val="TableContents"/>
              <w:spacing w:before="0" w:after="283"/>
              <w:rPr>
                <w:sz w:val="4"/>
                <w:szCs w:val="4"/>
              </w:rPr>
            </w:pPr>
            <w:r>
              <w:rPr>
                <w:sz w:val="4"/>
                <w:szCs w:val="4"/>
              </w:rPr>
            </w:r>
          </w:p>
        </w:tc>
        <w:tc>
          <w:tcPr>
            <w:tcW w:w="542" w:type="dxa"/>
            <w:tcBorders/>
            <w:shd w:fill="auto" w:val="clear"/>
            <w:vAlign w:val="center"/>
          </w:tcPr>
          <w:p>
            <w:pPr>
              <w:pStyle w:val="TableContents"/>
              <w:spacing w:before="0" w:after="283"/>
              <w:rPr>
                <w:sz w:val="4"/>
                <w:szCs w:val="4"/>
              </w:rPr>
            </w:pPr>
            <w:r>
              <w:rPr>
                <w:sz w:val="4"/>
                <w:szCs w:val="4"/>
              </w:rPr>
            </w:r>
          </w:p>
        </w:tc>
        <w:tc>
          <w:tcPr>
            <w:tcW w:w="241" w:type="dxa"/>
            <w:tcBorders/>
            <w:shd w:fill="auto" w:val="clear"/>
            <w:vAlign w:val="center"/>
          </w:tcPr>
          <w:p>
            <w:pPr>
              <w:pStyle w:val="TableContents"/>
              <w:spacing w:before="0" w:after="283"/>
              <w:rPr>
                <w:sz w:val="4"/>
                <w:szCs w:val="4"/>
              </w:rPr>
            </w:pPr>
            <w:r>
              <w:rPr>
                <w:sz w:val="4"/>
                <w:szCs w:val="4"/>
              </w:rPr>
            </w:r>
          </w:p>
        </w:tc>
      </w:tr>
      <w:tr>
        <w:trPr/>
        <w:tc>
          <w:tcPr>
            <w:tcW w:w="9040" w:type="dxa"/>
            <w:tcBorders/>
            <w:shd w:fill="auto" w:val="clear"/>
          </w:tcPr>
          <w:p>
            <w:pPr>
              <w:pStyle w:val="TableContents"/>
              <w:spacing w:before="0" w:after="283"/>
              <w:ind w:left="200" w:right="0" w:hanging="200"/>
              <w:rPr>
                <w:rFonts w:ascii="times" w:hAnsi="times"/>
                <w:b/>
                <w:sz w:val="20"/>
              </w:rPr>
            </w:pPr>
            <w:r>
              <w:rPr>
                <w:rFonts w:ascii="times" w:hAnsi="times"/>
                <w:b/>
                <w:sz w:val="20"/>
              </w:rPr>
              <w:t>PROSPECTUS SUPPLEMENT</w:t>
            </w:r>
          </w:p>
        </w:tc>
        <w:tc>
          <w:tcPr>
            <w:tcW w:w="241" w:type="dxa"/>
            <w:tcBorders/>
            <w:shd w:fill="auto" w:val="clear"/>
          </w:tcPr>
          <w:p>
            <w:pPr>
              <w:pStyle w:val="TableContents"/>
              <w:spacing w:before="0" w:after="283"/>
              <w:rPr/>
            </w:pPr>
            <w:r>
              <w:rPr/>
              <w:t> </w:t>
            </w:r>
          </w:p>
        </w:tc>
        <w:tc>
          <w:tcPr>
            <w:tcW w:w="141" w:type="dxa"/>
            <w:tcBorders/>
            <w:shd w:fill="auto" w:val="clear"/>
            <w:vAlign w:val="bottom"/>
          </w:tcPr>
          <w:p>
            <w:pPr>
              <w:pStyle w:val="TableContents"/>
              <w:spacing w:before="0" w:after="283"/>
              <w:rPr/>
            </w:pPr>
            <w:r>
              <w:rPr/>
              <w:t> </w:t>
            </w:r>
          </w:p>
        </w:tc>
        <w:tc>
          <w:tcPr>
            <w:tcW w:w="542" w:type="dxa"/>
            <w:tcBorders/>
            <w:shd w:fill="auto" w:val="clear"/>
            <w:vAlign w:val="bottom"/>
          </w:tcPr>
          <w:p>
            <w:pPr>
              <w:pStyle w:val="TableContents"/>
              <w:spacing w:before="0" w:after="283"/>
              <w:jc w:val="right"/>
              <w:rPr/>
            </w:pPr>
            <w:r>
              <w:rPr/>
              <w:t> </w:t>
            </w:r>
          </w:p>
        </w:tc>
        <w:tc>
          <w:tcPr>
            <w:tcW w:w="241" w:type="dxa"/>
            <w:tcBorders/>
            <w:shd w:fill="auto" w:val="clear"/>
            <w:vAlign w:val="bottom"/>
          </w:tcPr>
          <w:p>
            <w:pPr>
              <w:pStyle w:val="TableContents"/>
              <w:spacing w:before="0" w:after="283"/>
              <w:rPr/>
            </w:pPr>
            <w:r>
              <w:rPr/>
              <w:t> </w:t>
            </w:r>
          </w:p>
        </w:tc>
      </w:tr>
      <w:tr>
        <w:trPr/>
        <w:tc>
          <w:tcPr>
            <w:tcW w:w="9040" w:type="dxa"/>
            <w:tcBorders/>
            <w:shd w:fill="auto" w:val="clear"/>
          </w:tcPr>
          <w:p>
            <w:pPr>
              <w:pStyle w:val="TableContents"/>
              <w:spacing w:before="240" w:after="283"/>
              <w:ind w:left="200" w:right="0" w:hanging="200"/>
              <w:rPr/>
            </w:pPr>
            <w:hyperlink w:anchor="be43504_about_this_prospectus_supplement">
              <w:r>
                <w:rPr>
                  <w:rStyle w:val="InternetLink"/>
                  <w:rFonts w:ascii="times" w:hAnsi="times"/>
                  <w:sz w:val="20"/>
                </w:rPr>
                <w:t>ABOUT THIS PROSPECTUS SUPPLEMENT</w:t>
              </w:r>
            </w:hyperlink>
          </w:p>
        </w:tc>
        <w:tc>
          <w:tcPr>
            <w:tcW w:w="241" w:type="dxa"/>
            <w:tcBorders/>
            <w:shd w:fill="auto" w:val="clear"/>
          </w:tcPr>
          <w:p>
            <w:pPr>
              <w:pStyle w:val="TableContents"/>
              <w:spacing w:before="0" w:after="283"/>
              <w:rPr/>
            </w:pPr>
            <w:r>
              <w:rPr/>
              <w:t> </w:t>
            </w:r>
          </w:p>
        </w:tc>
        <w:tc>
          <w:tcPr>
            <w:tcW w:w="141" w:type="dxa"/>
            <w:tcBorders/>
            <w:shd w:fill="auto" w:val="clear"/>
            <w:vAlign w:val="bottom"/>
          </w:tcPr>
          <w:p>
            <w:pPr>
              <w:pStyle w:val="TableContents"/>
              <w:spacing w:before="0" w:after="283"/>
              <w:rPr/>
            </w:pPr>
            <w:r>
              <w:rPr/>
              <w:t> </w:t>
            </w:r>
          </w:p>
        </w:tc>
        <w:tc>
          <w:tcPr>
            <w:tcW w:w="542" w:type="dxa"/>
            <w:tcBorders/>
            <w:shd w:fill="auto" w:val="clear"/>
            <w:vAlign w:val="bottom"/>
          </w:tcPr>
          <w:p>
            <w:pPr>
              <w:pStyle w:val="TableContents"/>
              <w:spacing w:before="0" w:after="283"/>
              <w:jc w:val="right"/>
              <w:rPr/>
            </w:pPr>
            <w:hyperlink w:anchor="be43504_about_this_prospectus_supplement">
              <w:r>
                <w:rPr>
                  <w:rStyle w:val="InternetLink"/>
                  <w:rFonts w:ascii="times" w:hAnsi="times"/>
                  <w:sz w:val="20"/>
                </w:rPr>
                <w:br/>
                <w:t>ii</w:t>
              </w:r>
            </w:hyperlink>
          </w:p>
        </w:tc>
        <w:tc>
          <w:tcPr>
            <w:tcW w:w="241" w:type="dxa"/>
            <w:tcBorders/>
            <w:shd w:fill="auto" w:val="clear"/>
            <w:vAlign w:val="bottom"/>
          </w:tcPr>
          <w:p>
            <w:pPr>
              <w:pStyle w:val="TableContents"/>
              <w:spacing w:before="0" w:after="283"/>
              <w:rPr/>
            </w:pPr>
            <w:r>
              <w:rPr/>
              <w:t> </w:t>
            </w:r>
          </w:p>
        </w:tc>
      </w:tr>
      <w:tr>
        <w:trPr/>
        <w:tc>
          <w:tcPr>
            <w:tcW w:w="9040" w:type="dxa"/>
            <w:tcBorders/>
            <w:shd w:fill="auto" w:val="clear"/>
          </w:tcPr>
          <w:p>
            <w:pPr>
              <w:pStyle w:val="TableContents"/>
              <w:spacing w:before="0" w:after="283"/>
              <w:ind w:left="200" w:right="0" w:hanging="200"/>
              <w:rPr/>
            </w:pPr>
            <w:hyperlink w:anchor="bk43504_summary">
              <w:r>
                <w:rPr>
                  <w:rStyle w:val="InternetLink"/>
                  <w:rFonts w:ascii="times" w:hAnsi="times"/>
                  <w:sz w:val="20"/>
                </w:rPr>
                <w:t>SUMMARY</w:t>
              </w:r>
            </w:hyperlink>
          </w:p>
        </w:tc>
        <w:tc>
          <w:tcPr>
            <w:tcW w:w="241" w:type="dxa"/>
            <w:tcBorders/>
            <w:shd w:fill="auto" w:val="clear"/>
          </w:tcPr>
          <w:p>
            <w:pPr>
              <w:pStyle w:val="TableContents"/>
              <w:spacing w:before="0" w:after="283"/>
              <w:rPr/>
            </w:pPr>
            <w:r>
              <w:rPr/>
              <w:t> </w:t>
            </w:r>
          </w:p>
        </w:tc>
        <w:tc>
          <w:tcPr>
            <w:tcW w:w="141" w:type="dxa"/>
            <w:tcBorders/>
            <w:shd w:fill="auto" w:val="clear"/>
            <w:vAlign w:val="bottom"/>
          </w:tcPr>
          <w:p>
            <w:pPr>
              <w:pStyle w:val="TableContents"/>
              <w:spacing w:before="0" w:after="283"/>
              <w:rPr/>
            </w:pPr>
            <w:r>
              <w:rPr/>
              <w:t> </w:t>
            </w:r>
          </w:p>
        </w:tc>
        <w:tc>
          <w:tcPr>
            <w:tcW w:w="542" w:type="dxa"/>
            <w:tcBorders/>
            <w:shd w:fill="auto" w:val="clear"/>
            <w:vAlign w:val="bottom"/>
          </w:tcPr>
          <w:p>
            <w:pPr>
              <w:pStyle w:val="TableContents"/>
              <w:spacing w:before="0" w:after="283"/>
              <w:jc w:val="right"/>
              <w:rPr/>
            </w:pPr>
            <w:hyperlink w:anchor="bk43504_summary">
              <w:r>
                <w:rPr>
                  <w:rStyle w:val="InternetLink"/>
                  <w:rFonts w:ascii="times" w:hAnsi="times"/>
                  <w:sz w:val="20"/>
                </w:rPr>
                <w:t>S-1</w:t>
              </w:r>
            </w:hyperlink>
          </w:p>
        </w:tc>
        <w:tc>
          <w:tcPr>
            <w:tcW w:w="241" w:type="dxa"/>
            <w:tcBorders/>
            <w:shd w:fill="auto" w:val="clear"/>
            <w:vAlign w:val="bottom"/>
          </w:tcPr>
          <w:p>
            <w:pPr>
              <w:pStyle w:val="TableContents"/>
              <w:spacing w:before="0" w:after="283"/>
              <w:rPr/>
            </w:pPr>
            <w:r>
              <w:rPr/>
              <w:t> </w:t>
            </w:r>
          </w:p>
        </w:tc>
      </w:tr>
      <w:tr>
        <w:trPr/>
        <w:tc>
          <w:tcPr>
            <w:tcW w:w="9040" w:type="dxa"/>
            <w:tcBorders/>
            <w:shd w:fill="auto" w:val="clear"/>
          </w:tcPr>
          <w:p>
            <w:pPr>
              <w:pStyle w:val="TableContents"/>
              <w:spacing w:before="0" w:after="283"/>
              <w:ind w:left="200" w:right="0" w:hanging="200"/>
              <w:rPr/>
            </w:pPr>
            <w:hyperlink w:anchor="ca43504_risk_factors">
              <w:r>
                <w:rPr>
                  <w:rStyle w:val="InternetLink"/>
                  <w:rFonts w:ascii="times" w:hAnsi="times"/>
                  <w:sz w:val="20"/>
                </w:rPr>
                <w:t>RISK FACTORS</w:t>
              </w:r>
            </w:hyperlink>
          </w:p>
        </w:tc>
        <w:tc>
          <w:tcPr>
            <w:tcW w:w="241" w:type="dxa"/>
            <w:tcBorders/>
            <w:shd w:fill="auto" w:val="clear"/>
          </w:tcPr>
          <w:p>
            <w:pPr>
              <w:pStyle w:val="TableContents"/>
              <w:spacing w:before="0" w:after="283"/>
              <w:rPr/>
            </w:pPr>
            <w:r>
              <w:rPr/>
              <w:t> </w:t>
            </w:r>
          </w:p>
        </w:tc>
        <w:tc>
          <w:tcPr>
            <w:tcW w:w="141" w:type="dxa"/>
            <w:tcBorders/>
            <w:shd w:fill="auto" w:val="clear"/>
            <w:vAlign w:val="bottom"/>
          </w:tcPr>
          <w:p>
            <w:pPr>
              <w:pStyle w:val="TableContents"/>
              <w:spacing w:before="0" w:after="283"/>
              <w:rPr/>
            </w:pPr>
            <w:r>
              <w:rPr/>
              <w:t> </w:t>
            </w:r>
          </w:p>
        </w:tc>
        <w:tc>
          <w:tcPr>
            <w:tcW w:w="542" w:type="dxa"/>
            <w:tcBorders/>
            <w:shd w:fill="auto" w:val="clear"/>
            <w:vAlign w:val="bottom"/>
          </w:tcPr>
          <w:p>
            <w:pPr>
              <w:pStyle w:val="TableContents"/>
              <w:spacing w:before="0" w:after="283"/>
              <w:jc w:val="right"/>
              <w:rPr/>
            </w:pPr>
            <w:hyperlink w:anchor="ca43504_risk_factors">
              <w:r>
                <w:rPr>
                  <w:rStyle w:val="InternetLink"/>
                  <w:rFonts w:ascii="times" w:hAnsi="times"/>
                  <w:sz w:val="20"/>
                </w:rPr>
                <w:t>S-23</w:t>
              </w:r>
            </w:hyperlink>
          </w:p>
        </w:tc>
        <w:tc>
          <w:tcPr>
            <w:tcW w:w="241" w:type="dxa"/>
            <w:tcBorders/>
            <w:shd w:fill="auto" w:val="clear"/>
            <w:vAlign w:val="bottom"/>
          </w:tcPr>
          <w:p>
            <w:pPr>
              <w:pStyle w:val="TableContents"/>
              <w:spacing w:before="0" w:after="283"/>
              <w:rPr/>
            </w:pPr>
            <w:r>
              <w:rPr/>
              <w:t> </w:t>
            </w:r>
          </w:p>
        </w:tc>
      </w:tr>
      <w:tr>
        <w:trPr/>
        <w:tc>
          <w:tcPr>
            <w:tcW w:w="9040" w:type="dxa"/>
            <w:tcBorders/>
            <w:shd w:fill="auto" w:val="clear"/>
          </w:tcPr>
          <w:p>
            <w:pPr>
              <w:pStyle w:val="TableContents"/>
              <w:spacing w:before="0" w:after="283"/>
              <w:ind w:left="200" w:right="0" w:hanging="200"/>
              <w:rPr/>
            </w:pPr>
            <w:hyperlink w:anchor="ca43504_forward-looking_statements">
              <w:r>
                <w:rPr>
                  <w:rStyle w:val="InternetLink"/>
                  <w:rFonts w:ascii="times" w:hAnsi="times"/>
                  <w:sz w:val="20"/>
                </w:rPr>
                <w:t>FORWARD-LOOKING STATEMENTS</w:t>
              </w:r>
            </w:hyperlink>
          </w:p>
        </w:tc>
        <w:tc>
          <w:tcPr>
            <w:tcW w:w="241" w:type="dxa"/>
            <w:tcBorders/>
            <w:shd w:fill="auto" w:val="clear"/>
          </w:tcPr>
          <w:p>
            <w:pPr>
              <w:pStyle w:val="TableContents"/>
              <w:spacing w:before="0" w:after="283"/>
              <w:rPr/>
            </w:pPr>
            <w:r>
              <w:rPr/>
              <w:t> </w:t>
            </w:r>
          </w:p>
        </w:tc>
        <w:tc>
          <w:tcPr>
            <w:tcW w:w="141" w:type="dxa"/>
            <w:tcBorders/>
            <w:shd w:fill="auto" w:val="clear"/>
            <w:vAlign w:val="bottom"/>
          </w:tcPr>
          <w:p>
            <w:pPr>
              <w:pStyle w:val="TableContents"/>
              <w:spacing w:before="0" w:after="283"/>
              <w:rPr/>
            </w:pPr>
            <w:r>
              <w:rPr/>
              <w:t> </w:t>
            </w:r>
          </w:p>
        </w:tc>
        <w:tc>
          <w:tcPr>
            <w:tcW w:w="542" w:type="dxa"/>
            <w:tcBorders/>
            <w:shd w:fill="auto" w:val="clear"/>
            <w:vAlign w:val="bottom"/>
          </w:tcPr>
          <w:p>
            <w:pPr>
              <w:pStyle w:val="TableContents"/>
              <w:spacing w:before="0" w:after="283"/>
              <w:jc w:val="right"/>
              <w:rPr/>
            </w:pPr>
            <w:hyperlink w:anchor="ca43504_forward-looking_statements">
              <w:r>
                <w:rPr>
                  <w:rStyle w:val="InternetLink"/>
                  <w:rFonts w:ascii="times" w:hAnsi="times"/>
                  <w:sz w:val="20"/>
                </w:rPr>
                <w:t>S-24</w:t>
              </w:r>
            </w:hyperlink>
          </w:p>
        </w:tc>
        <w:tc>
          <w:tcPr>
            <w:tcW w:w="241" w:type="dxa"/>
            <w:tcBorders/>
            <w:shd w:fill="auto" w:val="clear"/>
            <w:vAlign w:val="bottom"/>
          </w:tcPr>
          <w:p>
            <w:pPr>
              <w:pStyle w:val="TableContents"/>
              <w:spacing w:before="0" w:after="283"/>
              <w:rPr/>
            </w:pPr>
            <w:r>
              <w:rPr/>
              <w:t> </w:t>
            </w:r>
          </w:p>
        </w:tc>
      </w:tr>
      <w:tr>
        <w:trPr/>
        <w:tc>
          <w:tcPr>
            <w:tcW w:w="9040" w:type="dxa"/>
            <w:tcBorders/>
            <w:shd w:fill="auto" w:val="clear"/>
          </w:tcPr>
          <w:p>
            <w:pPr>
              <w:pStyle w:val="TableContents"/>
              <w:spacing w:before="0" w:after="283"/>
              <w:ind w:left="200" w:right="0" w:hanging="200"/>
              <w:rPr/>
            </w:pPr>
            <w:hyperlink w:anchor="ca43504_use_of_proceeds">
              <w:r>
                <w:rPr>
                  <w:rStyle w:val="InternetLink"/>
                  <w:rFonts w:ascii="times" w:hAnsi="times"/>
                  <w:sz w:val="20"/>
                </w:rPr>
                <w:t>USE OF PROCEEDS</w:t>
              </w:r>
            </w:hyperlink>
          </w:p>
        </w:tc>
        <w:tc>
          <w:tcPr>
            <w:tcW w:w="241" w:type="dxa"/>
            <w:tcBorders/>
            <w:shd w:fill="auto" w:val="clear"/>
          </w:tcPr>
          <w:p>
            <w:pPr>
              <w:pStyle w:val="TableContents"/>
              <w:spacing w:before="0" w:after="283"/>
              <w:rPr/>
            </w:pPr>
            <w:r>
              <w:rPr/>
              <w:t> </w:t>
            </w:r>
          </w:p>
        </w:tc>
        <w:tc>
          <w:tcPr>
            <w:tcW w:w="141" w:type="dxa"/>
            <w:tcBorders/>
            <w:shd w:fill="auto" w:val="clear"/>
            <w:vAlign w:val="bottom"/>
          </w:tcPr>
          <w:p>
            <w:pPr>
              <w:pStyle w:val="TableContents"/>
              <w:spacing w:before="0" w:after="283"/>
              <w:rPr/>
            </w:pPr>
            <w:r>
              <w:rPr/>
              <w:t> </w:t>
            </w:r>
          </w:p>
        </w:tc>
        <w:tc>
          <w:tcPr>
            <w:tcW w:w="542" w:type="dxa"/>
            <w:tcBorders/>
            <w:shd w:fill="auto" w:val="clear"/>
            <w:vAlign w:val="bottom"/>
          </w:tcPr>
          <w:p>
            <w:pPr>
              <w:pStyle w:val="TableContents"/>
              <w:spacing w:before="0" w:after="283"/>
              <w:jc w:val="right"/>
              <w:rPr/>
            </w:pPr>
            <w:hyperlink w:anchor="ca43504_use_of_proceeds">
              <w:r>
                <w:rPr>
                  <w:rStyle w:val="InternetLink"/>
                  <w:rFonts w:ascii="times" w:hAnsi="times"/>
                  <w:sz w:val="20"/>
                </w:rPr>
                <w:t>S-26</w:t>
              </w:r>
            </w:hyperlink>
          </w:p>
        </w:tc>
        <w:tc>
          <w:tcPr>
            <w:tcW w:w="241" w:type="dxa"/>
            <w:tcBorders/>
            <w:shd w:fill="auto" w:val="clear"/>
            <w:vAlign w:val="bottom"/>
          </w:tcPr>
          <w:p>
            <w:pPr>
              <w:pStyle w:val="TableContents"/>
              <w:spacing w:before="0" w:after="283"/>
              <w:rPr/>
            </w:pPr>
            <w:r>
              <w:rPr/>
              <w:t> </w:t>
            </w:r>
          </w:p>
        </w:tc>
      </w:tr>
      <w:tr>
        <w:trPr/>
        <w:tc>
          <w:tcPr>
            <w:tcW w:w="9040" w:type="dxa"/>
            <w:tcBorders/>
            <w:shd w:fill="auto" w:val="clear"/>
          </w:tcPr>
          <w:p>
            <w:pPr>
              <w:pStyle w:val="TableContents"/>
              <w:spacing w:before="0" w:after="283"/>
              <w:ind w:left="200" w:right="0" w:hanging="200"/>
              <w:rPr/>
            </w:pPr>
            <w:hyperlink w:anchor="ca43504_cash_and_capitalization">
              <w:r>
                <w:rPr>
                  <w:rStyle w:val="InternetLink"/>
                  <w:rFonts w:ascii="times" w:hAnsi="times"/>
                  <w:sz w:val="20"/>
                </w:rPr>
                <w:t>CASH AND CAPITALIZATION</w:t>
              </w:r>
            </w:hyperlink>
          </w:p>
        </w:tc>
        <w:tc>
          <w:tcPr>
            <w:tcW w:w="241" w:type="dxa"/>
            <w:tcBorders/>
            <w:shd w:fill="auto" w:val="clear"/>
          </w:tcPr>
          <w:p>
            <w:pPr>
              <w:pStyle w:val="TableContents"/>
              <w:spacing w:before="0" w:after="283"/>
              <w:rPr/>
            </w:pPr>
            <w:r>
              <w:rPr/>
              <w:t> </w:t>
            </w:r>
          </w:p>
        </w:tc>
        <w:tc>
          <w:tcPr>
            <w:tcW w:w="141" w:type="dxa"/>
            <w:tcBorders/>
            <w:shd w:fill="auto" w:val="clear"/>
            <w:vAlign w:val="bottom"/>
          </w:tcPr>
          <w:p>
            <w:pPr>
              <w:pStyle w:val="TableContents"/>
              <w:spacing w:before="0" w:after="283"/>
              <w:rPr/>
            </w:pPr>
            <w:r>
              <w:rPr/>
              <w:t> </w:t>
            </w:r>
          </w:p>
        </w:tc>
        <w:tc>
          <w:tcPr>
            <w:tcW w:w="542" w:type="dxa"/>
            <w:tcBorders/>
            <w:shd w:fill="auto" w:val="clear"/>
            <w:vAlign w:val="bottom"/>
          </w:tcPr>
          <w:p>
            <w:pPr>
              <w:pStyle w:val="TableContents"/>
              <w:spacing w:before="0" w:after="283"/>
              <w:jc w:val="right"/>
              <w:rPr/>
            </w:pPr>
            <w:hyperlink w:anchor="ca43504_cash_and_capitalization">
              <w:r>
                <w:rPr>
                  <w:rStyle w:val="InternetLink"/>
                  <w:rFonts w:ascii="times" w:hAnsi="times"/>
                  <w:sz w:val="20"/>
                </w:rPr>
                <w:t>S-27</w:t>
              </w:r>
            </w:hyperlink>
          </w:p>
        </w:tc>
        <w:tc>
          <w:tcPr>
            <w:tcW w:w="241" w:type="dxa"/>
            <w:tcBorders/>
            <w:shd w:fill="auto" w:val="clear"/>
            <w:vAlign w:val="bottom"/>
          </w:tcPr>
          <w:p>
            <w:pPr>
              <w:pStyle w:val="TableContents"/>
              <w:spacing w:before="0" w:after="283"/>
              <w:rPr/>
            </w:pPr>
            <w:r>
              <w:rPr/>
              <w:t> </w:t>
            </w:r>
          </w:p>
        </w:tc>
      </w:tr>
      <w:tr>
        <w:trPr/>
        <w:tc>
          <w:tcPr>
            <w:tcW w:w="9040" w:type="dxa"/>
            <w:tcBorders/>
            <w:shd w:fill="auto" w:val="clear"/>
          </w:tcPr>
          <w:p>
            <w:pPr>
              <w:pStyle w:val="TableContents"/>
              <w:spacing w:before="0" w:after="283"/>
              <w:ind w:left="200" w:right="0" w:hanging="200"/>
              <w:rPr/>
            </w:pPr>
            <w:hyperlink w:anchor="cc43504_description_of_the_common_units">
              <w:r>
                <w:rPr>
                  <w:rStyle w:val="InternetLink"/>
                  <w:rFonts w:ascii="times" w:hAnsi="times"/>
                  <w:sz w:val="20"/>
                </w:rPr>
                <w:t>DESCRIPTION OF THE COMMON UNITS</w:t>
              </w:r>
            </w:hyperlink>
          </w:p>
        </w:tc>
        <w:tc>
          <w:tcPr>
            <w:tcW w:w="241" w:type="dxa"/>
            <w:tcBorders/>
            <w:shd w:fill="auto" w:val="clear"/>
          </w:tcPr>
          <w:p>
            <w:pPr>
              <w:pStyle w:val="TableContents"/>
              <w:spacing w:before="0" w:after="283"/>
              <w:rPr/>
            </w:pPr>
            <w:r>
              <w:rPr/>
              <w:t> </w:t>
            </w:r>
          </w:p>
        </w:tc>
        <w:tc>
          <w:tcPr>
            <w:tcW w:w="141" w:type="dxa"/>
            <w:tcBorders/>
            <w:shd w:fill="auto" w:val="clear"/>
            <w:vAlign w:val="bottom"/>
          </w:tcPr>
          <w:p>
            <w:pPr>
              <w:pStyle w:val="TableContents"/>
              <w:spacing w:before="0" w:after="283"/>
              <w:rPr/>
            </w:pPr>
            <w:r>
              <w:rPr/>
              <w:t> </w:t>
            </w:r>
          </w:p>
        </w:tc>
        <w:tc>
          <w:tcPr>
            <w:tcW w:w="542" w:type="dxa"/>
            <w:tcBorders/>
            <w:shd w:fill="auto" w:val="clear"/>
            <w:vAlign w:val="bottom"/>
          </w:tcPr>
          <w:p>
            <w:pPr>
              <w:pStyle w:val="TableContents"/>
              <w:spacing w:before="0" w:after="283"/>
              <w:jc w:val="right"/>
              <w:rPr/>
            </w:pPr>
            <w:hyperlink w:anchor="cc43504_description_of_the_common_units">
              <w:r>
                <w:rPr>
                  <w:rStyle w:val="InternetLink"/>
                  <w:rFonts w:ascii="times" w:hAnsi="times"/>
                  <w:sz w:val="20"/>
                </w:rPr>
                <w:t>S-28</w:t>
              </w:r>
            </w:hyperlink>
          </w:p>
        </w:tc>
        <w:tc>
          <w:tcPr>
            <w:tcW w:w="241" w:type="dxa"/>
            <w:tcBorders/>
            <w:shd w:fill="auto" w:val="clear"/>
            <w:vAlign w:val="bottom"/>
          </w:tcPr>
          <w:p>
            <w:pPr>
              <w:pStyle w:val="TableContents"/>
              <w:spacing w:before="0" w:after="283"/>
              <w:rPr/>
            </w:pPr>
            <w:r>
              <w:rPr/>
              <w:t> </w:t>
            </w:r>
          </w:p>
        </w:tc>
      </w:tr>
      <w:tr>
        <w:trPr/>
        <w:tc>
          <w:tcPr>
            <w:tcW w:w="9040" w:type="dxa"/>
            <w:tcBorders/>
            <w:shd w:fill="auto" w:val="clear"/>
          </w:tcPr>
          <w:p>
            <w:pPr>
              <w:pStyle w:val="TableContents"/>
              <w:spacing w:before="0" w:after="283"/>
              <w:ind w:left="200" w:right="0" w:hanging="200"/>
              <w:rPr/>
            </w:pPr>
            <w:hyperlink w:anchor="cc43504_summary_of_our_partnership_agreement">
              <w:r>
                <w:rPr>
                  <w:rStyle w:val="InternetLink"/>
                  <w:rFonts w:ascii="times" w:hAnsi="times"/>
                  <w:sz w:val="20"/>
                </w:rPr>
                <w:t>SUMMARY OF OUR PARTNERSHIP AGREEMENT</w:t>
              </w:r>
            </w:hyperlink>
          </w:p>
        </w:tc>
        <w:tc>
          <w:tcPr>
            <w:tcW w:w="241" w:type="dxa"/>
            <w:tcBorders/>
            <w:shd w:fill="auto" w:val="clear"/>
          </w:tcPr>
          <w:p>
            <w:pPr>
              <w:pStyle w:val="TableContents"/>
              <w:spacing w:before="0" w:after="283"/>
              <w:rPr/>
            </w:pPr>
            <w:r>
              <w:rPr/>
              <w:t> </w:t>
            </w:r>
          </w:p>
        </w:tc>
        <w:tc>
          <w:tcPr>
            <w:tcW w:w="141" w:type="dxa"/>
            <w:tcBorders/>
            <w:shd w:fill="auto" w:val="clear"/>
            <w:vAlign w:val="bottom"/>
          </w:tcPr>
          <w:p>
            <w:pPr>
              <w:pStyle w:val="TableContents"/>
              <w:spacing w:before="0" w:after="283"/>
              <w:rPr/>
            </w:pPr>
            <w:r>
              <w:rPr/>
              <w:t> </w:t>
            </w:r>
          </w:p>
        </w:tc>
        <w:tc>
          <w:tcPr>
            <w:tcW w:w="542" w:type="dxa"/>
            <w:tcBorders/>
            <w:shd w:fill="auto" w:val="clear"/>
            <w:vAlign w:val="bottom"/>
          </w:tcPr>
          <w:p>
            <w:pPr>
              <w:pStyle w:val="TableContents"/>
              <w:spacing w:before="0" w:after="283"/>
              <w:jc w:val="right"/>
              <w:rPr/>
            </w:pPr>
            <w:hyperlink w:anchor="cc43504_summary_of_our_partnership_agreement">
              <w:r>
                <w:rPr>
                  <w:rStyle w:val="InternetLink"/>
                  <w:rFonts w:ascii="times" w:hAnsi="times"/>
                  <w:sz w:val="20"/>
                </w:rPr>
                <w:t>S-30</w:t>
              </w:r>
            </w:hyperlink>
          </w:p>
        </w:tc>
        <w:tc>
          <w:tcPr>
            <w:tcW w:w="241" w:type="dxa"/>
            <w:tcBorders/>
            <w:shd w:fill="auto" w:val="clear"/>
            <w:vAlign w:val="bottom"/>
          </w:tcPr>
          <w:p>
            <w:pPr>
              <w:pStyle w:val="TableContents"/>
              <w:spacing w:before="0" w:after="283"/>
              <w:rPr/>
            </w:pPr>
            <w:r>
              <w:rPr/>
              <w:t> </w:t>
            </w:r>
          </w:p>
        </w:tc>
      </w:tr>
      <w:tr>
        <w:trPr/>
        <w:tc>
          <w:tcPr>
            <w:tcW w:w="9040" w:type="dxa"/>
            <w:tcBorders/>
            <w:shd w:fill="auto" w:val="clear"/>
          </w:tcPr>
          <w:p>
            <w:pPr>
              <w:pStyle w:val="TableContents"/>
              <w:spacing w:before="0" w:after="283"/>
              <w:ind w:left="200" w:right="0" w:hanging="200"/>
              <w:rPr/>
            </w:pPr>
            <w:hyperlink w:anchor="ce43504_our_cash_distribution_policy_a__our02636">
              <w:r>
                <w:rPr>
                  <w:rStyle w:val="InternetLink"/>
                  <w:rFonts w:ascii="times" w:hAnsi="times"/>
                  <w:sz w:val="20"/>
                </w:rPr>
                <w:t>OUR CASH DISTRIBUTION POLICY AND RESTRICTIONS ON DISTRIBUTIONS</w:t>
              </w:r>
            </w:hyperlink>
          </w:p>
        </w:tc>
        <w:tc>
          <w:tcPr>
            <w:tcW w:w="241" w:type="dxa"/>
            <w:tcBorders/>
            <w:shd w:fill="auto" w:val="clear"/>
          </w:tcPr>
          <w:p>
            <w:pPr>
              <w:pStyle w:val="TableContents"/>
              <w:spacing w:before="0" w:after="283"/>
              <w:rPr/>
            </w:pPr>
            <w:r>
              <w:rPr/>
              <w:t> </w:t>
            </w:r>
          </w:p>
        </w:tc>
        <w:tc>
          <w:tcPr>
            <w:tcW w:w="141" w:type="dxa"/>
            <w:tcBorders/>
            <w:shd w:fill="auto" w:val="clear"/>
            <w:vAlign w:val="bottom"/>
          </w:tcPr>
          <w:p>
            <w:pPr>
              <w:pStyle w:val="TableContents"/>
              <w:spacing w:before="0" w:after="283"/>
              <w:rPr/>
            </w:pPr>
            <w:r>
              <w:rPr/>
              <w:t> </w:t>
            </w:r>
          </w:p>
        </w:tc>
        <w:tc>
          <w:tcPr>
            <w:tcW w:w="542" w:type="dxa"/>
            <w:tcBorders/>
            <w:shd w:fill="auto" w:val="clear"/>
            <w:vAlign w:val="bottom"/>
          </w:tcPr>
          <w:p>
            <w:pPr>
              <w:pStyle w:val="TableContents"/>
              <w:spacing w:before="0" w:after="283"/>
              <w:jc w:val="right"/>
              <w:rPr/>
            </w:pPr>
            <w:hyperlink w:anchor="ce43504_our_cash_distribution_policy_a__our02636">
              <w:r>
                <w:rPr>
                  <w:rStyle w:val="InternetLink"/>
                  <w:rFonts w:ascii="times" w:hAnsi="times"/>
                  <w:sz w:val="20"/>
                </w:rPr>
                <w:t>S-47</w:t>
              </w:r>
            </w:hyperlink>
          </w:p>
        </w:tc>
        <w:tc>
          <w:tcPr>
            <w:tcW w:w="241" w:type="dxa"/>
            <w:tcBorders/>
            <w:shd w:fill="auto" w:val="clear"/>
            <w:vAlign w:val="bottom"/>
          </w:tcPr>
          <w:p>
            <w:pPr>
              <w:pStyle w:val="TableContents"/>
              <w:spacing w:before="0" w:after="283"/>
              <w:rPr/>
            </w:pPr>
            <w:r>
              <w:rPr/>
              <w:t> </w:t>
            </w:r>
          </w:p>
        </w:tc>
      </w:tr>
      <w:tr>
        <w:trPr/>
        <w:tc>
          <w:tcPr>
            <w:tcW w:w="9040" w:type="dxa"/>
            <w:tcBorders/>
            <w:shd w:fill="auto" w:val="clear"/>
          </w:tcPr>
          <w:p>
            <w:pPr>
              <w:pStyle w:val="TableContents"/>
              <w:spacing w:before="0" w:after="283"/>
              <w:ind w:left="200" w:right="0" w:hanging="200"/>
              <w:rPr/>
            </w:pPr>
            <w:hyperlink w:anchor="cg43504_material_u.s._federal_income_tax_considerations">
              <w:r>
                <w:rPr>
                  <w:rStyle w:val="InternetLink"/>
                  <w:rFonts w:ascii="times" w:hAnsi="times"/>
                  <w:sz w:val="20"/>
                </w:rPr>
                <w:t>MATERIAL U.S. FEDERAL INCOME TAX CONSIDERATIONS</w:t>
              </w:r>
            </w:hyperlink>
          </w:p>
        </w:tc>
        <w:tc>
          <w:tcPr>
            <w:tcW w:w="241" w:type="dxa"/>
            <w:tcBorders/>
            <w:shd w:fill="auto" w:val="clear"/>
          </w:tcPr>
          <w:p>
            <w:pPr>
              <w:pStyle w:val="TableContents"/>
              <w:spacing w:before="0" w:after="283"/>
              <w:rPr/>
            </w:pPr>
            <w:r>
              <w:rPr/>
              <w:t> </w:t>
            </w:r>
          </w:p>
        </w:tc>
        <w:tc>
          <w:tcPr>
            <w:tcW w:w="141" w:type="dxa"/>
            <w:tcBorders/>
            <w:shd w:fill="auto" w:val="clear"/>
            <w:vAlign w:val="bottom"/>
          </w:tcPr>
          <w:p>
            <w:pPr>
              <w:pStyle w:val="TableContents"/>
              <w:spacing w:before="0" w:after="283"/>
              <w:rPr/>
            </w:pPr>
            <w:r>
              <w:rPr/>
              <w:t> </w:t>
            </w:r>
          </w:p>
        </w:tc>
        <w:tc>
          <w:tcPr>
            <w:tcW w:w="542" w:type="dxa"/>
            <w:tcBorders/>
            <w:shd w:fill="auto" w:val="clear"/>
            <w:vAlign w:val="bottom"/>
          </w:tcPr>
          <w:p>
            <w:pPr>
              <w:pStyle w:val="TableContents"/>
              <w:spacing w:before="0" w:after="283"/>
              <w:jc w:val="right"/>
              <w:rPr/>
            </w:pPr>
            <w:hyperlink w:anchor="cg43504_material_u.s._federal_income_tax_considerations">
              <w:r>
                <w:rPr>
                  <w:rStyle w:val="InternetLink"/>
                  <w:rFonts w:ascii="times" w:hAnsi="times"/>
                  <w:sz w:val="20"/>
                </w:rPr>
                <w:t>S-49</w:t>
              </w:r>
            </w:hyperlink>
          </w:p>
        </w:tc>
        <w:tc>
          <w:tcPr>
            <w:tcW w:w="241" w:type="dxa"/>
            <w:tcBorders/>
            <w:shd w:fill="auto" w:val="clear"/>
            <w:vAlign w:val="bottom"/>
          </w:tcPr>
          <w:p>
            <w:pPr>
              <w:pStyle w:val="TableContents"/>
              <w:spacing w:before="0" w:after="283"/>
              <w:rPr/>
            </w:pPr>
            <w:r>
              <w:rPr/>
              <w:t> </w:t>
            </w:r>
          </w:p>
        </w:tc>
      </w:tr>
      <w:tr>
        <w:trPr/>
        <w:tc>
          <w:tcPr>
            <w:tcW w:w="9040" w:type="dxa"/>
            <w:tcBorders/>
            <w:shd w:fill="auto" w:val="clear"/>
          </w:tcPr>
          <w:p>
            <w:pPr>
              <w:pStyle w:val="TableContents"/>
              <w:spacing w:before="0" w:after="283"/>
              <w:ind w:left="200" w:right="0" w:hanging="200"/>
              <w:rPr/>
            </w:pPr>
            <w:hyperlink w:anchor="ci43504_non-united_states_tax_considerations">
              <w:r>
                <w:rPr>
                  <w:rStyle w:val="InternetLink"/>
                  <w:rFonts w:ascii="times" w:hAnsi="times"/>
                  <w:sz w:val="20"/>
                </w:rPr>
                <w:t>NON-UNITED STATES TAX CONSIDERATIONS</w:t>
              </w:r>
            </w:hyperlink>
          </w:p>
        </w:tc>
        <w:tc>
          <w:tcPr>
            <w:tcW w:w="241" w:type="dxa"/>
            <w:tcBorders/>
            <w:shd w:fill="auto" w:val="clear"/>
          </w:tcPr>
          <w:p>
            <w:pPr>
              <w:pStyle w:val="TableContents"/>
              <w:spacing w:before="0" w:after="283"/>
              <w:rPr/>
            </w:pPr>
            <w:r>
              <w:rPr/>
              <w:t> </w:t>
            </w:r>
          </w:p>
        </w:tc>
        <w:tc>
          <w:tcPr>
            <w:tcW w:w="141" w:type="dxa"/>
            <w:tcBorders/>
            <w:shd w:fill="auto" w:val="clear"/>
            <w:vAlign w:val="bottom"/>
          </w:tcPr>
          <w:p>
            <w:pPr>
              <w:pStyle w:val="TableContents"/>
              <w:spacing w:before="0" w:after="283"/>
              <w:rPr/>
            </w:pPr>
            <w:r>
              <w:rPr/>
              <w:t> </w:t>
            </w:r>
          </w:p>
        </w:tc>
        <w:tc>
          <w:tcPr>
            <w:tcW w:w="542" w:type="dxa"/>
            <w:tcBorders/>
            <w:shd w:fill="auto" w:val="clear"/>
            <w:vAlign w:val="bottom"/>
          </w:tcPr>
          <w:p>
            <w:pPr>
              <w:pStyle w:val="TableContents"/>
              <w:spacing w:before="0" w:after="283"/>
              <w:jc w:val="right"/>
              <w:rPr/>
            </w:pPr>
            <w:hyperlink w:anchor="ci43504_non-united_states_tax_considerations">
              <w:r>
                <w:rPr>
                  <w:rStyle w:val="InternetLink"/>
                  <w:rFonts w:ascii="times" w:hAnsi="times"/>
                  <w:sz w:val="20"/>
                </w:rPr>
                <w:t>S-58</w:t>
              </w:r>
            </w:hyperlink>
          </w:p>
        </w:tc>
        <w:tc>
          <w:tcPr>
            <w:tcW w:w="241" w:type="dxa"/>
            <w:tcBorders/>
            <w:shd w:fill="auto" w:val="clear"/>
            <w:vAlign w:val="bottom"/>
          </w:tcPr>
          <w:p>
            <w:pPr>
              <w:pStyle w:val="TableContents"/>
              <w:spacing w:before="0" w:after="283"/>
              <w:rPr/>
            </w:pPr>
            <w:r>
              <w:rPr/>
              <w:t> </w:t>
            </w:r>
          </w:p>
        </w:tc>
      </w:tr>
      <w:tr>
        <w:trPr/>
        <w:tc>
          <w:tcPr>
            <w:tcW w:w="9040" w:type="dxa"/>
            <w:tcBorders/>
            <w:shd w:fill="auto" w:val="clear"/>
          </w:tcPr>
          <w:p>
            <w:pPr>
              <w:pStyle w:val="TableContents"/>
              <w:spacing w:before="0" w:after="283"/>
              <w:ind w:left="200" w:right="0" w:hanging="200"/>
              <w:rPr/>
            </w:pPr>
            <w:hyperlink w:anchor="ci43504_plan_of_distribution">
              <w:r>
                <w:rPr>
                  <w:rStyle w:val="InternetLink"/>
                  <w:rFonts w:ascii="times" w:hAnsi="times"/>
                  <w:sz w:val="20"/>
                </w:rPr>
                <w:t>PLAN OF DISTRIBUTION</w:t>
              </w:r>
            </w:hyperlink>
          </w:p>
        </w:tc>
        <w:tc>
          <w:tcPr>
            <w:tcW w:w="241" w:type="dxa"/>
            <w:tcBorders/>
            <w:shd w:fill="auto" w:val="clear"/>
          </w:tcPr>
          <w:p>
            <w:pPr>
              <w:pStyle w:val="TableContents"/>
              <w:spacing w:before="0" w:after="283"/>
              <w:rPr/>
            </w:pPr>
            <w:r>
              <w:rPr/>
              <w:t> </w:t>
            </w:r>
          </w:p>
        </w:tc>
        <w:tc>
          <w:tcPr>
            <w:tcW w:w="141" w:type="dxa"/>
            <w:tcBorders/>
            <w:shd w:fill="auto" w:val="clear"/>
            <w:vAlign w:val="bottom"/>
          </w:tcPr>
          <w:p>
            <w:pPr>
              <w:pStyle w:val="TableContents"/>
              <w:spacing w:before="0" w:after="283"/>
              <w:rPr/>
            </w:pPr>
            <w:r>
              <w:rPr/>
              <w:t> </w:t>
            </w:r>
          </w:p>
        </w:tc>
        <w:tc>
          <w:tcPr>
            <w:tcW w:w="542" w:type="dxa"/>
            <w:tcBorders/>
            <w:shd w:fill="auto" w:val="clear"/>
            <w:vAlign w:val="bottom"/>
          </w:tcPr>
          <w:p>
            <w:pPr>
              <w:pStyle w:val="TableContents"/>
              <w:spacing w:before="0" w:after="283"/>
              <w:jc w:val="right"/>
              <w:rPr/>
            </w:pPr>
            <w:hyperlink w:anchor="ci43504_plan_of_distribution">
              <w:r>
                <w:rPr>
                  <w:rStyle w:val="InternetLink"/>
                  <w:rFonts w:ascii="times" w:hAnsi="times"/>
                  <w:sz w:val="20"/>
                </w:rPr>
                <w:t>S-59</w:t>
              </w:r>
            </w:hyperlink>
          </w:p>
        </w:tc>
        <w:tc>
          <w:tcPr>
            <w:tcW w:w="241" w:type="dxa"/>
            <w:tcBorders/>
            <w:shd w:fill="auto" w:val="clear"/>
            <w:vAlign w:val="bottom"/>
          </w:tcPr>
          <w:p>
            <w:pPr>
              <w:pStyle w:val="TableContents"/>
              <w:spacing w:before="0" w:after="283"/>
              <w:rPr/>
            </w:pPr>
            <w:r>
              <w:rPr/>
              <w:t> </w:t>
            </w:r>
          </w:p>
        </w:tc>
      </w:tr>
      <w:tr>
        <w:trPr/>
        <w:tc>
          <w:tcPr>
            <w:tcW w:w="9040" w:type="dxa"/>
            <w:tcBorders/>
            <w:shd w:fill="auto" w:val="clear"/>
          </w:tcPr>
          <w:p>
            <w:pPr>
              <w:pStyle w:val="TableContents"/>
              <w:spacing w:before="0" w:after="283"/>
              <w:ind w:left="200" w:right="0" w:hanging="200"/>
              <w:rPr/>
            </w:pPr>
            <w:hyperlink w:anchor="ci43504_legal_matters">
              <w:r>
                <w:rPr>
                  <w:rStyle w:val="InternetLink"/>
                  <w:rFonts w:ascii="times" w:hAnsi="times"/>
                  <w:sz w:val="20"/>
                </w:rPr>
                <w:t>LEGAL MATTERS</w:t>
              </w:r>
            </w:hyperlink>
          </w:p>
        </w:tc>
        <w:tc>
          <w:tcPr>
            <w:tcW w:w="241" w:type="dxa"/>
            <w:tcBorders/>
            <w:shd w:fill="auto" w:val="clear"/>
          </w:tcPr>
          <w:p>
            <w:pPr>
              <w:pStyle w:val="TableContents"/>
              <w:spacing w:before="0" w:after="283"/>
              <w:rPr/>
            </w:pPr>
            <w:r>
              <w:rPr/>
              <w:t> </w:t>
            </w:r>
          </w:p>
        </w:tc>
        <w:tc>
          <w:tcPr>
            <w:tcW w:w="141" w:type="dxa"/>
            <w:tcBorders/>
            <w:shd w:fill="auto" w:val="clear"/>
            <w:vAlign w:val="bottom"/>
          </w:tcPr>
          <w:p>
            <w:pPr>
              <w:pStyle w:val="TableContents"/>
              <w:spacing w:before="0" w:after="283"/>
              <w:rPr/>
            </w:pPr>
            <w:r>
              <w:rPr/>
              <w:t> </w:t>
            </w:r>
          </w:p>
        </w:tc>
        <w:tc>
          <w:tcPr>
            <w:tcW w:w="542" w:type="dxa"/>
            <w:tcBorders/>
            <w:shd w:fill="auto" w:val="clear"/>
            <w:vAlign w:val="bottom"/>
          </w:tcPr>
          <w:p>
            <w:pPr>
              <w:pStyle w:val="TableContents"/>
              <w:spacing w:before="0" w:after="283"/>
              <w:jc w:val="right"/>
              <w:rPr/>
            </w:pPr>
            <w:hyperlink w:anchor="ci43504_legal_matters">
              <w:r>
                <w:rPr>
                  <w:rStyle w:val="InternetLink"/>
                  <w:rFonts w:ascii="times" w:hAnsi="times"/>
                  <w:sz w:val="20"/>
                </w:rPr>
                <w:t>S-61</w:t>
              </w:r>
            </w:hyperlink>
          </w:p>
        </w:tc>
        <w:tc>
          <w:tcPr>
            <w:tcW w:w="241" w:type="dxa"/>
            <w:tcBorders/>
            <w:shd w:fill="auto" w:val="clear"/>
            <w:vAlign w:val="bottom"/>
          </w:tcPr>
          <w:p>
            <w:pPr>
              <w:pStyle w:val="TableContents"/>
              <w:spacing w:before="0" w:after="283"/>
              <w:rPr/>
            </w:pPr>
            <w:r>
              <w:rPr/>
              <w:t> </w:t>
            </w:r>
          </w:p>
        </w:tc>
      </w:tr>
      <w:tr>
        <w:trPr/>
        <w:tc>
          <w:tcPr>
            <w:tcW w:w="9040" w:type="dxa"/>
            <w:tcBorders/>
            <w:shd w:fill="auto" w:val="clear"/>
          </w:tcPr>
          <w:p>
            <w:pPr>
              <w:pStyle w:val="TableContents"/>
              <w:spacing w:before="0" w:after="283"/>
              <w:ind w:left="200" w:right="0" w:hanging="200"/>
              <w:rPr/>
            </w:pPr>
            <w:hyperlink w:anchor="ci43504_experts">
              <w:r>
                <w:rPr>
                  <w:rStyle w:val="InternetLink"/>
                  <w:rFonts w:ascii="times" w:hAnsi="times"/>
                  <w:sz w:val="20"/>
                </w:rPr>
                <w:t>EXPERTS</w:t>
              </w:r>
            </w:hyperlink>
          </w:p>
        </w:tc>
        <w:tc>
          <w:tcPr>
            <w:tcW w:w="241" w:type="dxa"/>
            <w:tcBorders/>
            <w:shd w:fill="auto" w:val="clear"/>
          </w:tcPr>
          <w:p>
            <w:pPr>
              <w:pStyle w:val="TableContents"/>
              <w:spacing w:before="0" w:after="283"/>
              <w:rPr/>
            </w:pPr>
            <w:r>
              <w:rPr/>
              <w:t> </w:t>
            </w:r>
          </w:p>
        </w:tc>
        <w:tc>
          <w:tcPr>
            <w:tcW w:w="141" w:type="dxa"/>
            <w:tcBorders/>
            <w:shd w:fill="auto" w:val="clear"/>
            <w:vAlign w:val="bottom"/>
          </w:tcPr>
          <w:p>
            <w:pPr>
              <w:pStyle w:val="TableContents"/>
              <w:spacing w:before="0" w:after="283"/>
              <w:rPr/>
            </w:pPr>
            <w:r>
              <w:rPr/>
              <w:t> </w:t>
            </w:r>
          </w:p>
        </w:tc>
        <w:tc>
          <w:tcPr>
            <w:tcW w:w="542" w:type="dxa"/>
            <w:tcBorders/>
            <w:shd w:fill="auto" w:val="clear"/>
            <w:vAlign w:val="bottom"/>
          </w:tcPr>
          <w:p>
            <w:pPr>
              <w:pStyle w:val="TableContents"/>
              <w:spacing w:before="0" w:after="283"/>
              <w:jc w:val="right"/>
              <w:rPr/>
            </w:pPr>
            <w:hyperlink w:anchor="ci43504_experts">
              <w:r>
                <w:rPr>
                  <w:rStyle w:val="InternetLink"/>
                  <w:rFonts w:ascii="times" w:hAnsi="times"/>
                  <w:sz w:val="20"/>
                </w:rPr>
                <w:t>S-62</w:t>
              </w:r>
            </w:hyperlink>
          </w:p>
        </w:tc>
        <w:tc>
          <w:tcPr>
            <w:tcW w:w="241" w:type="dxa"/>
            <w:tcBorders/>
            <w:shd w:fill="auto" w:val="clear"/>
            <w:vAlign w:val="bottom"/>
          </w:tcPr>
          <w:p>
            <w:pPr>
              <w:pStyle w:val="TableContents"/>
              <w:spacing w:before="0" w:after="283"/>
              <w:rPr/>
            </w:pPr>
            <w:r>
              <w:rPr/>
              <w:t> </w:t>
            </w:r>
          </w:p>
        </w:tc>
      </w:tr>
      <w:tr>
        <w:trPr/>
        <w:tc>
          <w:tcPr>
            <w:tcW w:w="9040" w:type="dxa"/>
            <w:tcBorders/>
            <w:shd w:fill="auto" w:val="clear"/>
          </w:tcPr>
          <w:p>
            <w:pPr>
              <w:pStyle w:val="TableContents"/>
              <w:spacing w:before="0" w:after="283"/>
              <w:ind w:left="200" w:right="0" w:hanging="200"/>
              <w:rPr/>
            </w:pPr>
            <w:hyperlink w:anchor="ci43504_expenses_related_to_this_offering">
              <w:r>
                <w:rPr>
                  <w:rStyle w:val="InternetLink"/>
                  <w:rFonts w:ascii="times" w:hAnsi="times"/>
                  <w:sz w:val="20"/>
                </w:rPr>
                <w:t>EXPENSES RELATED TO THIS OFFERING</w:t>
              </w:r>
            </w:hyperlink>
          </w:p>
        </w:tc>
        <w:tc>
          <w:tcPr>
            <w:tcW w:w="241" w:type="dxa"/>
            <w:tcBorders/>
            <w:shd w:fill="auto" w:val="clear"/>
          </w:tcPr>
          <w:p>
            <w:pPr>
              <w:pStyle w:val="TableContents"/>
              <w:spacing w:before="0" w:after="283"/>
              <w:rPr/>
            </w:pPr>
            <w:r>
              <w:rPr/>
              <w:t> </w:t>
            </w:r>
          </w:p>
        </w:tc>
        <w:tc>
          <w:tcPr>
            <w:tcW w:w="141" w:type="dxa"/>
            <w:tcBorders/>
            <w:shd w:fill="auto" w:val="clear"/>
            <w:vAlign w:val="bottom"/>
          </w:tcPr>
          <w:p>
            <w:pPr>
              <w:pStyle w:val="TableContents"/>
              <w:spacing w:before="0" w:after="283"/>
              <w:rPr/>
            </w:pPr>
            <w:r>
              <w:rPr/>
              <w:t> </w:t>
            </w:r>
          </w:p>
        </w:tc>
        <w:tc>
          <w:tcPr>
            <w:tcW w:w="542" w:type="dxa"/>
            <w:tcBorders/>
            <w:shd w:fill="auto" w:val="clear"/>
            <w:vAlign w:val="bottom"/>
          </w:tcPr>
          <w:p>
            <w:pPr>
              <w:pStyle w:val="TableContents"/>
              <w:spacing w:before="0" w:after="283"/>
              <w:jc w:val="right"/>
              <w:rPr/>
            </w:pPr>
            <w:hyperlink w:anchor="ci43504_expenses_related_to_this_offering">
              <w:r>
                <w:rPr>
                  <w:rStyle w:val="InternetLink"/>
                  <w:rFonts w:ascii="times" w:hAnsi="times"/>
                  <w:sz w:val="20"/>
                </w:rPr>
                <w:t>S-63</w:t>
              </w:r>
            </w:hyperlink>
          </w:p>
        </w:tc>
        <w:tc>
          <w:tcPr>
            <w:tcW w:w="241" w:type="dxa"/>
            <w:tcBorders/>
            <w:shd w:fill="auto" w:val="clear"/>
            <w:vAlign w:val="bottom"/>
          </w:tcPr>
          <w:p>
            <w:pPr>
              <w:pStyle w:val="TableContents"/>
              <w:spacing w:before="0" w:after="283"/>
              <w:rPr/>
            </w:pPr>
            <w:r>
              <w:rPr/>
              <w:t> </w:t>
            </w:r>
          </w:p>
        </w:tc>
      </w:tr>
      <w:tr>
        <w:trPr/>
        <w:tc>
          <w:tcPr>
            <w:tcW w:w="9040" w:type="dxa"/>
            <w:tcBorders/>
            <w:shd w:fill="auto" w:val="clear"/>
          </w:tcPr>
          <w:p>
            <w:pPr>
              <w:pStyle w:val="TableContents"/>
              <w:spacing w:before="0" w:after="283"/>
              <w:ind w:left="200" w:right="0" w:hanging="200"/>
              <w:rPr/>
            </w:pPr>
            <w:hyperlink w:anchor="ci43504_where_you_can_find_additional_information">
              <w:r>
                <w:rPr>
                  <w:rStyle w:val="InternetLink"/>
                  <w:rFonts w:ascii="times" w:hAnsi="times"/>
                  <w:sz w:val="20"/>
                </w:rPr>
                <w:t>WHERE YOU CAN FIND ADDITIONAL INFORMATION</w:t>
              </w:r>
            </w:hyperlink>
          </w:p>
        </w:tc>
        <w:tc>
          <w:tcPr>
            <w:tcW w:w="241" w:type="dxa"/>
            <w:tcBorders/>
            <w:shd w:fill="auto" w:val="clear"/>
          </w:tcPr>
          <w:p>
            <w:pPr>
              <w:pStyle w:val="TableContents"/>
              <w:spacing w:before="0" w:after="283"/>
              <w:rPr/>
            </w:pPr>
            <w:r>
              <w:rPr/>
              <w:t> </w:t>
            </w:r>
          </w:p>
        </w:tc>
        <w:tc>
          <w:tcPr>
            <w:tcW w:w="141" w:type="dxa"/>
            <w:tcBorders/>
            <w:shd w:fill="auto" w:val="clear"/>
            <w:vAlign w:val="bottom"/>
          </w:tcPr>
          <w:p>
            <w:pPr>
              <w:pStyle w:val="TableContents"/>
              <w:spacing w:before="0" w:after="283"/>
              <w:rPr/>
            </w:pPr>
            <w:r>
              <w:rPr/>
              <w:t> </w:t>
            </w:r>
          </w:p>
        </w:tc>
        <w:tc>
          <w:tcPr>
            <w:tcW w:w="542" w:type="dxa"/>
            <w:tcBorders/>
            <w:shd w:fill="auto" w:val="clear"/>
            <w:vAlign w:val="bottom"/>
          </w:tcPr>
          <w:p>
            <w:pPr>
              <w:pStyle w:val="TableContents"/>
              <w:spacing w:before="0" w:after="283"/>
              <w:jc w:val="right"/>
              <w:rPr/>
            </w:pPr>
            <w:hyperlink w:anchor="ci43504_where_you_can_find_additional_information">
              <w:r>
                <w:rPr>
                  <w:rStyle w:val="InternetLink"/>
                  <w:rFonts w:ascii="times" w:hAnsi="times"/>
                  <w:sz w:val="20"/>
                </w:rPr>
                <w:t>S-64</w:t>
              </w:r>
            </w:hyperlink>
          </w:p>
        </w:tc>
        <w:tc>
          <w:tcPr>
            <w:tcW w:w="241" w:type="dxa"/>
            <w:tcBorders/>
            <w:shd w:fill="auto" w:val="clear"/>
            <w:vAlign w:val="bottom"/>
          </w:tcPr>
          <w:p>
            <w:pPr>
              <w:pStyle w:val="TableContents"/>
              <w:spacing w:before="0" w:after="283"/>
              <w:rPr/>
            </w:pPr>
            <w:r>
              <w:rPr/>
              <w:t> </w:t>
            </w:r>
          </w:p>
        </w:tc>
      </w:tr>
      <w:tr>
        <w:trPr/>
        <w:tc>
          <w:tcPr>
            <w:tcW w:w="9040" w:type="dxa"/>
            <w:tcBorders/>
            <w:shd w:fill="auto" w:val="clear"/>
          </w:tcPr>
          <w:p>
            <w:pPr>
              <w:pStyle w:val="TableContents"/>
              <w:spacing w:before="0" w:after="283"/>
              <w:ind w:left="200" w:right="0" w:hanging="200"/>
              <w:rPr/>
            </w:pPr>
            <w:hyperlink w:anchor="ci43504_incorporation_of_certain_information_by_reference">
              <w:r>
                <w:rPr>
                  <w:rStyle w:val="InternetLink"/>
                  <w:rFonts w:ascii="times" w:hAnsi="times"/>
                  <w:sz w:val="20"/>
                </w:rPr>
                <w:t>INCORPORATION OF CERTAIN INFORMATION BY REFERENCE</w:t>
              </w:r>
            </w:hyperlink>
          </w:p>
        </w:tc>
        <w:tc>
          <w:tcPr>
            <w:tcW w:w="241" w:type="dxa"/>
            <w:tcBorders/>
            <w:shd w:fill="auto" w:val="clear"/>
          </w:tcPr>
          <w:p>
            <w:pPr>
              <w:pStyle w:val="TableContents"/>
              <w:spacing w:before="0" w:after="283"/>
              <w:rPr/>
            </w:pPr>
            <w:r>
              <w:rPr/>
              <w:t> </w:t>
            </w:r>
          </w:p>
        </w:tc>
        <w:tc>
          <w:tcPr>
            <w:tcW w:w="141" w:type="dxa"/>
            <w:tcBorders/>
            <w:shd w:fill="auto" w:val="clear"/>
            <w:vAlign w:val="bottom"/>
          </w:tcPr>
          <w:p>
            <w:pPr>
              <w:pStyle w:val="TableContents"/>
              <w:spacing w:before="0" w:after="283"/>
              <w:rPr/>
            </w:pPr>
            <w:r>
              <w:rPr/>
              <w:t> </w:t>
            </w:r>
          </w:p>
        </w:tc>
        <w:tc>
          <w:tcPr>
            <w:tcW w:w="542" w:type="dxa"/>
            <w:tcBorders/>
            <w:shd w:fill="auto" w:val="clear"/>
            <w:vAlign w:val="bottom"/>
          </w:tcPr>
          <w:p>
            <w:pPr>
              <w:pStyle w:val="TableContents"/>
              <w:spacing w:before="0" w:after="283"/>
              <w:jc w:val="right"/>
              <w:rPr/>
            </w:pPr>
            <w:hyperlink w:anchor="ci43504_incorporation_of_certain_information_by_reference">
              <w:r>
                <w:rPr>
                  <w:rStyle w:val="InternetLink"/>
                  <w:rFonts w:ascii="times" w:hAnsi="times"/>
                  <w:sz w:val="20"/>
                </w:rPr>
                <w:t>S-65</w:t>
              </w:r>
            </w:hyperlink>
          </w:p>
        </w:tc>
        <w:tc>
          <w:tcPr>
            <w:tcW w:w="241" w:type="dxa"/>
            <w:tcBorders/>
            <w:shd w:fill="auto" w:val="clear"/>
            <w:vAlign w:val="bottom"/>
          </w:tcPr>
          <w:p>
            <w:pPr>
              <w:pStyle w:val="TableContents"/>
              <w:spacing w:before="0" w:after="283"/>
              <w:rPr/>
            </w:pPr>
            <w:r>
              <w:rPr/>
              <w:t> </w:t>
            </w:r>
          </w:p>
        </w:tc>
      </w:tr>
      <w:tr>
        <w:trPr/>
        <w:tc>
          <w:tcPr>
            <w:tcW w:w="9040" w:type="dxa"/>
            <w:tcBorders/>
            <w:shd w:fill="auto" w:val="clear"/>
          </w:tcPr>
          <w:p>
            <w:pPr>
              <w:pStyle w:val="TableContents"/>
              <w:spacing w:before="240" w:after="283"/>
              <w:ind w:left="200" w:right="0" w:hanging="200"/>
              <w:rPr>
                <w:rFonts w:ascii="times" w:hAnsi="times"/>
                <w:b/>
                <w:sz w:val="20"/>
              </w:rPr>
            </w:pPr>
            <w:r>
              <w:rPr>
                <w:rFonts w:ascii="times" w:hAnsi="times"/>
                <w:b/>
                <w:sz w:val="20"/>
              </w:rPr>
              <w:t>PROSPECTUS</w:t>
            </w:r>
          </w:p>
        </w:tc>
        <w:tc>
          <w:tcPr>
            <w:tcW w:w="241" w:type="dxa"/>
            <w:tcBorders/>
            <w:shd w:fill="auto" w:val="clear"/>
          </w:tcPr>
          <w:p>
            <w:pPr>
              <w:pStyle w:val="TableContents"/>
              <w:spacing w:before="0" w:after="283"/>
              <w:rPr/>
            </w:pPr>
            <w:r>
              <w:rPr/>
              <w:t> </w:t>
            </w:r>
          </w:p>
        </w:tc>
        <w:tc>
          <w:tcPr>
            <w:tcW w:w="141" w:type="dxa"/>
            <w:tcBorders/>
            <w:shd w:fill="auto" w:val="clear"/>
            <w:vAlign w:val="bottom"/>
          </w:tcPr>
          <w:p>
            <w:pPr>
              <w:pStyle w:val="TableContents"/>
              <w:spacing w:before="0" w:after="283"/>
              <w:rPr/>
            </w:pPr>
            <w:r>
              <w:rPr/>
              <w:t> </w:t>
            </w:r>
          </w:p>
        </w:tc>
        <w:tc>
          <w:tcPr>
            <w:tcW w:w="542" w:type="dxa"/>
            <w:tcBorders/>
            <w:shd w:fill="auto" w:val="clear"/>
            <w:vAlign w:val="bottom"/>
          </w:tcPr>
          <w:p>
            <w:pPr>
              <w:pStyle w:val="TableContents"/>
              <w:spacing w:before="0" w:after="283"/>
              <w:jc w:val="right"/>
              <w:rPr>
                <w:rFonts w:ascii="times" w:hAnsi="times"/>
                <w:sz w:val="20"/>
              </w:rPr>
            </w:pPr>
            <w:r>
              <w:rPr>
                <w:rFonts w:ascii="times" w:hAnsi="times"/>
                <w:sz w:val="20"/>
              </w:rPr>
              <w:br/>
              <w:t> </w:t>
            </w:r>
          </w:p>
        </w:tc>
        <w:tc>
          <w:tcPr>
            <w:tcW w:w="241" w:type="dxa"/>
            <w:tcBorders/>
            <w:shd w:fill="auto" w:val="clear"/>
            <w:vAlign w:val="bottom"/>
          </w:tcPr>
          <w:p>
            <w:pPr>
              <w:pStyle w:val="TableContents"/>
              <w:spacing w:before="0" w:after="283"/>
              <w:rPr/>
            </w:pPr>
            <w:r>
              <w:rPr/>
              <w:t> </w:t>
            </w:r>
          </w:p>
        </w:tc>
      </w:tr>
      <w:tr>
        <w:trPr/>
        <w:tc>
          <w:tcPr>
            <w:tcW w:w="9040" w:type="dxa"/>
            <w:tcBorders/>
            <w:shd w:fill="auto" w:val="clear"/>
          </w:tcPr>
          <w:p>
            <w:pPr>
              <w:pStyle w:val="TableContents"/>
              <w:spacing w:before="240" w:after="283"/>
              <w:ind w:left="200" w:right="0" w:hanging="200"/>
              <w:rPr/>
            </w:pPr>
            <w:hyperlink w:anchor="FLS">
              <w:r>
                <w:rPr>
                  <w:rStyle w:val="InternetLink"/>
                  <w:rFonts w:ascii="times" w:hAnsi="times"/>
                  <w:sz w:val="20"/>
                </w:rPr>
                <w:t>FORWARD-LOOKING STATEMENTS</w:t>
              </w:r>
            </w:hyperlink>
          </w:p>
        </w:tc>
        <w:tc>
          <w:tcPr>
            <w:tcW w:w="241" w:type="dxa"/>
            <w:tcBorders/>
            <w:shd w:fill="auto" w:val="clear"/>
          </w:tcPr>
          <w:p>
            <w:pPr>
              <w:pStyle w:val="TableContents"/>
              <w:spacing w:before="0" w:after="283"/>
              <w:rPr/>
            </w:pPr>
            <w:r>
              <w:rPr/>
              <w:t> </w:t>
            </w:r>
          </w:p>
        </w:tc>
        <w:tc>
          <w:tcPr>
            <w:tcW w:w="141" w:type="dxa"/>
            <w:tcBorders/>
            <w:shd w:fill="auto" w:val="clear"/>
            <w:vAlign w:val="bottom"/>
          </w:tcPr>
          <w:p>
            <w:pPr>
              <w:pStyle w:val="TableContents"/>
              <w:spacing w:before="0" w:after="283"/>
              <w:rPr/>
            </w:pPr>
            <w:r>
              <w:rPr/>
              <w:t> </w:t>
            </w:r>
          </w:p>
        </w:tc>
        <w:tc>
          <w:tcPr>
            <w:tcW w:w="542" w:type="dxa"/>
            <w:tcBorders/>
            <w:shd w:fill="auto" w:val="clear"/>
            <w:vAlign w:val="bottom"/>
          </w:tcPr>
          <w:p>
            <w:pPr>
              <w:pStyle w:val="TableContents"/>
              <w:spacing w:before="0" w:after="283"/>
              <w:jc w:val="right"/>
              <w:rPr/>
            </w:pPr>
            <w:hyperlink w:anchor="FLS">
              <w:r>
                <w:rPr>
                  <w:rStyle w:val="InternetLink"/>
                  <w:rFonts w:ascii="times" w:hAnsi="times"/>
                  <w:sz w:val="20"/>
                </w:rPr>
                <w:br/>
                <w:t>1</w:t>
              </w:r>
            </w:hyperlink>
          </w:p>
        </w:tc>
        <w:tc>
          <w:tcPr>
            <w:tcW w:w="241" w:type="dxa"/>
            <w:tcBorders/>
            <w:shd w:fill="auto" w:val="clear"/>
            <w:vAlign w:val="bottom"/>
          </w:tcPr>
          <w:p>
            <w:pPr>
              <w:pStyle w:val="TableContents"/>
              <w:spacing w:before="0" w:after="283"/>
              <w:rPr/>
            </w:pPr>
            <w:r>
              <w:rPr/>
              <w:t> </w:t>
            </w:r>
          </w:p>
        </w:tc>
      </w:tr>
      <w:tr>
        <w:trPr/>
        <w:tc>
          <w:tcPr>
            <w:tcW w:w="9040" w:type="dxa"/>
            <w:tcBorders/>
            <w:shd w:fill="auto" w:val="clear"/>
          </w:tcPr>
          <w:p>
            <w:pPr>
              <w:pStyle w:val="TableContents"/>
              <w:spacing w:before="0" w:after="283"/>
              <w:ind w:left="200" w:right="0" w:hanging="200"/>
              <w:rPr/>
            </w:pPr>
            <w:hyperlink w:anchor="ea43504_the_company">
              <w:r>
                <w:rPr>
                  <w:rStyle w:val="InternetLink"/>
                  <w:rFonts w:ascii="times" w:hAnsi="times"/>
                  <w:sz w:val="20"/>
                </w:rPr>
                <w:t>THE COMPANY</w:t>
              </w:r>
            </w:hyperlink>
          </w:p>
        </w:tc>
        <w:tc>
          <w:tcPr>
            <w:tcW w:w="241" w:type="dxa"/>
            <w:tcBorders/>
            <w:shd w:fill="auto" w:val="clear"/>
          </w:tcPr>
          <w:p>
            <w:pPr>
              <w:pStyle w:val="TableContents"/>
              <w:spacing w:before="0" w:after="283"/>
              <w:rPr/>
            </w:pPr>
            <w:r>
              <w:rPr/>
              <w:t> </w:t>
            </w:r>
          </w:p>
        </w:tc>
        <w:tc>
          <w:tcPr>
            <w:tcW w:w="141" w:type="dxa"/>
            <w:tcBorders/>
            <w:shd w:fill="auto" w:val="clear"/>
            <w:vAlign w:val="bottom"/>
          </w:tcPr>
          <w:p>
            <w:pPr>
              <w:pStyle w:val="TableContents"/>
              <w:spacing w:before="0" w:after="283"/>
              <w:rPr/>
            </w:pPr>
            <w:r>
              <w:rPr/>
              <w:t> </w:t>
            </w:r>
          </w:p>
        </w:tc>
        <w:tc>
          <w:tcPr>
            <w:tcW w:w="542" w:type="dxa"/>
            <w:tcBorders/>
            <w:shd w:fill="auto" w:val="clear"/>
            <w:vAlign w:val="bottom"/>
          </w:tcPr>
          <w:p>
            <w:pPr>
              <w:pStyle w:val="TableContents"/>
              <w:spacing w:before="0" w:after="283"/>
              <w:jc w:val="right"/>
              <w:rPr/>
            </w:pPr>
            <w:hyperlink w:anchor="ea43504_the_company">
              <w:r>
                <w:rPr>
                  <w:rStyle w:val="InternetLink"/>
                  <w:rFonts w:ascii="times" w:hAnsi="times"/>
                  <w:sz w:val="20"/>
                </w:rPr>
                <w:t>4</w:t>
              </w:r>
            </w:hyperlink>
          </w:p>
        </w:tc>
        <w:tc>
          <w:tcPr>
            <w:tcW w:w="241" w:type="dxa"/>
            <w:tcBorders/>
            <w:shd w:fill="auto" w:val="clear"/>
            <w:vAlign w:val="bottom"/>
          </w:tcPr>
          <w:p>
            <w:pPr>
              <w:pStyle w:val="TableContents"/>
              <w:spacing w:before="0" w:after="283"/>
              <w:rPr/>
            </w:pPr>
            <w:r>
              <w:rPr/>
              <w:t> </w:t>
            </w:r>
          </w:p>
        </w:tc>
      </w:tr>
      <w:tr>
        <w:trPr/>
        <w:tc>
          <w:tcPr>
            <w:tcW w:w="9040" w:type="dxa"/>
            <w:tcBorders/>
            <w:shd w:fill="auto" w:val="clear"/>
          </w:tcPr>
          <w:p>
            <w:pPr>
              <w:pStyle w:val="TableContents"/>
              <w:spacing w:before="0" w:after="283"/>
              <w:ind w:left="200" w:right="0" w:hanging="200"/>
              <w:rPr/>
            </w:pPr>
            <w:hyperlink w:anchor="ec43504_risk_factors">
              <w:r>
                <w:rPr>
                  <w:rStyle w:val="InternetLink"/>
                  <w:rFonts w:ascii="times" w:hAnsi="times"/>
                  <w:sz w:val="20"/>
                </w:rPr>
                <w:t>RISK FACTORS</w:t>
              </w:r>
            </w:hyperlink>
          </w:p>
        </w:tc>
        <w:tc>
          <w:tcPr>
            <w:tcW w:w="241" w:type="dxa"/>
            <w:tcBorders/>
            <w:shd w:fill="auto" w:val="clear"/>
          </w:tcPr>
          <w:p>
            <w:pPr>
              <w:pStyle w:val="TableContents"/>
              <w:spacing w:before="0" w:after="283"/>
              <w:rPr/>
            </w:pPr>
            <w:r>
              <w:rPr/>
              <w:t> </w:t>
            </w:r>
          </w:p>
        </w:tc>
        <w:tc>
          <w:tcPr>
            <w:tcW w:w="141" w:type="dxa"/>
            <w:tcBorders/>
            <w:shd w:fill="auto" w:val="clear"/>
            <w:vAlign w:val="bottom"/>
          </w:tcPr>
          <w:p>
            <w:pPr>
              <w:pStyle w:val="TableContents"/>
              <w:spacing w:before="0" w:after="283"/>
              <w:rPr/>
            </w:pPr>
            <w:r>
              <w:rPr/>
              <w:t> </w:t>
            </w:r>
          </w:p>
        </w:tc>
        <w:tc>
          <w:tcPr>
            <w:tcW w:w="542" w:type="dxa"/>
            <w:tcBorders/>
            <w:shd w:fill="auto" w:val="clear"/>
            <w:vAlign w:val="bottom"/>
          </w:tcPr>
          <w:p>
            <w:pPr>
              <w:pStyle w:val="TableContents"/>
              <w:spacing w:before="0" w:after="283"/>
              <w:jc w:val="right"/>
              <w:rPr/>
            </w:pPr>
            <w:hyperlink w:anchor="ec43504_risk_factors">
              <w:r>
                <w:rPr>
                  <w:rStyle w:val="InternetLink"/>
                  <w:rFonts w:ascii="times" w:hAnsi="times"/>
                  <w:sz w:val="20"/>
                </w:rPr>
                <w:t>7</w:t>
              </w:r>
            </w:hyperlink>
          </w:p>
        </w:tc>
        <w:tc>
          <w:tcPr>
            <w:tcW w:w="241" w:type="dxa"/>
            <w:tcBorders/>
            <w:shd w:fill="auto" w:val="clear"/>
            <w:vAlign w:val="bottom"/>
          </w:tcPr>
          <w:p>
            <w:pPr>
              <w:pStyle w:val="TableContents"/>
              <w:spacing w:before="0" w:after="283"/>
              <w:rPr/>
            </w:pPr>
            <w:r>
              <w:rPr/>
              <w:t> </w:t>
            </w:r>
          </w:p>
        </w:tc>
      </w:tr>
      <w:tr>
        <w:trPr/>
        <w:tc>
          <w:tcPr>
            <w:tcW w:w="9040" w:type="dxa"/>
            <w:tcBorders/>
            <w:shd w:fill="auto" w:val="clear"/>
          </w:tcPr>
          <w:p>
            <w:pPr>
              <w:pStyle w:val="TableContents"/>
              <w:spacing w:before="0" w:after="283"/>
              <w:ind w:left="200" w:right="0" w:hanging="200"/>
              <w:rPr/>
            </w:pPr>
            <w:hyperlink w:anchor="ec43504_service_of_process_and_enforcement_of_liabilities">
              <w:r>
                <w:rPr>
                  <w:rStyle w:val="InternetLink"/>
                  <w:rFonts w:ascii="times" w:hAnsi="times"/>
                  <w:sz w:val="20"/>
                </w:rPr>
                <w:t>SERVICE OF PROCESS AND ENFORCEMENT OF LIABILITIES</w:t>
              </w:r>
            </w:hyperlink>
          </w:p>
        </w:tc>
        <w:tc>
          <w:tcPr>
            <w:tcW w:w="241" w:type="dxa"/>
            <w:tcBorders/>
            <w:shd w:fill="auto" w:val="clear"/>
          </w:tcPr>
          <w:p>
            <w:pPr>
              <w:pStyle w:val="TableContents"/>
              <w:spacing w:before="0" w:after="283"/>
              <w:rPr/>
            </w:pPr>
            <w:r>
              <w:rPr/>
              <w:t> </w:t>
            </w:r>
          </w:p>
        </w:tc>
        <w:tc>
          <w:tcPr>
            <w:tcW w:w="141" w:type="dxa"/>
            <w:tcBorders/>
            <w:shd w:fill="auto" w:val="clear"/>
            <w:vAlign w:val="bottom"/>
          </w:tcPr>
          <w:p>
            <w:pPr>
              <w:pStyle w:val="TableContents"/>
              <w:spacing w:before="0" w:after="283"/>
              <w:rPr/>
            </w:pPr>
            <w:r>
              <w:rPr/>
              <w:t> </w:t>
            </w:r>
          </w:p>
        </w:tc>
        <w:tc>
          <w:tcPr>
            <w:tcW w:w="542" w:type="dxa"/>
            <w:tcBorders/>
            <w:shd w:fill="auto" w:val="clear"/>
            <w:vAlign w:val="bottom"/>
          </w:tcPr>
          <w:p>
            <w:pPr>
              <w:pStyle w:val="TableContents"/>
              <w:spacing w:before="0" w:after="283"/>
              <w:jc w:val="right"/>
              <w:rPr/>
            </w:pPr>
            <w:hyperlink w:anchor="ec43504_service_of_process_and_enforcement_of_liabilities">
              <w:r>
                <w:rPr>
                  <w:rStyle w:val="InternetLink"/>
                  <w:rFonts w:ascii="times" w:hAnsi="times"/>
                  <w:sz w:val="20"/>
                </w:rPr>
                <w:t>8</w:t>
              </w:r>
            </w:hyperlink>
          </w:p>
        </w:tc>
        <w:tc>
          <w:tcPr>
            <w:tcW w:w="241" w:type="dxa"/>
            <w:tcBorders/>
            <w:shd w:fill="auto" w:val="clear"/>
            <w:vAlign w:val="bottom"/>
          </w:tcPr>
          <w:p>
            <w:pPr>
              <w:pStyle w:val="TableContents"/>
              <w:spacing w:before="0" w:after="283"/>
              <w:rPr/>
            </w:pPr>
            <w:r>
              <w:rPr/>
              <w:t> </w:t>
            </w:r>
          </w:p>
        </w:tc>
      </w:tr>
      <w:tr>
        <w:trPr/>
        <w:tc>
          <w:tcPr>
            <w:tcW w:w="9040" w:type="dxa"/>
            <w:tcBorders/>
            <w:shd w:fill="auto" w:val="clear"/>
          </w:tcPr>
          <w:p>
            <w:pPr>
              <w:pStyle w:val="TableContents"/>
              <w:spacing w:before="0" w:after="283"/>
              <w:ind w:left="200" w:right="0" w:hanging="200"/>
              <w:rPr/>
            </w:pPr>
            <w:hyperlink w:anchor="ec43504_about_this_prospectus">
              <w:r>
                <w:rPr>
                  <w:rStyle w:val="InternetLink"/>
                  <w:rFonts w:ascii="times" w:hAnsi="times"/>
                  <w:sz w:val="20"/>
                </w:rPr>
                <w:t>ABOUT THIS PROSPECTUS</w:t>
              </w:r>
            </w:hyperlink>
          </w:p>
        </w:tc>
        <w:tc>
          <w:tcPr>
            <w:tcW w:w="241" w:type="dxa"/>
            <w:tcBorders/>
            <w:shd w:fill="auto" w:val="clear"/>
          </w:tcPr>
          <w:p>
            <w:pPr>
              <w:pStyle w:val="TableContents"/>
              <w:spacing w:before="0" w:after="283"/>
              <w:rPr/>
            </w:pPr>
            <w:r>
              <w:rPr/>
              <w:t> </w:t>
            </w:r>
          </w:p>
        </w:tc>
        <w:tc>
          <w:tcPr>
            <w:tcW w:w="141" w:type="dxa"/>
            <w:tcBorders/>
            <w:shd w:fill="auto" w:val="clear"/>
            <w:vAlign w:val="bottom"/>
          </w:tcPr>
          <w:p>
            <w:pPr>
              <w:pStyle w:val="TableContents"/>
              <w:spacing w:before="0" w:after="283"/>
              <w:rPr/>
            </w:pPr>
            <w:r>
              <w:rPr/>
              <w:t> </w:t>
            </w:r>
          </w:p>
        </w:tc>
        <w:tc>
          <w:tcPr>
            <w:tcW w:w="542" w:type="dxa"/>
            <w:tcBorders/>
            <w:shd w:fill="auto" w:val="clear"/>
            <w:vAlign w:val="bottom"/>
          </w:tcPr>
          <w:p>
            <w:pPr>
              <w:pStyle w:val="TableContents"/>
              <w:spacing w:before="0" w:after="283"/>
              <w:jc w:val="right"/>
              <w:rPr/>
            </w:pPr>
            <w:hyperlink w:anchor="ec43504_about_this_prospectus">
              <w:r>
                <w:rPr>
                  <w:rStyle w:val="InternetLink"/>
                  <w:rFonts w:ascii="times" w:hAnsi="times"/>
                  <w:sz w:val="20"/>
                </w:rPr>
                <w:t>9</w:t>
              </w:r>
            </w:hyperlink>
          </w:p>
        </w:tc>
        <w:tc>
          <w:tcPr>
            <w:tcW w:w="241" w:type="dxa"/>
            <w:tcBorders/>
            <w:shd w:fill="auto" w:val="clear"/>
            <w:vAlign w:val="bottom"/>
          </w:tcPr>
          <w:p>
            <w:pPr>
              <w:pStyle w:val="TableContents"/>
              <w:spacing w:before="0" w:after="283"/>
              <w:rPr/>
            </w:pPr>
            <w:r>
              <w:rPr/>
              <w:t> </w:t>
            </w:r>
          </w:p>
        </w:tc>
      </w:tr>
      <w:tr>
        <w:trPr/>
        <w:tc>
          <w:tcPr>
            <w:tcW w:w="9040" w:type="dxa"/>
            <w:tcBorders/>
            <w:shd w:fill="auto" w:val="clear"/>
          </w:tcPr>
          <w:p>
            <w:pPr>
              <w:pStyle w:val="TableContents"/>
              <w:spacing w:before="0" w:after="283"/>
              <w:ind w:left="200" w:right="0" w:hanging="200"/>
              <w:rPr/>
            </w:pPr>
            <w:hyperlink w:anchor="ec43504_where_you_can_find_additional_information">
              <w:r>
                <w:rPr>
                  <w:rStyle w:val="InternetLink"/>
                  <w:rFonts w:ascii="times" w:hAnsi="times"/>
                  <w:sz w:val="20"/>
                </w:rPr>
                <w:t>WHERE YOU CAN FIND ADDITIONAL INFORMATION</w:t>
              </w:r>
            </w:hyperlink>
          </w:p>
        </w:tc>
        <w:tc>
          <w:tcPr>
            <w:tcW w:w="241" w:type="dxa"/>
            <w:tcBorders/>
            <w:shd w:fill="auto" w:val="clear"/>
          </w:tcPr>
          <w:p>
            <w:pPr>
              <w:pStyle w:val="TableContents"/>
              <w:spacing w:before="0" w:after="283"/>
              <w:rPr/>
            </w:pPr>
            <w:r>
              <w:rPr/>
              <w:t> </w:t>
            </w:r>
          </w:p>
        </w:tc>
        <w:tc>
          <w:tcPr>
            <w:tcW w:w="141" w:type="dxa"/>
            <w:tcBorders/>
            <w:shd w:fill="auto" w:val="clear"/>
            <w:vAlign w:val="bottom"/>
          </w:tcPr>
          <w:p>
            <w:pPr>
              <w:pStyle w:val="TableContents"/>
              <w:spacing w:before="0" w:after="283"/>
              <w:rPr/>
            </w:pPr>
            <w:r>
              <w:rPr/>
              <w:t> </w:t>
            </w:r>
          </w:p>
        </w:tc>
        <w:tc>
          <w:tcPr>
            <w:tcW w:w="542" w:type="dxa"/>
            <w:tcBorders/>
            <w:shd w:fill="auto" w:val="clear"/>
            <w:vAlign w:val="bottom"/>
          </w:tcPr>
          <w:p>
            <w:pPr>
              <w:pStyle w:val="TableContents"/>
              <w:spacing w:before="0" w:after="283"/>
              <w:jc w:val="right"/>
              <w:rPr/>
            </w:pPr>
            <w:hyperlink w:anchor="ec43504_where_you_can_find_additional_information">
              <w:r>
                <w:rPr>
                  <w:rStyle w:val="InternetLink"/>
                  <w:rFonts w:ascii="times" w:hAnsi="times"/>
                  <w:sz w:val="20"/>
                </w:rPr>
                <w:t>9</w:t>
              </w:r>
            </w:hyperlink>
          </w:p>
        </w:tc>
        <w:tc>
          <w:tcPr>
            <w:tcW w:w="241" w:type="dxa"/>
            <w:tcBorders/>
            <w:shd w:fill="auto" w:val="clear"/>
            <w:vAlign w:val="bottom"/>
          </w:tcPr>
          <w:p>
            <w:pPr>
              <w:pStyle w:val="TableContents"/>
              <w:spacing w:before="0" w:after="283"/>
              <w:rPr/>
            </w:pPr>
            <w:r>
              <w:rPr/>
              <w:t> </w:t>
            </w:r>
          </w:p>
        </w:tc>
      </w:tr>
      <w:tr>
        <w:trPr/>
        <w:tc>
          <w:tcPr>
            <w:tcW w:w="9040" w:type="dxa"/>
            <w:tcBorders/>
            <w:shd w:fill="auto" w:val="clear"/>
          </w:tcPr>
          <w:p>
            <w:pPr>
              <w:pStyle w:val="TableContents"/>
              <w:spacing w:before="0" w:after="283"/>
              <w:ind w:left="200" w:right="0" w:hanging="200"/>
              <w:rPr/>
            </w:pPr>
            <w:hyperlink w:anchor="ec43504_incorporation_of_certain_information_by_reference">
              <w:r>
                <w:rPr>
                  <w:rStyle w:val="InternetLink"/>
                  <w:rFonts w:ascii="times" w:hAnsi="times"/>
                  <w:sz w:val="20"/>
                </w:rPr>
                <w:t>INCORPORATION OF CERTAIN INFORMATION BY REFERENCE</w:t>
              </w:r>
            </w:hyperlink>
          </w:p>
        </w:tc>
        <w:tc>
          <w:tcPr>
            <w:tcW w:w="241" w:type="dxa"/>
            <w:tcBorders/>
            <w:shd w:fill="auto" w:val="clear"/>
          </w:tcPr>
          <w:p>
            <w:pPr>
              <w:pStyle w:val="TableContents"/>
              <w:spacing w:before="0" w:after="283"/>
              <w:rPr/>
            </w:pPr>
            <w:r>
              <w:rPr/>
              <w:t> </w:t>
            </w:r>
          </w:p>
        </w:tc>
        <w:tc>
          <w:tcPr>
            <w:tcW w:w="141" w:type="dxa"/>
            <w:tcBorders/>
            <w:shd w:fill="auto" w:val="clear"/>
            <w:vAlign w:val="bottom"/>
          </w:tcPr>
          <w:p>
            <w:pPr>
              <w:pStyle w:val="TableContents"/>
              <w:spacing w:before="0" w:after="283"/>
              <w:rPr/>
            </w:pPr>
            <w:r>
              <w:rPr/>
              <w:t> </w:t>
            </w:r>
          </w:p>
        </w:tc>
        <w:tc>
          <w:tcPr>
            <w:tcW w:w="542" w:type="dxa"/>
            <w:tcBorders/>
            <w:shd w:fill="auto" w:val="clear"/>
            <w:vAlign w:val="bottom"/>
          </w:tcPr>
          <w:p>
            <w:pPr>
              <w:pStyle w:val="TableContents"/>
              <w:spacing w:before="0" w:after="283"/>
              <w:jc w:val="right"/>
              <w:rPr/>
            </w:pPr>
            <w:hyperlink w:anchor="ec43504_incorporation_of_certain_information_by_reference">
              <w:r>
                <w:rPr>
                  <w:rStyle w:val="InternetLink"/>
                  <w:rFonts w:ascii="times" w:hAnsi="times"/>
                  <w:sz w:val="20"/>
                </w:rPr>
                <w:t>10</w:t>
              </w:r>
            </w:hyperlink>
          </w:p>
        </w:tc>
        <w:tc>
          <w:tcPr>
            <w:tcW w:w="241" w:type="dxa"/>
            <w:tcBorders/>
            <w:shd w:fill="auto" w:val="clear"/>
            <w:vAlign w:val="bottom"/>
          </w:tcPr>
          <w:p>
            <w:pPr>
              <w:pStyle w:val="TableContents"/>
              <w:spacing w:before="0" w:after="283"/>
              <w:rPr/>
            </w:pPr>
            <w:r>
              <w:rPr/>
              <w:t> </w:t>
            </w:r>
          </w:p>
        </w:tc>
      </w:tr>
      <w:tr>
        <w:trPr/>
        <w:tc>
          <w:tcPr>
            <w:tcW w:w="9040" w:type="dxa"/>
            <w:tcBorders/>
            <w:shd w:fill="auto" w:val="clear"/>
          </w:tcPr>
          <w:p>
            <w:pPr>
              <w:pStyle w:val="TableContents"/>
              <w:spacing w:before="0" w:after="283"/>
              <w:ind w:left="200" w:right="0" w:hanging="200"/>
              <w:rPr/>
            </w:pPr>
            <w:hyperlink w:anchor="ec43504_use_of_proceeds">
              <w:r>
                <w:rPr>
                  <w:rStyle w:val="InternetLink"/>
                  <w:rFonts w:ascii="times" w:hAnsi="times"/>
                  <w:sz w:val="20"/>
                </w:rPr>
                <w:t>USE OF PROCEEDS</w:t>
              </w:r>
            </w:hyperlink>
          </w:p>
        </w:tc>
        <w:tc>
          <w:tcPr>
            <w:tcW w:w="241" w:type="dxa"/>
            <w:tcBorders/>
            <w:shd w:fill="auto" w:val="clear"/>
          </w:tcPr>
          <w:p>
            <w:pPr>
              <w:pStyle w:val="TableContents"/>
              <w:spacing w:before="0" w:after="283"/>
              <w:rPr/>
            </w:pPr>
            <w:r>
              <w:rPr/>
              <w:t> </w:t>
            </w:r>
          </w:p>
        </w:tc>
        <w:tc>
          <w:tcPr>
            <w:tcW w:w="141" w:type="dxa"/>
            <w:tcBorders/>
            <w:shd w:fill="auto" w:val="clear"/>
            <w:vAlign w:val="bottom"/>
          </w:tcPr>
          <w:p>
            <w:pPr>
              <w:pStyle w:val="TableContents"/>
              <w:spacing w:before="0" w:after="283"/>
              <w:rPr/>
            </w:pPr>
            <w:r>
              <w:rPr/>
              <w:t> </w:t>
            </w:r>
          </w:p>
        </w:tc>
        <w:tc>
          <w:tcPr>
            <w:tcW w:w="542" w:type="dxa"/>
            <w:tcBorders/>
            <w:shd w:fill="auto" w:val="clear"/>
            <w:vAlign w:val="bottom"/>
          </w:tcPr>
          <w:p>
            <w:pPr>
              <w:pStyle w:val="TableContents"/>
              <w:spacing w:before="0" w:after="283"/>
              <w:jc w:val="right"/>
              <w:rPr/>
            </w:pPr>
            <w:hyperlink w:anchor="ec43504_use_of_proceeds">
              <w:r>
                <w:rPr>
                  <w:rStyle w:val="InternetLink"/>
                  <w:rFonts w:ascii="times" w:hAnsi="times"/>
                  <w:sz w:val="20"/>
                </w:rPr>
                <w:t>12</w:t>
              </w:r>
            </w:hyperlink>
          </w:p>
        </w:tc>
        <w:tc>
          <w:tcPr>
            <w:tcW w:w="241" w:type="dxa"/>
            <w:tcBorders/>
            <w:shd w:fill="auto" w:val="clear"/>
            <w:vAlign w:val="bottom"/>
          </w:tcPr>
          <w:p>
            <w:pPr>
              <w:pStyle w:val="TableContents"/>
              <w:spacing w:before="0" w:after="283"/>
              <w:rPr/>
            </w:pPr>
            <w:r>
              <w:rPr/>
              <w:t> </w:t>
            </w:r>
          </w:p>
        </w:tc>
      </w:tr>
      <w:tr>
        <w:trPr/>
        <w:tc>
          <w:tcPr>
            <w:tcW w:w="9040" w:type="dxa"/>
            <w:tcBorders/>
            <w:shd w:fill="auto" w:val="clear"/>
          </w:tcPr>
          <w:p>
            <w:pPr>
              <w:pStyle w:val="TableContents"/>
              <w:spacing w:before="0" w:after="283"/>
              <w:ind w:left="200" w:right="0" w:hanging="200"/>
              <w:rPr/>
            </w:pPr>
            <w:hyperlink w:anchor="ec43504_capitalization_and_indebtedness">
              <w:r>
                <w:rPr>
                  <w:rStyle w:val="InternetLink"/>
                  <w:rFonts w:ascii="times" w:hAnsi="times"/>
                  <w:sz w:val="20"/>
                </w:rPr>
                <w:t>CAPITALIZATION AND INDEBTEDNESS</w:t>
              </w:r>
            </w:hyperlink>
          </w:p>
        </w:tc>
        <w:tc>
          <w:tcPr>
            <w:tcW w:w="241" w:type="dxa"/>
            <w:tcBorders/>
            <w:shd w:fill="auto" w:val="clear"/>
          </w:tcPr>
          <w:p>
            <w:pPr>
              <w:pStyle w:val="TableContents"/>
              <w:spacing w:before="0" w:after="283"/>
              <w:rPr/>
            </w:pPr>
            <w:r>
              <w:rPr/>
              <w:t> </w:t>
            </w:r>
          </w:p>
        </w:tc>
        <w:tc>
          <w:tcPr>
            <w:tcW w:w="141" w:type="dxa"/>
            <w:tcBorders/>
            <w:shd w:fill="auto" w:val="clear"/>
            <w:vAlign w:val="bottom"/>
          </w:tcPr>
          <w:p>
            <w:pPr>
              <w:pStyle w:val="TableContents"/>
              <w:spacing w:before="0" w:after="283"/>
              <w:rPr/>
            </w:pPr>
            <w:r>
              <w:rPr/>
              <w:t> </w:t>
            </w:r>
          </w:p>
        </w:tc>
        <w:tc>
          <w:tcPr>
            <w:tcW w:w="542" w:type="dxa"/>
            <w:tcBorders/>
            <w:shd w:fill="auto" w:val="clear"/>
            <w:vAlign w:val="bottom"/>
          </w:tcPr>
          <w:p>
            <w:pPr>
              <w:pStyle w:val="TableContents"/>
              <w:spacing w:before="0" w:after="283"/>
              <w:jc w:val="right"/>
              <w:rPr/>
            </w:pPr>
            <w:hyperlink w:anchor="ec43504_capitalization_and_indebtedness">
              <w:r>
                <w:rPr>
                  <w:rStyle w:val="InternetLink"/>
                  <w:rFonts w:ascii="times" w:hAnsi="times"/>
                  <w:sz w:val="20"/>
                </w:rPr>
                <w:t>12</w:t>
              </w:r>
            </w:hyperlink>
          </w:p>
        </w:tc>
        <w:tc>
          <w:tcPr>
            <w:tcW w:w="241" w:type="dxa"/>
            <w:tcBorders/>
            <w:shd w:fill="auto" w:val="clear"/>
            <w:vAlign w:val="bottom"/>
          </w:tcPr>
          <w:p>
            <w:pPr>
              <w:pStyle w:val="TableContents"/>
              <w:spacing w:before="0" w:after="283"/>
              <w:rPr/>
            </w:pPr>
            <w:r>
              <w:rPr/>
              <w:t> </w:t>
            </w:r>
          </w:p>
        </w:tc>
      </w:tr>
      <w:tr>
        <w:trPr/>
        <w:tc>
          <w:tcPr>
            <w:tcW w:w="9040" w:type="dxa"/>
            <w:tcBorders/>
            <w:shd w:fill="auto" w:val="clear"/>
          </w:tcPr>
          <w:p>
            <w:pPr>
              <w:pStyle w:val="TableContents"/>
              <w:spacing w:before="0" w:after="283"/>
              <w:ind w:left="200" w:right="0" w:hanging="200"/>
              <w:rPr/>
            </w:pPr>
            <w:hyperlink w:anchor="ec43504_description_of_common_units">
              <w:r>
                <w:rPr>
                  <w:rStyle w:val="InternetLink"/>
                  <w:rFonts w:ascii="times" w:hAnsi="times"/>
                  <w:sz w:val="20"/>
                </w:rPr>
                <w:t>DESCRIPTION OF COMMON UNITS</w:t>
              </w:r>
            </w:hyperlink>
          </w:p>
        </w:tc>
        <w:tc>
          <w:tcPr>
            <w:tcW w:w="241" w:type="dxa"/>
            <w:tcBorders/>
            <w:shd w:fill="auto" w:val="clear"/>
          </w:tcPr>
          <w:p>
            <w:pPr>
              <w:pStyle w:val="TableContents"/>
              <w:spacing w:before="0" w:after="283"/>
              <w:rPr/>
            </w:pPr>
            <w:r>
              <w:rPr/>
              <w:t> </w:t>
            </w:r>
          </w:p>
        </w:tc>
        <w:tc>
          <w:tcPr>
            <w:tcW w:w="141" w:type="dxa"/>
            <w:tcBorders/>
            <w:shd w:fill="auto" w:val="clear"/>
            <w:vAlign w:val="bottom"/>
          </w:tcPr>
          <w:p>
            <w:pPr>
              <w:pStyle w:val="TableContents"/>
              <w:spacing w:before="0" w:after="283"/>
              <w:rPr/>
            </w:pPr>
            <w:r>
              <w:rPr/>
              <w:t> </w:t>
            </w:r>
          </w:p>
        </w:tc>
        <w:tc>
          <w:tcPr>
            <w:tcW w:w="542" w:type="dxa"/>
            <w:tcBorders/>
            <w:shd w:fill="auto" w:val="clear"/>
            <w:vAlign w:val="bottom"/>
          </w:tcPr>
          <w:p>
            <w:pPr>
              <w:pStyle w:val="TableContents"/>
              <w:spacing w:before="0" w:after="283"/>
              <w:jc w:val="right"/>
              <w:rPr/>
            </w:pPr>
            <w:hyperlink w:anchor="ec43504_description_of_common_units">
              <w:r>
                <w:rPr>
                  <w:rStyle w:val="InternetLink"/>
                  <w:rFonts w:ascii="times" w:hAnsi="times"/>
                  <w:sz w:val="20"/>
                </w:rPr>
                <w:t>12</w:t>
              </w:r>
            </w:hyperlink>
          </w:p>
        </w:tc>
        <w:tc>
          <w:tcPr>
            <w:tcW w:w="241" w:type="dxa"/>
            <w:tcBorders/>
            <w:shd w:fill="auto" w:val="clear"/>
            <w:vAlign w:val="bottom"/>
          </w:tcPr>
          <w:p>
            <w:pPr>
              <w:pStyle w:val="TableContents"/>
              <w:spacing w:before="0" w:after="283"/>
              <w:rPr/>
            </w:pPr>
            <w:r>
              <w:rPr/>
              <w:t> </w:t>
            </w:r>
          </w:p>
        </w:tc>
      </w:tr>
      <w:tr>
        <w:trPr/>
        <w:tc>
          <w:tcPr>
            <w:tcW w:w="9040" w:type="dxa"/>
            <w:tcBorders/>
            <w:shd w:fill="auto" w:val="clear"/>
          </w:tcPr>
          <w:p>
            <w:pPr>
              <w:pStyle w:val="TableContents"/>
              <w:spacing w:before="0" w:after="283"/>
              <w:ind w:left="200" w:right="0" w:hanging="200"/>
              <w:rPr/>
            </w:pPr>
            <w:hyperlink w:anchor="ee43504_description_of_class_b_units">
              <w:r>
                <w:rPr>
                  <w:rStyle w:val="InternetLink"/>
                  <w:rFonts w:ascii="times" w:hAnsi="times"/>
                  <w:sz w:val="20"/>
                </w:rPr>
                <w:t>DESCRIPTION OF CLASS B UNITS</w:t>
              </w:r>
            </w:hyperlink>
          </w:p>
        </w:tc>
        <w:tc>
          <w:tcPr>
            <w:tcW w:w="241" w:type="dxa"/>
            <w:tcBorders/>
            <w:shd w:fill="auto" w:val="clear"/>
          </w:tcPr>
          <w:p>
            <w:pPr>
              <w:pStyle w:val="TableContents"/>
              <w:spacing w:before="0" w:after="283"/>
              <w:rPr/>
            </w:pPr>
            <w:r>
              <w:rPr/>
              <w:t> </w:t>
            </w:r>
          </w:p>
        </w:tc>
        <w:tc>
          <w:tcPr>
            <w:tcW w:w="141" w:type="dxa"/>
            <w:tcBorders/>
            <w:shd w:fill="auto" w:val="clear"/>
            <w:vAlign w:val="bottom"/>
          </w:tcPr>
          <w:p>
            <w:pPr>
              <w:pStyle w:val="TableContents"/>
              <w:spacing w:before="0" w:after="283"/>
              <w:rPr/>
            </w:pPr>
            <w:r>
              <w:rPr/>
              <w:t> </w:t>
            </w:r>
          </w:p>
        </w:tc>
        <w:tc>
          <w:tcPr>
            <w:tcW w:w="542" w:type="dxa"/>
            <w:tcBorders/>
            <w:shd w:fill="auto" w:val="clear"/>
            <w:vAlign w:val="bottom"/>
          </w:tcPr>
          <w:p>
            <w:pPr>
              <w:pStyle w:val="TableContents"/>
              <w:spacing w:before="0" w:after="283"/>
              <w:jc w:val="right"/>
              <w:rPr/>
            </w:pPr>
            <w:hyperlink w:anchor="ee43504_description_of_class_b_units">
              <w:r>
                <w:rPr>
                  <w:rStyle w:val="InternetLink"/>
                  <w:rFonts w:ascii="times" w:hAnsi="times"/>
                  <w:sz w:val="20"/>
                </w:rPr>
                <w:t>13</w:t>
              </w:r>
            </w:hyperlink>
          </w:p>
        </w:tc>
        <w:tc>
          <w:tcPr>
            <w:tcW w:w="241" w:type="dxa"/>
            <w:tcBorders/>
            <w:shd w:fill="auto" w:val="clear"/>
            <w:vAlign w:val="bottom"/>
          </w:tcPr>
          <w:p>
            <w:pPr>
              <w:pStyle w:val="TableContents"/>
              <w:spacing w:before="0" w:after="283"/>
              <w:rPr/>
            </w:pPr>
            <w:r>
              <w:rPr/>
              <w:t> </w:t>
            </w:r>
          </w:p>
        </w:tc>
      </w:tr>
      <w:tr>
        <w:trPr/>
        <w:tc>
          <w:tcPr>
            <w:tcW w:w="9040" w:type="dxa"/>
            <w:tcBorders/>
            <w:shd w:fill="auto" w:val="clear"/>
          </w:tcPr>
          <w:p>
            <w:pPr>
              <w:pStyle w:val="TableContents"/>
              <w:spacing w:before="0" w:after="283"/>
              <w:ind w:left="200" w:right="0" w:hanging="200"/>
              <w:rPr/>
            </w:pPr>
            <w:hyperlink w:anchor="ee43504_description_of_series_a_preference_units">
              <w:r>
                <w:rPr>
                  <w:rStyle w:val="InternetLink"/>
                  <w:rFonts w:ascii="times" w:hAnsi="times"/>
                  <w:sz w:val="20"/>
                </w:rPr>
                <w:t>DESCRIPTION OF SERIES A PREFERENCE UNITS</w:t>
              </w:r>
            </w:hyperlink>
          </w:p>
        </w:tc>
        <w:tc>
          <w:tcPr>
            <w:tcW w:w="241" w:type="dxa"/>
            <w:tcBorders/>
            <w:shd w:fill="auto" w:val="clear"/>
          </w:tcPr>
          <w:p>
            <w:pPr>
              <w:pStyle w:val="TableContents"/>
              <w:spacing w:before="0" w:after="283"/>
              <w:rPr/>
            </w:pPr>
            <w:r>
              <w:rPr/>
              <w:t> </w:t>
            </w:r>
          </w:p>
        </w:tc>
        <w:tc>
          <w:tcPr>
            <w:tcW w:w="141" w:type="dxa"/>
            <w:tcBorders/>
            <w:shd w:fill="auto" w:val="clear"/>
            <w:vAlign w:val="bottom"/>
          </w:tcPr>
          <w:p>
            <w:pPr>
              <w:pStyle w:val="TableContents"/>
              <w:spacing w:before="0" w:after="283"/>
              <w:rPr/>
            </w:pPr>
            <w:r>
              <w:rPr/>
              <w:t> </w:t>
            </w:r>
          </w:p>
        </w:tc>
        <w:tc>
          <w:tcPr>
            <w:tcW w:w="542" w:type="dxa"/>
            <w:tcBorders/>
            <w:shd w:fill="auto" w:val="clear"/>
            <w:vAlign w:val="bottom"/>
          </w:tcPr>
          <w:p>
            <w:pPr>
              <w:pStyle w:val="TableContents"/>
              <w:spacing w:before="0" w:after="283"/>
              <w:jc w:val="right"/>
              <w:rPr/>
            </w:pPr>
            <w:hyperlink w:anchor="ee43504_description_of_series_a_preference_units">
              <w:r>
                <w:rPr>
                  <w:rStyle w:val="InternetLink"/>
                  <w:rFonts w:ascii="times" w:hAnsi="times"/>
                  <w:sz w:val="20"/>
                </w:rPr>
                <w:t>15</w:t>
              </w:r>
            </w:hyperlink>
          </w:p>
        </w:tc>
        <w:tc>
          <w:tcPr>
            <w:tcW w:w="241" w:type="dxa"/>
            <w:tcBorders/>
            <w:shd w:fill="auto" w:val="clear"/>
            <w:vAlign w:val="bottom"/>
          </w:tcPr>
          <w:p>
            <w:pPr>
              <w:pStyle w:val="TableContents"/>
              <w:spacing w:before="0" w:after="283"/>
              <w:rPr/>
            </w:pPr>
            <w:r>
              <w:rPr/>
              <w:t> </w:t>
            </w:r>
          </w:p>
        </w:tc>
      </w:tr>
      <w:tr>
        <w:trPr/>
        <w:tc>
          <w:tcPr>
            <w:tcW w:w="9040" w:type="dxa"/>
            <w:tcBorders/>
            <w:shd w:fill="auto" w:val="clear"/>
          </w:tcPr>
          <w:p>
            <w:pPr>
              <w:pStyle w:val="TableContents"/>
              <w:spacing w:before="0" w:after="283"/>
              <w:ind w:left="200" w:right="0" w:hanging="200"/>
              <w:rPr/>
            </w:pPr>
            <w:hyperlink w:anchor="ee43504_description_of_series_b_preference_units">
              <w:r>
                <w:rPr>
                  <w:rStyle w:val="InternetLink"/>
                  <w:rFonts w:ascii="times" w:hAnsi="times"/>
                  <w:sz w:val="20"/>
                </w:rPr>
                <w:t>DESCRIPTION OF SERIES B PREFERENCE UNITS</w:t>
              </w:r>
            </w:hyperlink>
          </w:p>
        </w:tc>
        <w:tc>
          <w:tcPr>
            <w:tcW w:w="241" w:type="dxa"/>
            <w:tcBorders/>
            <w:shd w:fill="auto" w:val="clear"/>
          </w:tcPr>
          <w:p>
            <w:pPr>
              <w:pStyle w:val="TableContents"/>
              <w:spacing w:before="0" w:after="283"/>
              <w:rPr/>
            </w:pPr>
            <w:r>
              <w:rPr/>
              <w:t> </w:t>
            </w:r>
          </w:p>
        </w:tc>
        <w:tc>
          <w:tcPr>
            <w:tcW w:w="141" w:type="dxa"/>
            <w:tcBorders/>
            <w:shd w:fill="auto" w:val="clear"/>
            <w:vAlign w:val="bottom"/>
          </w:tcPr>
          <w:p>
            <w:pPr>
              <w:pStyle w:val="TableContents"/>
              <w:spacing w:before="0" w:after="283"/>
              <w:rPr/>
            </w:pPr>
            <w:r>
              <w:rPr/>
              <w:t> </w:t>
            </w:r>
          </w:p>
        </w:tc>
        <w:tc>
          <w:tcPr>
            <w:tcW w:w="542" w:type="dxa"/>
            <w:tcBorders/>
            <w:shd w:fill="auto" w:val="clear"/>
            <w:vAlign w:val="bottom"/>
          </w:tcPr>
          <w:p>
            <w:pPr>
              <w:pStyle w:val="TableContents"/>
              <w:spacing w:before="0" w:after="283"/>
              <w:jc w:val="right"/>
              <w:rPr/>
            </w:pPr>
            <w:hyperlink w:anchor="ee43504_description_of_series_b_preference_units">
              <w:r>
                <w:rPr>
                  <w:rStyle w:val="InternetLink"/>
                  <w:rFonts w:ascii="times" w:hAnsi="times"/>
                  <w:sz w:val="20"/>
                </w:rPr>
                <w:t>15</w:t>
              </w:r>
            </w:hyperlink>
          </w:p>
        </w:tc>
        <w:tc>
          <w:tcPr>
            <w:tcW w:w="241" w:type="dxa"/>
            <w:tcBorders/>
            <w:shd w:fill="auto" w:val="clear"/>
            <w:vAlign w:val="bottom"/>
          </w:tcPr>
          <w:p>
            <w:pPr>
              <w:pStyle w:val="TableContents"/>
              <w:spacing w:before="0" w:after="283"/>
              <w:rPr/>
            </w:pPr>
            <w:r>
              <w:rPr/>
              <w:t> </w:t>
            </w:r>
          </w:p>
        </w:tc>
      </w:tr>
      <w:tr>
        <w:trPr/>
        <w:tc>
          <w:tcPr>
            <w:tcW w:w="9040" w:type="dxa"/>
            <w:tcBorders/>
            <w:shd w:fill="auto" w:val="clear"/>
          </w:tcPr>
          <w:p>
            <w:pPr>
              <w:pStyle w:val="TableContents"/>
              <w:spacing w:before="0" w:after="283"/>
              <w:ind w:left="200" w:right="0" w:hanging="200"/>
              <w:rPr/>
            </w:pPr>
            <w:hyperlink w:anchor="ee43504_description_of_series_c_preference_units">
              <w:r>
                <w:rPr>
                  <w:rStyle w:val="InternetLink"/>
                  <w:rFonts w:ascii="times" w:hAnsi="times"/>
                  <w:sz w:val="20"/>
                </w:rPr>
                <w:t>DESCRIPTION OF SERIES C PREFERENCE UNITS</w:t>
              </w:r>
            </w:hyperlink>
          </w:p>
        </w:tc>
        <w:tc>
          <w:tcPr>
            <w:tcW w:w="241" w:type="dxa"/>
            <w:tcBorders/>
            <w:shd w:fill="auto" w:val="clear"/>
          </w:tcPr>
          <w:p>
            <w:pPr>
              <w:pStyle w:val="TableContents"/>
              <w:spacing w:before="0" w:after="283"/>
              <w:rPr/>
            </w:pPr>
            <w:r>
              <w:rPr/>
              <w:t> </w:t>
            </w:r>
          </w:p>
        </w:tc>
        <w:tc>
          <w:tcPr>
            <w:tcW w:w="141" w:type="dxa"/>
            <w:tcBorders/>
            <w:shd w:fill="auto" w:val="clear"/>
            <w:vAlign w:val="bottom"/>
          </w:tcPr>
          <w:p>
            <w:pPr>
              <w:pStyle w:val="TableContents"/>
              <w:spacing w:before="0" w:after="283"/>
              <w:rPr/>
            </w:pPr>
            <w:r>
              <w:rPr/>
              <w:t> </w:t>
            </w:r>
          </w:p>
        </w:tc>
        <w:tc>
          <w:tcPr>
            <w:tcW w:w="542" w:type="dxa"/>
            <w:tcBorders/>
            <w:shd w:fill="auto" w:val="clear"/>
            <w:vAlign w:val="bottom"/>
          </w:tcPr>
          <w:p>
            <w:pPr>
              <w:pStyle w:val="TableContents"/>
              <w:spacing w:before="0" w:after="283"/>
              <w:jc w:val="right"/>
              <w:rPr/>
            </w:pPr>
            <w:hyperlink w:anchor="ee43504_description_of_series_c_preference_units">
              <w:r>
                <w:rPr>
                  <w:rStyle w:val="InternetLink"/>
                  <w:rFonts w:ascii="times" w:hAnsi="times"/>
                  <w:sz w:val="20"/>
                </w:rPr>
                <w:t>15</w:t>
              </w:r>
            </w:hyperlink>
          </w:p>
        </w:tc>
        <w:tc>
          <w:tcPr>
            <w:tcW w:w="241" w:type="dxa"/>
            <w:tcBorders/>
            <w:shd w:fill="auto" w:val="clear"/>
            <w:vAlign w:val="bottom"/>
          </w:tcPr>
          <w:p>
            <w:pPr>
              <w:pStyle w:val="TableContents"/>
              <w:spacing w:before="0" w:after="283"/>
              <w:rPr/>
            </w:pPr>
            <w:r>
              <w:rPr/>
              <w:t> </w:t>
            </w:r>
          </w:p>
        </w:tc>
      </w:tr>
      <w:tr>
        <w:trPr/>
        <w:tc>
          <w:tcPr>
            <w:tcW w:w="9040" w:type="dxa"/>
            <w:tcBorders/>
            <w:shd w:fill="auto" w:val="clear"/>
          </w:tcPr>
          <w:p>
            <w:pPr>
              <w:pStyle w:val="TableContents"/>
              <w:spacing w:before="0" w:after="283"/>
              <w:ind w:left="200" w:right="0" w:hanging="200"/>
              <w:rPr/>
            </w:pPr>
            <w:hyperlink w:anchor="ee43504_description_of_the_other_classes_of_units">
              <w:r>
                <w:rPr>
                  <w:rStyle w:val="InternetLink"/>
                  <w:rFonts w:ascii="times" w:hAnsi="times"/>
                  <w:sz w:val="20"/>
                </w:rPr>
                <w:t>DESCRIPTION OF THE OTHER CLASSES OF UNITS</w:t>
              </w:r>
            </w:hyperlink>
          </w:p>
        </w:tc>
        <w:tc>
          <w:tcPr>
            <w:tcW w:w="241" w:type="dxa"/>
            <w:tcBorders/>
            <w:shd w:fill="auto" w:val="clear"/>
          </w:tcPr>
          <w:p>
            <w:pPr>
              <w:pStyle w:val="TableContents"/>
              <w:spacing w:before="0" w:after="283"/>
              <w:rPr/>
            </w:pPr>
            <w:r>
              <w:rPr/>
              <w:t> </w:t>
            </w:r>
          </w:p>
        </w:tc>
        <w:tc>
          <w:tcPr>
            <w:tcW w:w="141" w:type="dxa"/>
            <w:tcBorders/>
            <w:shd w:fill="auto" w:val="clear"/>
            <w:vAlign w:val="bottom"/>
          </w:tcPr>
          <w:p>
            <w:pPr>
              <w:pStyle w:val="TableContents"/>
              <w:spacing w:before="0" w:after="283"/>
              <w:rPr/>
            </w:pPr>
            <w:r>
              <w:rPr/>
              <w:t> </w:t>
            </w:r>
          </w:p>
        </w:tc>
        <w:tc>
          <w:tcPr>
            <w:tcW w:w="542" w:type="dxa"/>
            <w:tcBorders/>
            <w:shd w:fill="auto" w:val="clear"/>
            <w:vAlign w:val="bottom"/>
          </w:tcPr>
          <w:p>
            <w:pPr>
              <w:pStyle w:val="TableContents"/>
              <w:spacing w:before="0" w:after="283"/>
              <w:jc w:val="right"/>
              <w:rPr/>
            </w:pPr>
            <w:hyperlink w:anchor="ee43504_description_of_the_other_classes_of_units">
              <w:r>
                <w:rPr>
                  <w:rStyle w:val="InternetLink"/>
                  <w:rFonts w:ascii="times" w:hAnsi="times"/>
                  <w:sz w:val="20"/>
                </w:rPr>
                <w:t>15</w:t>
              </w:r>
            </w:hyperlink>
          </w:p>
        </w:tc>
        <w:tc>
          <w:tcPr>
            <w:tcW w:w="241" w:type="dxa"/>
            <w:tcBorders/>
            <w:shd w:fill="auto" w:val="clear"/>
            <w:vAlign w:val="bottom"/>
          </w:tcPr>
          <w:p>
            <w:pPr>
              <w:pStyle w:val="TableContents"/>
              <w:spacing w:before="0" w:after="283"/>
              <w:rPr/>
            </w:pPr>
            <w:r>
              <w:rPr/>
              <w:t> </w:t>
            </w:r>
          </w:p>
        </w:tc>
      </w:tr>
      <w:tr>
        <w:trPr/>
        <w:tc>
          <w:tcPr>
            <w:tcW w:w="9040" w:type="dxa"/>
            <w:tcBorders/>
            <w:shd w:fill="auto" w:val="clear"/>
          </w:tcPr>
          <w:p>
            <w:pPr>
              <w:pStyle w:val="TableContents"/>
              <w:spacing w:before="0" w:after="283"/>
              <w:ind w:left="200" w:right="0" w:hanging="200"/>
              <w:rPr/>
            </w:pPr>
            <w:hyperlink w:anchor="ee43504_description_of_debt_securities">
              <w:r>
                <w:rPr>
                  <w:rStyle w:val="InternetLink"/>
                  <w:rFonts w:ascii="times" w:hAnsi="times"/>
                  <w:sz w:val="20"/>
                </w:rPr>
                <w:t>DESCRIPTION OF DEBT SECURITIES</w:t>
              </w:r>
            </w:hyperlink>
          </w:p>
        </w:tc>
        <w:tc>
          <w:tcPr>
            <w:tcW w:w="241" w:type="dxa"/>
            <w:tcBorders/>
            <w:shd w:fill="auto" w:val="clear"/>
          </w:tcPr>
          <w:p>
            <w:pPr>
              <w:pStyle w:val="TableContents"/>
              <w:spacing w:before="0" w:after="283"/>
              <w:rPr/>
            </w:pPr>
            <w:r>
              <w:rPr/>
              <w:t> </w:t>
            </w:r>
          </w:p>
        </w:tc>
        <w:tc>
          <w:tcPr>
            <w:tcW w:w="141" w:type="dxa"/>
            <w:tcBorders/>
            <w:shd w:fill="auto" w:val="clear"/>
            <w:vAlign w:val="bottom"/>
          </w:tcPr>
          <w:p>
            <w:pPr>
              <w:pStyle w:val="TableContents"/>
              <w:spacing w:before="0" w:after="283"/>
              <w:rPr/>
            </w:pPr>
            <w:r>
              <w:rPr/>
              <w:t> </w:t>
            </w:r>
          </w:p>
        </w:tc>
        <w:tc>
          <w:tcPr>
            <w:tcW w:w="542" w:type="dxa"/>
            <w:tcBorders/>
            <w:shd w:fill="auto" w:val="clear"/>
            <w:vAlign w:val="bottom"/>
          </w:tcPr>
          <w:p>
            <w:pPr>
              <w:pStyle w:val="TableContents"/>
              <w:spacing w:before="0" w:after="283"/>
              <w:jc w:val="right"/>
              <w:rPr/>
            </w:pPr>
            <w:hyperlink w:anchor="ee43504_description_of_debt_securities">
              <w:r>
                <w:rPr>
                  <w:rStyle w:val="InternetLink"/>
                  <w:rFonts w:ascii="times" w:hAnsi="times"/>
                  <w:sz w:val="20"/>
                </w:rPr>
                <w:t>16</w:t>
              </w:r>
            </w:hyperlink>
          </w:p>
        </w:tc>
        <w:tc>
          <w:tcPr>
            <w:tcW w:w="241" w:type="dxa"/>
            <w:tcBorders/>
            <w:shd w:fill="auto" w:val="clear"/>
            <w:vAlign w:val="bottom"/>
          </w:tcPr>
          <w:p>
            <w:pPr>
              <w:pStyle w:val="TableContents"/>
              <w:spacing w:before="0" w:after="283"/>
              <w:rPr/>
            </w:pPr>
            <w:r>
              <w:rPr/>
              <w:t> </w:t>
            </w:r>
          </w:p>
        </w:tc>
      </w:tr>
      <w:tr>
        <w:trPr/>
        <w:tc>
          <w:tcPr>
            <w:tcW w:w="9040" w:type="dxa"/>
            <w:tcBorders/>
            <w:shd w:fill="auto" w:val="clear"/>
          </w:tcPr>
          <w:p>
            <w:pPr>
              <w:pStyle w:val="TableContents"/>
              <w:spacing w:before="0" w:after="283"/>
              <w:ind w:left="200" w:right="0" w:hanging="200"/>
              <w:rPr/>
            </w:pPr>
            <w:hyperlink w:anchor="ee43504_description_of_warrants">
              <w:r>
                <w:rPr>
                  <w:rStyle w:val="InternetLink"/>
                  <w:rFonts w:ascii="times" w:hAnsi="times"/>
                  <w:sz w:val="20"/>
                </w:rPr>
                <w:t>DESCRIPTION OF WARRANTS</w:t>
              </w:r>
            </w:hyperlink>
          </w:p>
        </w:tc>
        <w:tc>
          <w:tcPr>
            <w:tcW w:w="241" w:type="dxa"/>
            <w:tcBorders/>
            <w:shd w:fill="auto" w:val="clear"/>
          </w:tcPr>
          <w:p>
            <w:pPr>
              <w:pStyle w:val="TableContents"/>
              <w:spacing w:before="0" w:after="283"/>
              <w:rPr/>
            </w:pPr>
            <w:r>
              <w:rPr/>
              <w:t> </w:t>
            </w:r>
          </w:p>
        </w:tc>
        <w:tc>
          <w:tcPr>
            <w:tcW w:w="141" w:type="dxa"/>
            <w:tcBorders/>
            <w:shd w:fill="auto" w:val="clear"/>
            <w:vAlign w:val="bottom"/>
          </w:tcPr>
          <w:p>
            <w:pPr>
              <w:pStyle w:val="TableContents"/>
              <w:spacing w:before="0" w:after="283"/>
              <w:rPr/>
            </w:pPr>
            <w:r>
              <w:rPr/>
              <w:t> </w:t>
            </w:r>
          </w:p>
        </w:tc>
        <w:tc>
          <w:tcPr>
            <w:tcW w:w="542" w:type="dxa"/>
            <w:tcBorders/>
            <w:shd w:fill="auto" w:val="clear"/>
            <w:vAlign w:val="bottom"/>
          </w:tcPr>
          <w:p>
            <w:pPr>
              <w:pStyle w:val="TableContents"/>
              <w:spacing w:before="0" w:after="283"/>
              <w:jc w:val="right"/>
              <w:rPr/>
            </w:pPr>
            <w:hyperlink w:anchor="ee43504_description_of_warrants">
              <w:r>
                <w:rPr>
                  <w:rStyle w:val="InternetLink"/>
                  <w:rFonts w:ascii="times" w:hAnsi="times"/>
                  <w:sz w:val="20"/>
                </w:rPr>
                <w:t>24</w:t>
              </w:r>
            </w:hyperlink>
          </w:p>
        </w:tc>
        <w:tc>
          <w:tcPr>
            <w:tcW w:w="241" w:type="dxa"/>
            <w:tcBorders/>
            <w:shd w:fill="auto" w:val="clear"/>
            <w:vAlign w:val="bottom"/>
          </w:tcPr>
          <w:p>
            <w:pPr>
              <w:pStyle w:val="TableContents"/>
              <w:spacing w:before="0" w:after="283"/>
              <w:rPr/>
            </w:pPr>
            <w:r>
              <w:rPr/>
              <w:t> </w:t>
            </w:r>
          </w:p>
        </w:tc>
      </w:tr>
      <w:tr>
        <w:trPr/>
        <w:tc>
          <w:tcPr>
            <w:tcW w:w="9040" w:type="dxa"/>
            <w:tcBorders/>
            <w:shd w:fill="auto" w:val="clear"/>
          </w:tcPr>
          <w:p>
            <w:pPr>
              <w:pStyle w:val="TableContents"/>
              <w:spacing w:before="0" w:after="283"/>
              <w:ind w:left="200" w:right="0" w:hanging="200"/>
              <w:rPr/>
            </w:pPr>
            <w:hyperlink w:anchor="ee43504_description_of_rights">
              <w:r>
                <w:rPr>
                  <w:rStyle w:val="InternetLink"/>
                  <w:rFonts w:ascii="times" w:hAnsi="times"/>
                  <w:sz w:val="20"/>
                </w:rPr>
                <w:t>DESCRIPTION OF RIGHTS</w:t>
              </w:r>
            </w:hyperlink>
          </w:p>
        </w:tc>
        <w:tc>
          <w:tcPr>
            <w:tcW w:w="241" w:type="dxa"/>
            <w:tcBorders/>
            <w:shd w:fill="auto" w:val="clear"/>
          </w:tcPr>
          <w:p>
            <w:pPr>
              <w:pStyle w:val="TableContents"/>
              <w:spacing w:before="0" w:after="283"/>
              <w:rPr/>
            </w:pPr>
            <w:r>
              <w:rPr/>
              <w:t> </w:t>
            </w:r>
          </w:p>
        </w:tc>
        <w:tc>
          <w:tcPr>
            <w:tcW w:w="141" w:type="dxa"/>
            <w:tcBorders/>
            <w:shd w:fill="auto" w:val="clear"/>
            <w:vAlign w:val="bottom"/>
          </w:tcPr>
          <w:p>
            <w:pPr>
              <w:pStyle w:val="TableContents"/>
              <w:spacing w:before="0" w:after="283"/>
              <w:rPr/>
            </w:pPr>
            <w:r>
              <w:rPr/>
              <w:t> </w:t>
            </w:r>
          </w:p>
        </w:tc>
        <w:tc>
          <w:tcPr>
            <w:tcW w:w="542" w:type="dxa"/>
            <w:tcBorders/>
            <w:shd w:fill="auto" w:val="clear"/>
            <w:vAlign w:val="bottom"/>
          </w:tcPr>
          <w:p>
            <w:pPr>
              <w:pStyle w:val="TableContents"/>
              <w:spacing w:before="0" w:after="283"/>
              <w:jc w:val="right"/>
              <w:rPr/>
            </w:pPr>
            <w:hyperlink w:anchor="ee43504_description_of_rights">
              <w:r>
                <w:rPr>
                  <w:rStyle w:val="InternetLink"/>
                  <w:rFonts w:ascii="times" w:hAnsi="times"/>
                  <w:sz w:val="20"/>
                </w:rPr>
                <w:t>25</w:t>
              </w:r>
            </w:hyperlink>
          </w:p>
        </w:tc>
        <w:tc>
          <w:tcPr>
            <w:tcW w:w="241" w:type="dxa"/>
            <w:tcBorders/>
            <w:shd w:fill="auto" w:val="clear"/>
            <w:vAlign w:val="bottom"/>
          </w:tcPr>
          <w:p>
            <w:pPr>
              <w:pStyle w:val="TableContents"/>
              <w:spacing w:before="0" w:after="283"/>
              <w:rPr/>
            </w:pPr>
            <w:r>
              <w:rPr/>
              <w:t> </w:t>
            </w:r>
          </w:p>
        </w:tc>
      </w:tr>
      <w:tr>
        <w:trPr/>
        <w:tc>
          <w:tcPr>
            <w:tcW w:w="9040" w:type="dxa"/>
            <w:tcBorders/>
            <w:shd w:fill="auto" w:val="clear"/>
          </w:tcPr>
          <w:p>
            <w:pPr>
              <w:pStyle w:val="TableContents"/>
              <w:spacing w:before="0" w:after="283"/>
              <w:ind w:left="200" w:right="0" w:hanging="200"/>
              <w:rPr/>
            </w:pPr>
            <w:hyperlink w:anchor="ee43504_description_of_the_combination_units">
              <w:r>
                <w:rPr>
                  <w:rStyle w:val="InternetLink"/>
                  <w:rFonts w:ascii="times" w:hAnsi="times"/>
                  <w:sz w:val="20"/>
                </w:rPr>
                <w:t>DESCRIPTION OF THE COMBINATION UNITS</w:t>
              </w:r>
            </w:hyperlink>
          </w:p>
        </w:tc>
        <w:tc>
          <w:tcPr>
            <w:tcW w:w="241" w:type="dxa"/>
            <w:tcBorders/>
            <w:shd w:fill="auto" w:val="clear"/>
          </w:tcPr>
          <w:p>
            <w:pPr>
              <w:pStyle w:val="TableContents"/>
              <w:spacing w:before="0" w:after="283"/>
              <w:rPr/>
            </w:pPr>
            <w:r>
              <w:rPr/>
              <w:t> </w:t>
            </w:r>
          </w:p>
        </w:tc>
        <w:tc>
          <w:tcPr>
            <w:tcW w:w="141" w:type="dxa"/>
            <w:tcBorders/>
            <w:shd w:fill="auto" w:val="clear"/>
            <w:vAlign w:val="bottom"/>
          </w:tcPr>
          <w:p>
            <w:pPr>
              <w:pStyle w:val="TableContents"/>
              <w:spacing w:before="0" w:after="283"/>
              <w:rPr/>
            </w:pPr>
            <w:r>
              <w:rPr/>
              <w:t> </w:t>
            </w:r>
          </w:p>
        </w:tc>
        <w:tc>
          <w:tcPr>
            <w:tcW w:w="542" w:type="dxa"/>
            <w:tcBorders/>
            <w:shd w:fill="auto" w:val="clear"/>
            <w:vAlign w:val="bottom"/>
          </w:tcPr>
          <w:p>
            <w:pPr>
              <w:pStyle w:val="TableContents"/>
              <w:spacing w:before="0" w:after="283"/>
              <w:jc w:val="right"/>
              <w:rPr/>
            </w:pPr>
            <w:hyperlink w:anchor="ee43504_description_of_the_combination_units">
              <w:r>
                <w:rPr>
                  <w:rStyle w:val="InternetLink"/>
                  <w:rFonts w:ascii="times" w:hAnsi="times"/>
                  <w:sz w:val="20"/>
                </w:rPr>
                <w:t>25</w:t>
              </w:r>
            </w:hyperlink>
          </w:p>
        </w:tc>
        <w:tc>
          <w:tcPr>
            <w:tcW w:w="241" w:type="dxa"/>
            <w:tcBorders/>
            <w:shd w:fill="auto" w:val="clear"/>
            <w:vAlign w:val="bottom"/>
          </w:tcPr>
          <w:p>
            <w:pPr>
              <w:pStyle w:val="TableContents"/>
              <w:spacing w:before="0" w:after="283"/>
              <w:rPr/>
            </w:pPr>
            <w:r>
              <w:rPr/>
              <w:t> </w:t>
            </w:r>
          </w:p>
        </w:tc>
      </w:tr>
      <w:tr>
        <w:trPr/>
        <w:tc>
          <w:tcPr>
            <w:tcW w:w="9040" w:type="dxa"/>
            <w:tcBorders/>
            <w:shd w:fill="auto" w:val="clear"/>
          </w:tcPr>
          <w:p>
            <w:pPr>
              <w:pStyle w:val="TableContents"/>
              <w:spacing w:before="0" w:after="283"/>
              <w:ind w:left="200" w:right="0" w:hanging="200"/>
              <w:rPr/>
            </w:pPr>
            <w:hyperlink w:anchor="eg43504_summary_of_our_partnership_agreement">
              <w:r>
                <w:rPr>
                  <w:rStyle w:val="InternetLink"/>
                  <w:rFonts w:ascii="times" w:hAnsi="times"/>
                  <w:sz w:val="20"/>
                </w:rPr>
                <w:t>SUMMARY OF OUR PARTNERSHIP AGREEMENT</w:t>
              </w:r>
            </w:hyperlink>
          </w:p>
        </w:tc>
        <w:tc>
          <w:tcPr>
            <w:tcW w:w="241" w:type="dxa"/>
            <w:tcBorders/>
            <w:shd w:fill="auto" w:val="clear"/>
          </w:tcPr>
          <w:p>
            <w:pPr>
              <w:pStyle w:val="TableContents"/>
              <w:spacing w:before="0" w:after="283"/>
              <w:rPr/>
            </w:pPr>
            <w:r>
              <w:rPr/>
              <w:t> </w:t>
            </w:r>
          </w:p>
        </w:tc>
        <w:tc>
          <w:tcPr>
            <w:tcW w:w="141" w:type="dxa"/>
            <w:tcBorders/>
            <w:shd w:fill="auto" w:val="clear"/>
            <w:vAlign w:val="bottom"/>
          </w:tcPr>
          <w:p>
            <w:pPr>
              <w:pStyle w:val="TableContents"/>
              <w:spacing w:before="0" w:after="283"/>
              <w:rPr/>
            </w:pPr>
            <w:r>
              <w:rPr/>
              <w:t> </w:t>
            </w:r>
          </w:p>
        </w:tc>
        <w:tc>
          <w:tcPr>
            <w:tcW w:w="542" w:type="dxa"/>
            <w:tcBorders/>
            <w:shd w:fill="auto" w:val="clear"/>
            <w:vAlign w:val="bottom"/>
          </w:tcPr>
          <w:p>
            <w:pPr>
              <w:pStyle w:val="TableContents"/>
              <w:spacing w:before="0" w:after="283"/>
              <w:jc w:val="right"/>
              <w:rPr/>
            </w:pPr>
            <w:hyperlink w:anchor="eg43504_summary_of_our_partnership_agreement">
              <w:r>
                <w:rPr>
                  <w:rStyle w:val="InternetLink"/>
                  <w:rFonts w:ascii="times" w:hAnsi="times"/>
                  <w:sz w:val="20"/>
                </w:rPr>
                <w:t>27</w:t>
              </w:r>
            </w:hyperlink>
          </w:p>
        </w:tc>
        <w:tc>
          <w:tcPr>
            <w:tcW w:w="241" w:type="dxa"/>
            <w:tcBorders/>
            <w:shd w:fill="auto" w:val="clear"/>
            <w:vAlign w:val="bottom"/>
          </w:tcPr>
          <w:p>
            <w:pPr>
              <w:pStyle w:val="TableContents"/>
              <w:spacing w:before="0" w:after="283"/>
              <w:rPr/>
            </w:pPr>
            <w:r>
              <w:rPr/>
              <w:t> </w:t>
            </w:r>
          </w:p>
        </w:tc>
      </w:tr>
      <w:tr>
        <w:trPr/>
        <w:tc>
          <w:tcPr>
            <w:tcW w:w="9040" w:type="dxa"/>
            <w:tcBorders/>
            <w:shd w:fill="auto" w:val="clear"/>
          </w:tcPr>
          <w:p>
            <w:pPr>
              <w:pStyle w:val="TableContents"/>
              <w:spacing w:before="0" w:after="283"/>
              <w:ind w:left="200" w:right="0" w:hanging="200"/>
              <w:rPr/>
            </w:pPr>
            <w:hyperlink w:anchor="ek43504_our_cash_distribution_policy_a__our02636">
              <w:r>
                <w:rPr>
                  <w:rStyle w:val="InternetLink"/>
                  <w:rFonts w:ascii="times" w:hAnsi="times"/>
                  <w:sz w:val="20"/>
                </w:rPr>
                <w:t>OUR CASH DISTRIBUTION POLICY AND RESTRICTIONS ON DISTRIBUTIONS</w:t>
              </w:r>
            </w:hyperlink>
          </w:p>
        </w:tc>
        <w:tc>
          <w:tcPr>
            <w:tcW w:w="241" w:type="dxa"/>
            <w:tcBorders/>
            <w:shd w:fill="auto" w:val="clear"/>
          </w:tcPr>
          <w:p>
            <w:pPr>
              <w:pStyle w:val="TableContents"/>
              <w:spacing w:before="0" w:after="283"/>
              <w:rPr/>
            </w:pPr>
            <w:r>
              <w:rPr/>
              <w:t> </w:t>
            </w:r>
          </w:p>
        </w:tc>
        <w:tc>
          <w:tcPr>
            <w:tcW w:w="141" w:type="dxa"/>
            <w:tcBorders/>
            <w:shd w:fill="auto" w:val="clear"/>
            <w:vAlign w:val="bottom"/>
          </w:tcPr>
          <w:p>
            <w:pPr>
              <w:pStyle w:val="TableContents"/>
              <w:spacing w:before="0" w:after="283"/>
              <w:rPr/>
            </w:pPr>
            <w:r>
              <w:rPr/>
              <w:t> </w:t>
            </w:r>
          </w:p>
        </w:tc>
        <w:tc>
          <w:tcPr>
            <w:tcW w:w="542" w:type="dxa"/>
            <w:tcBorders/>
            <w:shd w:fill="auto" w:val="clear"/>
            <w:vAlign w:val="bottom"/>
          </w:tcPr>
          <w:p>
            <w:pPr>
              <w:pStyle w:val="TableContents"/>
              <w:spacing w:before="0" w:after="283"/>
              <w:jc w:val="right"/>
              <w:rPr/>
            </w:pPr>
            <w:hyperlink w:anchor="ek43504_our_cash_distribution_policy_a__our02636">
              <w:r>
                <w:rPr>
                  <w:rStyle w:val="InternetLink"/>
                  <w:rFonts w:ascii="times" w:hAnsi="times"/>
                  <w:sz w:val="20"/>
                </w:rPr>
                <w:t>43</w:t>
              </w:r>
            </w:hyperlink>
          </w:p>
        </w:tc>
        <w:tc>
          <w:tcPr>
            <w:tcW w:w="241" w:type="dxa"/>
            <w:tcBorders/>
            <w:shd w:fill="auto" w:val="clear"/>
            <w:vAlign w:val="bottom"/>
          </w:tcPr>
          <w:p>
            <w:pPr>
              <w:pStyle w:val="TableContents"/>
              <w:spacing w:before="0" w:after="283"/>
              <w:rPr/>
            </w:pPr>
            <w:r>
              <w:rPr/>
              <w:t> </w:t>
            </w:r>
          </w:p>
        </w:tc>
      </w:tr>
      <w:tr>
        <w:trPr/>
        <w:tc>
          <w:tcPr>
            <w:tcW w:w="9040" w:type="dxa"/>
            <w:tcBorders/>
            <w:shd w:fill="auto" w:val="clear"/>
          </w:tcPr>
          <w:p>
            <w:pPr>
              <w:pStyle w:val="TableContents"/>
              <w:spacing w:before="0" w:after="283"/>
              <w:ind w:left="200" w:right="0" w:hanging="200"/>
              <w:rPr/>
            </w:pPr>
            <w:hyperlink w:anchor="ek43504_material_u.s._federal_income_tax_considerations">
              <w:r>
                <w:rPr>
                  <w:rStyle w:val="InternetLink"/>
                  <w:rFonts w:ascii="times" w:hAnsi="times"/>
                  <w:sz w:val="20"/>
                </w:rPr>
                <w:t>MATERIAL U.S. FEDERAL INCOME TAX CONSIDERATIONS</w:t>
              </w:r>
            </w:hyperlink>
          </w:p>
        </w:tc>
        <w:tc>
          <w:tcPr>
            <w:tcW w:w="241" w:type="dxa"/>
            <w:tcBorders/>
            <w:shd w:fill="auto" w:val="clear"/>
          </w:tcPr>
          <w:p>
            <w:pPr>
              <w:pStyle w:val="TableContents"/>
              <w:spacing w:before="0" w:after="283"/>
              <w:rPr/>
            </w:pPr>
            <w:r>
              <w:rPr/>
              <w:t> </w:t>
            </w:r>
          </w:p>
        </w:tc>
        <w:tc>
          <w:tcPr>
            <w:tcW w:w="141" w:type="dxa"/>
            <w:tcBorders/>
            <w:shd w:fill="auto" w:val="clear"/>
            <w:vAlign w:val="bottom"/>
          </w:tcPr>
          <w:p>
            <w:pPr>
              <w:pStyle w:val="TableContents"/>
              <w:spacing w:before="0" w:after="283"/>
              <w:rPr/>
            </w:pPr>
            <w:r>
              <w:rPr/>
              <w:t> </w:t>
            </w:r>
          </w:p>
        </w:tc>
        <w:tc>
          <w:tcPr>
            <w:tcW w:w="542" w:type="dxa"/>
            <w:tcBorders/>
            <w:shd w:fill="auto" w:val="clear"/>
            <w:vAlign w:val="bottom"/>
          </w:tcPr>
          <w:p>
            <w:pPr>
              <w:pStyle w:val="TableContents"/>
              <w:spacing w:before="0" w:after="283"/>
              <w:jc w:val="right"/>
              <w:rPr/>
            </w:pPr>
            <w:hyperlink w:anchor="ek43504_material_u.s._federal_income_tax_considerations">
              <w:r>
                <w:rPr>
                  <w:rStyle w:val="InternetLink"/>
                  <w:rFonts w:ascii="times" w:hAnsi="times"/>
                  <w:sz w:val="20"/>
                </w:rPr>
                <w:t>47</w:t>
              </w:r>
            </w:hyperlink>
          </w:p>
        </w:tc>
        <w:tc>
          <w:tcPr>
            <w:tcW w:w="241" w:type="dxa"/>
            <w:tcBorders/>
            <w:shd w:fill="auto" w:val="clear"/>
            <w:vAlign w:val="bottom"/>
          </w:tcPr>
          <w:p>
            <w:pPr>
              <w:pStyle w:val="TableContents"/>
              <w:spacing w:before="0" w:after="283"/>
              <w:rPr/>
            </w:pPr>
            <w:r>
              <w:rPr/>
              <w:t> </w:t>
            </w:r>
          </w:p>
        </w:tc>
      </w:tr>
      <w:tr>
        <w:trPr/>
        <w:tc>
          <w:tcPr>
            <w:tcW w:w="9040" w:type="dxa"/>
            <w:tcBorders/>
            <w:shd w:fill="auto" w:val="clear"/>
          </w:tcPr>
          <w:p>
            <w:pPr>
              <w:pStyle w:val="TableContents"/>
              <w:spacing w:before="0" w:after="283"/>
              <w:ind w:left="200" w:right="0" w:hanging="200"/>
              <w:rPr/>
            </w:pPr>
            <w:hyperlink w:anchor="ek43504_non-united_states_tax_considerations">
              <w:r>
                <w:rPr>
                  <w:rStyle w:val="InternetLink"/>
                  <w:rFonts w:ascii="times" w:hAnsi="times"/>
                  <w:sz w:val="20"/>
                </w:rPr>
                <w:t>NON-UNITED STATES TAX CONSIDERATIONS</w:t>
              </w:r>
            </w:hyperlink>
          </w:p>
        </w:tc>
        <w:tc>
          <w:tcPr>
            <w:tcW w:w="241" w:type="dxa"/>
            <w:tcBorders/>
            <w:shd w:fill="auto" w:val="clear"/>
          </w:tcPr>
          <w:p>
            <w:pPr>
              <w:pStyle w:val="TableContents"/>
              <w:spacing w:before="0" w:after="283"/>
              <w:rPr/>
            </w:pPr>
            <w:r>
              <w:rPr/>
              <w:t> </w:t>
            </w:r>
          </w:p>
        </w:tc>
        <w:tc>
          <w:tcPr>
            <w:tcW w:w="141" w:type="dxa"/>
            <w:tcBorders/>
            <w:shd w:fill="auto" w:val="clear"/>
            <w:vAlign w:val="bottom"/>
          </w:tcPr>
          <w:p>
            <w:pPr>
              <w:pStyle w:val="TableContents"/>
              <w:spacing w:before="0" w:after="283"/>
              <w:rPr/>
            </w:pPr>
            <w:r>
              <w:rPr/>
              <w:t> </w:t>
            </w:r>
          </w:p>
        </w:tc>
        <w:tc>
          <w:tcPr>
            <w:tcW w:w="542" w:type="dxa"/>
            <w:tcBorders/>
            <w:shd w:fill="auto" w:val="clear"/>
            <w:vAlign w:val="bottom"/>
          </w:tcPr>
          <w:p>
            <w:pPr>
              <w:pStyle w:val="TableContents"/>
              <w:spacing w:before="0" w:after="283"/>
              <w:jc w:val="right"/>
              <w:rPr/>
            </w:pPr>
            <w:hyperlink w:anchor="ek43504_non-united_states_tax_considerations">
              <w:r>
                <w:rPr>
                  <w:rStyle w:val="InternetLink"/>
                  <w:rFonts w:ascii="times" w:hAnsi="times"/>
                  <w:sz w:val="20"/>
                </w:rPr>
                <w:t>47</w:t>
              </w:r>
            </w:hyperlink>
          </w:p>
        </w:tc>
        <w:tc>
          <w:tcPr>
            <w:tcW w:w="241" w:type="dxa"/>
            <w:tcBorders/>
            <w:shd w:fill="auto" w:val="clear"/>
            <w:vAlign w:val="bottom"/>
          </w:tcPr>
          <w:p>
            <w:pPr>
              <w:pStyle w:val="TableContents"/>
              <w:spacing w:before="0" w:after="283"/>
              <w:rPr/>
            </w:pPr>
            <w:r>
              <w:rPr/>
              <w:t> </w:t>
            </w:r>
          </w:p>
        </w:tc>
      </w:tr>
      <w:tr>
        <w:trPr/>
        <w:tc>
          <w:tcPr>
            <w:tcW w:w="9040" w:type="dxa"/>
            <w:tcBorders/>
            <w:shd w:fill="auto" w:val="clear"/>
          </w:tcPr>
          <w:p>
            <w:pPr>
              <w:pStyle w:val="TableContents"/>
              <w:spacing w:before="0" w:after="283"/>
              <w:ind w:left="200" w:right="0" w:hanging="200"/>
              <w:rPr/>
            </w:pPr>
            <w:hyperlink w:anchor="ek43504_plan_of_distribution">
              <w:r>
                <w:rPr>
                  <w:rStyle w:val="InternetLink"/>
                  <w:rFonts w:ascii="times" w:hAnsi="times"/>
                  <w:sz w:val="20"/>
                </w:rPr>
                <w:t>PLAN OF DISTRIBUTION</w:t>
              </w:r>
            </w:hyperlink>
          </w:p>
        </w:tc>
        <w:tc>
          <w:tcPr>
            <w:tcW w:w="241" w:type="dxa"/>
            <w:tcBorders/>
            <w:shd w:fill="auto" w:val="clear"/>
          </w:tcPr>
          <w:p>
            <w:pPr>
              <w:pStyle w:val="TableContents"/>
              <w:spacing w:before="0" w:after="283"/>
              <w:rPr/>
            </w:pPr>
            <w:r>
              <w:rPr/>
              <w:t> </w:t>
            </w:r>
          </w:p>
        </w:tc>
        <w:tc>
          <w:tcPr>
            <w:tcW w:w="141" w:type="dxa"/>
            <w:tcBorders/>
            <w:shd w:fill="auto" w:val="clear"/>
            <w:vAlign w:val="bottom"/>
          </w:tcPr>
          <w:p>
            <w:pPr>
              <w:pStyle w:val="TableContents"/>
              <w:spacing w:before="0" w:after="283"/>
              <w:rPr/>
            </w:pPr>
            <w:r>
              <w:rPr/>
              <w:t> </w:t>
            </w:r>
          </w:p>
        </w:tc>
        <w:tc>
          <w:tcPr>
            <w:tcW w:w="542" w:type="dxa"/>
            <w:tcBorders/>
            <w:shd w:fill="auto" w:val="clear"/>
            <w:vAlign w:val="bottom"/>
          </w:tcPr>
          <w:p>
            <w:pPr>
              <w:pStyle w:val="TableContents"/>
              <w:spacing w:before="0" w:after="283"/>
              <w:jc w:val="right"/>
              <w:rPr/>
            </w:pPr>
            <w:hyperlink w:anchor="ek43504_plan_of_distribution">
              <w:r>
                <w:rPr>
                  <w:rStyle w:val="InternetLink"/>
                  <w:rFonts w:ascii="times" w:hAnsi="times"/>
                  <w:sz w:val="20"/>
                </w:rPr>
                <w:t>47</w:t>
              </w:r>
            </w:hyperlink>
          </w:p>
        </w:tc>
        <w:tc>
          <w:tcPr>
            <w:tcW w:w="241" w:type="dxa"/>
            <w:tcBorders/>
            <w:shd w:fill="auto" w:val="clear"/>
            <w:vAlign w:val="bottom"/>
          </w:tcPr>
          <w:p>
            <w:pPr>
              <w:pStyle w:val="TableContents"/>
              <w:spacing w:before="0" w:after="283"/>
              <w:rPr/>
            </w:pPr>
            <w:r>
              <w:rPr/>
              <w:t> </w:t>
            </w:r>
          </w:p>
        </w:tc>
      </w:tr>
      <w:tr>
        <w:trPr/>
        <w:tc>
          <w:tcPr>
            <w:tcW w:w="9040" w:type="dxa"/>
            <w:tcBorders/>
            <w:shd w:fill="auto" w:val="clear"/>
          </w:tcPr>
          <w:p>
            <w:pPr>
              <w:pStyle w:val="TableContents"/>
              <w:spacing w:before="0" w:after="283"/>
              <w:ind w:left="200" w:right="0" w:hanging="200"/>
              <w:rPr/>
            </w:pPr>
            <w:hyperlink w:anchor="ek43504_expenses">
              <w:r>
                <w:rPr>
                  <w:rStyle w:val="InternetLink"/>
                  <w:rFonts w:ascii="times" w:hAnsi="times"/>
                  <w:sz w:val="20"/>
                </w:rPr>
                <w:t>EXPENSES</w:t>
              </w:r>
            </w:hyperlink>
          </w:p>
        </w:tc>
        <w:tc>
          <w:tcPr>
            <w:tcW w:w="241" w:type="dxa"/>
            <w:tcBorders/>
            <w:shd w:fill="auto" w:val="clear"/>
          </w:tcPr>
          <w:p>
            <w:pPr>
              <w:pStyle w:val="TableContents"/>
              <w:spacing w:before="0" w:after="283"/>
              <w:rPr/>
            </w:pPr>
            <w:r>
              <w:rPr/>
              <w:t> </w:t>
            </w:r>
          </w:p>
        </w:tc>
        <w:tc>
          <w:tcPr>
            <w:tcW w:w="141" w:type="dxa"/>
            <w:tcBorders/>
            <w:shd w:fill="auto" w:val="clear"/>
            <w:vAlign w:val="bottom"/>
          </w:tcPr>
          <w:p>
            <w:pPr>
              <w:pStyle w:val="TableContents"/>
              <w:spacing w:before="0" w:after="283"/>
              <w:rPr/>
            </w:pPr>
            <w:r>
              <w:rPr/>
              <w:t> </w:t>
            </w:r>
          </w:p>
        </w:tc>
        <w:tc>
          <w:tcPr>
            <w:tcW w:w="542" w:type="dxa"/>
            <w:tcBorders/>
            <w:shd w:fill="auto" w:val="clear"/>
            <w:vAlign w:val="bottom"/>
          </w:tcPr>
          <w:p>
            <w:pPr>
              <w:pStyle w:val="TableContents"/>
              <w:spacing w:before="0" w:after="283"/>
              <w:jc w:val="right"/>
              <w:rPr/>
            </w:pPr>
            <w:hyperlink w:anchor="ek43504_expenses">
              <w:r>
                <w:rPr>
                  <w:rStyle w:val="InternetLink"/>
                  <w:rFonts w:ascii="times" w:hAnsi="times"/>
                  <w:sz w:val="20"/>
                </w:rPr>
                <w:t>49</w:t>
              </w:r>
            </w:hyperlink>
          </w:p>
        </w:tc>
        <w:tc>
          <w:tcPr>
            <w:tcW w:w="241" w:type="dxa"/>
            <w:tcBorders/>
            <w:shd w:fill="auto" w:val="clear"/>
            <w:vAlign w:val="bottom"/>
          </w:tcPr>
          <w:p>
            <w:pPr>
              <w:pStyle w:val="TableContents"/>
              <w:spacing w:before="0" w:after="283"/>
              <w:rPr/>
            </w:pPr>
            <w:r>
              <w:rPr/>
              <w:t> </w:t>
            </w:r>
          </w:p>
        </w:tc>
      </w:tr>
      <w:tr>
        <w:trPr/>
        <w:tc>
          <w:tcPr>
            <w:tcW w:w="9040" w:type="dxa"/>
            <w:tcBorders/>
            <w:shd w:fill="auto" w:val="clear"/>
          </w:tcPr>
          <w:p>
            <w:pPr>
              <w:pStyle w:val="TableContents"/>
              <w:spacing w:before="0" w:after="283"/>
              <w:ind w:left="200" w:right="0" w:hanging="200"/>
              <w:rPr/>
            </w:pPr>
            <w:hyperlink w:anchor="ek43504_legal_matters">
              <w:r>
                <w:rPr>
                  <w:rStyle w:val="InternetLink"/>
                  <w:rFonts w:ascii="times" w:hAnsi="times"/>
                  <w:sz w:val="20"/>
                </w:rPr>
                <w:t>LEGAL MATTERS</w:t>
              </w:r>
            </w:hyperlink>
          </w:p>
        </w:tc>
        <w:tc>
          <w:tcPr>
            <w:tcW w:w="241" w:type="dxa"/>
            <w:tcBorders/>
            <w:shd w:fill="auto" w:val="clear"/>
          </w:tcPr>
          <w:p>
            <w:pPr>
              <w:pStyle w:val="TableContents"/>
              <w:spacing w:before="0" w:after="283"/>
              <w:rPr/>
            </w:pPr>
            <w:r>
              <w:rPr/>
              <w:t> </w:t>
            </w:r>
          </w:p>
        </w:tc>
        <w:tc>
          <w:tcPr>
            <w:tcW w:w="141" w:type="dxa"/>
            <w:tcBorders/>
            <w:shd w:fill="auto" w:val="clear"/>
            <w:vAlign w:val="bottom"/>
          </w:tcPr>
          <w:p>
            <w:pPr>
              <w:pStyle w:val="TableContents"/>
              <w:spacing w:before="0" w:after="283"/>
              <w:rPr/>
            </w:pPr>
            <w:r>
              <w:rPr/>
              <w:t> </w:t>
            </w:r>
          </w:p>
        </w:tc>
        <w:tc>
          <w:tcPr>
            <w:tcW w:w="542" w:type="dxa"/>
            <w:tcBorders/>
            <w:shd w:fill="auto" w:val="clear"/>
            <w:vAlign w:val="bottom"/>
          </w:tcPr>
          <w:p>
            <w:pPr>
              <w:pStyle w:val="TableContents"/>
              <w:spacing w:before="0" w:after="283"/>
              <w:jc w:val="right"/>
              <w:rPr/>
            </w:pPr>
            <w:hyperlink w:anchor="ek43504_legal_matters">
              <w:r>
                <w:rPr>
                  <w:rStyle w:val="InternetLink"/>
                  <w:rFonts w:ascii="times" w:hAnsi="times"/>
                  <w:sz w:val="20"/>
                </w:rPr>
                <w:t>49</w:t>
              </w:r>
            </w:hyperlink>
          </w:p>
        </w:tc>
        <w:tc>
          <w:tcPr>
            <w:tcW w:w="241" w:type="dxa"/>
            <w:tcBorders/>
            <w:shd w:fill="auto" w:val="clear"/>
            <w:vAlign w:val="bottom"/>
          </w:tcPr>
          <w:p>
            <w:pPr>
              <w:pStyle w:val="TableContents"/>
              <w:spacing w:before="0" w:after="283"/>
              <w:rPr/>
            </w:pPr>
            <w:r>
              <w:rPr/>
              <w:t> </w:t>
            </w:r>
          </w:p>
        </w:tc>
      </w:tr>
      <w:tr>
        <w:trPr/>
        <w:tc>
          <w:tcPr>
            <w:tcW w:w="9040" w:type="dxa"/>
            <w:tcBorders/>
            <w:shd w:fill="auto" w:val="clear"/>
          </w:tcPr>
          <w:p>
            <w:pPr>
              <w:pStyle w:val="TableContents"/>
              <w:spacing w:before="0" w:after="283"/>
              <w:ind w:left="200" w:right="0" w:hanging="200"/>
              <w:rPr/>
            </w:pPr>
            <w:hyperlink w:anchor="ek43504_experts">
              <w:r>
                <w:rPr>
                  <w:rStyle w:val="InternetLink"/>
                  <w:rFonts w:ascii="times" w:hAnsi="times"/>
                  <w:sz w:val="20"/>
                </w:rPr>
                <w:t>EXPERTS</w:t>
              </w:r>
            </w:hyperlink>
          </w:p>
        </w:tc>
        <w:tc>
          <w:tcPr>
            <w:tcW w:w="241" w:type="dxa"/>
            <w:tcBorders/>
            <w:shd w:fill="auto" w:val="clear"/>
          </w:tcPr>
          <w:p>
            <w:pPr>
              <w:pStyle w:val="TableContents"/>
              <w:spacing w:before="0" w:after="283"/>
              <w:rPr/>
            </w:pPr>
            <w:r>
              <w:rPr/>
              <w:t> </w:t>
            </w:r>
          </w:p>
        </w:tc>
        <w:tc>
          <w:tcPr>
            <w:tcW w:w="141" w:type="dxa"/>
            <w:tcBorders/>
            <w:shd w:fill="auto" w:val="clear"/>
            <w:vAlign w:val="bottom"/>
          </w:tcPr>
          <w:p>
            <w:pPr>
              <w:pStyle w:val="TableContents"/>
              <w:spacing w:before="0" w:after="283"/>
              <w:rPr/>
            </w:pPr>
            <w:r>
              <w:rPr/>
              <w:t> </w:t>
            </w:r>
          </w:p>
        </w:tc>
        <w:tc>
          <w:tcPr>
            <w:tcW w:w="542" w:type="dxa"/>
            <w:tcBorders/>
            <w:shd w:fill="auto" w:val="clear"/>
            <w:vAlign w:val="bottom"/>
          </w:tcPr>
          <w:p>
            <w:pPr>
              <w:pStyle w:val="TableContents"/>
              <w:spacing w:before="0" w:after="283"/>
              <w:jc w:val="right"/>
              <w:rPr/>
            </w:pPr>
            <w:hyperlink w:anchor="ek43504_experts">
              <w:r>
                <w:rPr>
                  <w:rStyle w:val="InternetLink"/>
                  <w:rFonts w:ascii="times" w:hAnsi="times"/>
                  <w:sz w:val="20"/>
                </w:rPr>
                <w:t>50</w:t>
              </w:r>
            </w:hyperlink>
          </w:p>
        </w:tc>
        <w:tc>
          <w:tcPr>
            <w:tcW w:w="241" w:type="dxa"/>
            <w:tcBorders/>
            <w:shd w:fill="auto" w:val="clear"/>
            <w:vAlign w:val="bottom"/>
          </w:tcPr>
          <w:p>
            <w:pPr>
              <w:pStyle w:val="TableContents"/>
              <w:spacing w:before="0" w:after="283"/>
              <w:rPr/>
            </w:pPr>
            <w:r>
              <w:rPr/>
              <w:t> </w:t>
            </w:r>
          </w:p>
        </w:tc>
      </w:tr>
    </w:tbl>
    <w:p>
      <w:pPr>
        <w:pStyle w:val="TextBody"/>
        <w:jc w:val="center"/>
        <w:rPr>
          <w:rFonts w:ascii="times" w:hAnsi="times"/>
          <w:sz w:val="20"/>
        </w:rPr>
      </w:pPr>
      <w:r>
        <w:rPr>
          <w:rFonts w:ascii="times" w:hAnsi="times"/>
          <w:sz w:val="20"/>
        </w:rPr>
        <w:t>i</w:t>
      </w:r>
    </w:p>
    <w:p>
      <w:pPr>
        <w:pStyle w:val="HorizontalLine"/>
        <w:pBdr>
          <w:bottom w:val="single" w:sz="20" w:space="0" w:color="808080"/>
        </w:pBdr>
        <w:rPr/>
      </w:pPr>
      <w:r>
        <w:rPr/>
      </w:r>
      <w:r>
        <w:br w:type="page"/>
      </w:r>
    </w:p>
    <w:p>
      <w:pPr>
        <w:pStyle w:val="TextBody"/>
        <w:rPr/>
      </w:pPr>
      <w:hyperlink w:anchor="bE43504A_main_toc">
        <w:bookmarkStart w:id="9" w:name="page_be43504_1_2"/>
        <w:bookmarkEnd w:id="9"/>
        <w:r>
          <w:rPr>
            <w:rStyle w:val="InternetLink"/>
            <w:rFonts w:ascii="times" w:hAnsi="times"/>
            <w:sz w:val="20"/>
          </w:rPr>
          <w:t>Table of Contents</w:t>
        </w:r>
      </w:hyperlink>
    </w:p>
    <w:p>
      <w:pPr>
        <w:pStyle w:val="TextBody"/>
        <w:jc w:val="center"/>
        <w:rPr>
          <w:rFonts w:ascii="times" w:hAnsi="times"/>
        </w:rPr>
      </w:pPr>
      <w:bookmarkStart w:id="10" w:name="be43504_about_this_prospectus_supplement"/>
      <w:bookmarkEnd w:id="10"/>
      <w:r>
        <w:rPr>
          <w:rFonts w:ascii="times" w:hAnsi="times"/>
          <w:sz w:val="20"/>
        </w:rPr>
        <w:br/>
      </w:r>
      <w:r>
        <w:rPr>
          <w:rFonts w:ascii="times" w:hAnsi="times"/>
          <w:b/>
          <w:sz w:val="20"/>
        </w:rPr>
        <w:t xml:space="preserve">ABOUT THIS PROSPECTUS SUPPLEMENT </w:t>
      </w:r>
    </w:p>
    <w:p>
      <w:pPr>
        <w:pStyle w:val="TextBody"/>
        <w:rPr>
          <w:rFonts w:ascii="times" w:hAnsi="times"/>
          <w:sz w:val="20"/>
        </w:rPr>
      </w:pPr>
      <w:r>
        <w:rPr>
          <w:rFonts w:ascii="times" w:hAnsi="times"/>
          <w:sz w:val="20"/>
        </w:rPr>
        <w:t xml:space="preserve">This document is in two parts. The first part is this prospectus supplement, which describes the specific terms of this offering and certain other matters. The second part, the prospectus, gives more general information about securities we may offer from time to time. Generally, when we refer to the "prospectus", we are referring to both parts of this document combined. You should read both this prospectus supplement and the accompanying prospectus, together with additional information described under the heading "Where You Can Find Additional Information" and "Incorporation of Certain Information by Reference". To the extent the description of our securities in this prospectus supplement differs from the description of our securities in the accompanying prospectus, you should rely on the information in this prospectus supplement. </w:t>
      </w:r>
    </w:p>
    <w:p>
      <w:pPr>
        <w:pStyle w:val="TextBody"/>
        <w:rPr>
          <w:rFonts w:ascii="times" w:hAnsi="times"/>
          <w:sz w:val="20"/>
        </w:rPr>
      </w:pPr>
      <w:r>
        <w:rPr>
          <w:rFonts w:ascii="times" w:hAnsi="times"/>
          <w:sz w:val="20"/>
        </w:rPr>
        <w:t xml:space="preserve">You should rely only on the information contained or incorporated by reference in this prospectus supplement and the accompanying prospectus. We have not, and the underwriters have not, authorized anyone to provide you with different information. The distribution of this prospectus and sale of these securities in certain jurisdictions may be restricted by law. Persons in possession of this prospectus supplement or the accompanying prospectus are required to inform themselves about and observe any such restrictions. We are not making an offer to sell these securities in any jurisdiction where the offer or sale is not permitted. You should assume that the information appearing in this prospectus supplement is accurate as of the date on the front cover of this prospectus supplement only. Our business, financial condition, results of operations and prospects may have changed since that date. </w:t>
      </w:r>
    </w:p>
    <w:p>
      <w:pPr>
        <w:pStyle w:val="TextBody"/>
        <w:jc w:val="center"/>
        <w:rPr>
          <w:rFonts w:ascii="times" w:hAnsi="times"/>
          <w:sz w:val="20"/>
        </w:rPr>
      </w:pPr>
      <w:r>
        <w:rPr>
          <w:rFonts w:ascii="times" w:hAnsi="times"/>
          <w:sz w:val="20"/>
        </w:rPr>
        <w:t>ii</w:t>
      </w:r>
    </w:p>
    <w:p>
      <w:pPr>
        <w:pStyle w:val="HorizontalLine"/>
        <w:pBdr>
          <w:bottom w:val="single" w:sz="20" w:space="0" w:color="808080"/>
        </w:pBdr>
        <w:rPr/>
      </w:pPr>
      <w:r>
        <w:rPr/>
      </w:r>
      <w:r>
        <w:br w:type="page"/>
      </w:r>
    </w:p>
    <w:p>
      <w:pPr>
        <w:pStyle w:val="TextBody"/>
        <w:rPr/>
      </w:pPr>
      <w:hyperlink w:anchor="bE43504A_main_toc">
        <w:bookmarkStart w:id="11" w:name="page_bk43504_1_1"/>
        <w:bookmarkEnd w:id="11"/>
        <w:r>
          <w:rPr>
            <w:rStyle w:val="InternetLink"/>
            <w:rFonts w:ascii="times" w:hAnsi="times"/>
            <w:sz w:val="20"/>
          </w:rPr>
          <w:t>Table of Contents</w:t>
        </w:r>
      </w:hyperlink>
      <w:r>
        <w:rPr>
          <w:rFonts w:ascii="times" w:hAnsi="times"/>
          <w:sz w:val="20"/>
        </w:rPr>
        <w:t xml:space="preserve"> </w:t>
      </w:r>
    </w:p>
    <w:p>
      <w:pPr>
        <w:pStyle w:val="TextBody"/>
        <w:rPr/>
      </w:pPr>
      <w:r>
        <w:rPr/>
        <w:t> </w:t>
      </w:r>
    </w:p>
    <w:p>
      <w:pPr>
        <w:pStyle w:val="TextBody"/>
        <w:jc w:val="center"/>
        <w:rPr>
          <w:rFonts w:ascii="times" w:hAnsi="times"/>
          <w:bdr w:val="single" w:sz="8" w:space="12" w:color="000000"/>
        </w:rPr>
      </w:pPr>
      <w:bookmarkStart w:id="12" w:name="toc_bk43504_1"/>
      <w:bookmarkStart w:id="13" w:name="bk43504_summary"/>
      <w:bookmarkEnd w:id="12"/>
      <w:bookmarkEnd w:id="13"/>
      <w:r>
        <w:rPr>
          <w:rFonts w:ascii="times" w:hAnsi="times"/>
          <w:sz w:val="20"/>
          <w:bdr w:val="single" w:sz="8" w:space="12" w:color="000000"/>
        </w:rPr>
        <w:br/>
      </w:r>
      <w:r>
        <w:rPr>
          <w:rFonts w:ascii="times" w:hAnsi="times"/>
          <w:b/>
          <w:sz w:val="20"/>
          <w:bdr w:val="single" w:sz="8" w:space="12" w:color="000000"/>
        </w:rPr>
        <w:t xml:space="preserve">SUMMARY </w:t>
      </w:r>
    </w:p>
    <w:p>
      <w:pPr>
        <w:pStyle w:val="TextBody"/>
        <w:rPr>
          <w:rFonts w:ascii="times" w:hAnsi="times"/>
          <w:i/>
          <w:sz w:val="20"/>
          <w:bdr w:val="single" w:sz="8" w:space="12" w:color="000000"/>
        </w:rPr>
      </w:pPr>
      <w:r>
        <w:rPr>
          <w:rFonts w:ascii="times" w:hAnsi="times"/>
          <w:i/>
          <w:sz w:val="20"/>
          <w:bdr w:val="single" w:sz="8" w:space="12" w:color="000000"/>
        </w:rPr>
        <w:t>This summary highlights information contained elsewhere in this prospectus supplement and accompanying prospectus. You should read "Risk Factors" beginning on page S-20 of this prospectus supplement and beginning on page 11 of our Annual Report on Form 20-F filed with the Securities and Exchange Commission ("SEC") on March 2, 2021 ("Annual Report on Form 20-F") and incorporated herein by reference.</w:t>
      </w:r>
    </w:p>
    <w:p>
      <w:pPr>
        <w:pStyle w:val="TextBody"/>
        <w:rPr>
          <w:rFonts w:ascii="times" w:hAnsi="times"/>
          <w:i/>
          <w:sz w:val="20"/>
          <w:bdr w:val="single" w:sz="8" w:space="12" w:color="000000"/>
        </w:rPr>
      </w:pPr>
      <w:r>
        <w:rPr>
          <w:rFonts w:ascii="times" w:hAnsi="times"/>
          <w:i/>
          <w:sz w:val="20"/>
          <w:bdr w:val="single" w:sz="8" w:space="12" w:color="000000"/>
        </w:rPr>
        <w:t>In this prospectus supplement, unless otherwise indicated, references to:</w:t>
      </w:r>
    </w:p>
    <w:p>
      <w:pPr>
        <w:pStyle w:val="ListHeading"/>
        <w:numPr>
          <w:ilvl w:val="0"/>
          <w:numId w:val="0"/>
        </w:numPr>
        <w:spacing w:before="0" w:after="0"/>
        <w:ind w:left="1414" w:right="0" w:hanging="0"/>
        <w:rPr>
          <w:rFonts w:ascii="times" w:hAnsi="times"/>
          <w:sz w:val="20"/>
          <w:bdr w:val="single" w:sz="8" w:space="12" w:color="000000"/>
        </w:rPr>
      </w:pPr>
      <w:r>
        <w:rPr>
          <w:rFonts w:ascii="times" w:hAnsi="times"/>
          <w:sz w:val="20"/>
          <w:bdr w:val="single" w:sz="8" w:space="12" w:color="000000"/>
        </w:rPr>
        <w:t></w:t>
      </w:r>
    </w:p>
    <w:p>
      <w:pPr>
        <w:pStyle w:val="ListContents"/>
        <w:numPr>
          <w:ilvl w:val="0"/>
          <w:numId w:val="0"/>
        </w:numPr>
        <w:spacing w:before="0" w:after="283"/>
        <w:ind w:left="1981" w:right="0" w:hanging="0"/>
        <w:rPr>
          <w:rFonts w:ascii="times" w:hAnsi="times"/>
          <w:sz w:val="20"/>
          <w:bdr w:val="single" w:sz="8" w:space="12" w:color="000000"/>
        </w:rPr>
      </w:pPr>
      <w:r>
        <w:rPr>
          <w:rFonts w:ascii="times" w:hAnsi="times"/>
          <w:sz w:val="20"/>
          <w:bdr w:val="single" w:sz="8" w:space="12" w:color="000000"/>
        </w:rPr>
        <w:t xml:space="preserve">"GasLog Partners", the "Partnership", "we", "our", "us" or similar terms refer to GasLog Partners LP or any one or more of its subsidiaries, or to all such entities unless the context otherwise indicates; </w:t>
      </w:r>
    </w:p>
    <w:p>
      <w:pPr>
        <w:pStyle w:val="ListHeading"/>
        <w:numPr>
          <w:ilvl w:val="0"/>
          <w:numId w:val="0"/>
        </w:numPr>
        <w:spacing w:before="0" w:after="0"/>
        <w:ind w:left="1414" w:right="0" w:hanging="0"/>
        <w:rPr>
          <w:rFonts w:ascii="times" w:hAnsi="times"/>
          <w:sz w:val="20"/>
          <w:bdr w:val="single" w:sz="8" w:space="12" w:color="000000"/>
        </w:rPr>
      </w:pPr>
      <w:r>
        <w:rPr>
          <w:rFonts w:ascii="times" w:hAnsi="times"/>
          <w:sz w:val="20"/>
          <w:bdr w:val="single" w:sz="8" w:space="12" w:color="000000"/>
        </w:rPr>
        <w:t></w:t>
      </w:r>
    </w:p>
    <w:p>
      <w:pPr>
        <w:pStyle w:val="ListContents"/>
        <w:numPr>
          <w:ilvl w:val="0"/>
          <w:numId w:val="0"/>
        </w:numPr>
        <w:spacing w:before="0" w:after="283"/>
        <w:ind w:left="1981" w:right="0" w:hanging="0"/>
        <w:rPr>
          <w:rFonts w:ascii="times" w:hAnsi="times"/>
          <w:sz w:val="20"/>
          <w:bdr w:val="single" w:sz="8" w:space="12" w:color="000000"/>
        </w:rPr>
      </w:pPr>
      <w:r>
        <w:rPr>
          <w:rFonts w:ascii="times" w:hAnsi="times"/>
          <w:sz w:val="20"/>
          <w:bdr w:val="single" w:sz="8" w:space="12" w:color="000000"/>
        </w:rPr>
        <w:t xml:space="preserve">"GasLog", depending on the context, refers to GasLog Ltd. and to any one or more of its direct and indirect subsidiaries, other than GasLog Partners; </w:t>
      </w:r>
    </w:p>
    <w:p>
      <w:pPr>
        <w:pStyle w:val="ListHeading"/>
        <w:numPr>
          <w:ilvl w:val="0"/>
          <w:numId w:val="0"/>
        </w:numPr>
        <w:spacing w:before="0" w:after="0"/>
        <w:ind w:left="1414" w:right="0" w:hanging="0"/>
        <w:rPr>
          <w:rFonts w:ascii="times" w:hAnsi="times"/>
          <w:sz w:val="20"/>
          <w:bdr w:val="single" w:sz="8" w:space="12" w:color="000000"/>
        </w:rPr>
      </w:pPr>
      <w:r>
        <w:rPr>
          <w:rFonts w:ascii="times" w:hAnsi="times"/>
          <w:sz w:val="20"/>
          <w:bdr w:val="single" w:sz="8" w:space="12" w:color="000000"/>
        </w:rPr>
        <w:t></w:t>
      </w:r>
    </w:p>
    <w:p>
      <w:pPr>
        <w:pStyle w:val="ListContents"/>
        <w:numPr>
          <w:ilvl w:val="0"/>
          <w:numId w:val="0"/>
        </w:numPr>
        <w:spacing w:before="0" w:after="283"/>
        <w:ind w:left="1981" w:right="0" w:hanging="0"/>
        <w:rPr>
          <w:rFonts w:ascii="times" w:hAnsi="times"/>
          <w:sz w:val="20"/>
          <w:bdr w:val="single" w:sz="8" w:space="12" w:color="000000"/>
        </w:rPr>
      </w:pPr>
      <w:r>
        <w:rPr>
          <w:rFonts w:ascii="times" w:hAnsi="times"/>
          <w:sz w:val="20"/>
          <w:bdr w:val="single" w:sz="8" w:space="12" w:color="000000"/>
        </w:rPr>
        <w:t xml:space="preserve">"our general partner" refers to GasLog Partners GP LLC, the general partner of GasLog Partners and a wholly owned subsidiary of GasLog; </w:t>
      </w:r>
    </w:p>
    <w:p>
      <w:pPr>
        <w:pStyle w:val="ListHeading"/>
        <w:numPr>
          <w:ilvl w:val="0"/>
          <w:numId w:val="0"/>
        </w:numPr>
        <w:spacing w:before="0" w:after="0"/>
        <w:ind w:left="1414" w:right="0" w:hanging="0"/>
        <w:rPr>
          <w:rFonts w:ascii="times" w:hAnsi="times"/>
          <w:sz w:val="20"/>
          <w:bdr w:val="single" w:sz="8" w:space="12" w:color="000000"/>
        </w:rPr>
      </w:pPr>
      <w:r>
        <w:rPr>
          <w:rFonts w:ascii="times" w:hAnsi="times"/>
          <w:sz w:val="20"/>
          <w:bdr w:val="single" w:sz="8" w:space="12" w:color="000000"/>
        </w:rPr>
        <w:t></w:t>
      </w:r>
    </w:p>
    <w:p>
      <w:pPr>
        <w:pStyle w:val="ListContents"/>
        <w:numPr>
          <w:ilvl w:val="0"/>
          <w:numId w:val="0"/>
        </w:numPr>
        <w:spacing w:before="0" w:after="283"/>
        <w:ind w:left="1981" w:right="0" w:hanging="0"/>
        <w:rPr>
          <w:rFonts w:ascii="times" w:hAnsi="times"/>
          <w:sz w:val="20"/>
          <w:bdr w:val="single" w:sz="8" w:space="12" w:color="000000"/>
        </w:rPr>
      </w:pPr>
      <w:r>
        <w:rPr>
          <w:rFonts w:ascii="times" w:hAnsi="times"/>
          <w:sz w:val="20"/>
          <w:bdr w:val="single" w:sz="8" w:space="12" w:color="000000"/>
        </w:rPr>
        <w:t xml:space="preserve">"GasLog LNG Services" refers to GasLog LNG Services Ltd., a wholly owned subsidiary of GasLog; </w:t>
      </w:r>
    </w:p>
    <w:p>
      <w:pPr>
        <w:pStyle w:val="ListHeading"/>
        <w:numPr>
          <w:ilvl w:val="0"/>
          <w:numId w:val="0"/>
        </w:numPr>
        <w:spacing w:before="0" w:after="0"/>
        <w:ind w:left="1414" w:right="0" w:hanging="0"/>
        <w:rPr>
          <w:rFonts w:ascii="times" w:hAnsi="times"/>
          <w:sz w:val="20"/>
          <w:bdr w:val="single" w:sz="8" w:space="12" w:color="000000"/>
        </w:rPr>
      </w:pPr>
      <w:r>
        <w:rPr>
          <w:rFonts w:ascii="times" w:hAnsi="times"/>
          <w:sz w:val="20"/>
          <w:bdr w:val="single" w:sz="8" w:space="12" w:color="000000"/>
        </w:rPr>
        <w:t></w:t>
      </w:r>
    </w:p>
    <w:p>
      <w:pPr>
        <w:pStyle w:val="ListContents"/>
        <w:numPr>
          <w:ilvl w:val="0"/>
          <w:numId w:val="0"/>
        </w:numPr>
        <w:spacing w:before="0" w:after="283"/>
        <w:ind w:left="1981" w:right="0" w:hanging="0"/>
        <w:rPr>
          <w:rFonts w:ascii="times" w:hAnsi="times"/>
          <w:sz w:val="20"/>
          <w:bdr w:val="single" w:sz="8" w:space="12" w:color="000000"/>
        </w:rPr>
      </w:pPr>
      <w:r>
        <w:rPr>
          <w:rFonts w:ascii="times" w:hAnsi="times"/>
          <w:sz w:val="20"/>
          <w:bdr w:val="single" w:sz="8" w:space="12" w:color="000000"/>
        </w:rPr>
        <w:t xml:space="preserve">"Merger Agreement" refers to the agreement and plan of merger dated as of February 21, 2021, with BlackRock's Global Energy and Power Infrastructure Team (collectively, "GEPIF"), pursuant to which GEPIF will acquire all of the outstanding common shares of GasLog Ltd. that are not held by certain existing shareholders for a purchase price of $5.80 in cash per share (the "Transaction"). Following the consummation of the Transaction, certain existing shareholders including Blenheim Holdings Ltd., which is wholly owned by the Livanos family, and a wholly owned affiliate of the Onassis Foundation (collectively, the "Rolling Shareholders") will continue to hold approximately 55% of the outstanding common shares of GasLog Ltd. and GEPIF will hold approximately 45% of the outstanding common shares of GasLog Ltd.; </w:t>
      </w:r>
    </w:p>
    <w:p>
      <w:pPr>
        <w:pStyle w:val="ListHeading"/>
        <w:numPr>
          <w:ilvl w:val="0"/>
          <w:numId w:val="0"/>
        </w:numPr>
        <w:spacing w:before="0" w:after="0"/>
        <w:ind w:left="1414" w:right="0" w:hanging="0"/>
        <w:rPr>
          <w:rFonts w:ascii="times" w:hAnsi="times"/>
          <w:sz w:val="20"/>
          <w:bdr w:val="single" w:sz="8" w:space="12" w:color="000000"/>
        </w:rPr>
      </w:pPr>
      <w:r>
        <w:rPr>
          <w:rFonts w:ascii="times" w:hAnsi="times"/>
          <w:sz w:val="20"/>
          <w:bdr w:val="single" w:sz="8" w:space="12" w:color="000000"/>
        </w:rPr>
        <w:t></w:t>
      </w:r>
    </w:p>
    <w:p>
      <w:pPr>
        <w:pStyle w:val="ListContents"/>
        <w:numPr>
          <w:ilvl w:val="0"/>
          <w:numId w:val="0"/>
        </w:numPr>
        <w:spacing w:before="0" w:after="283"/>
        <w:ind w:left="1981" w:right="0" w:hanging="0"/>
        <w:rPr>
          <w:rFonts w:ascii="times" w:hAnsi="times"/>
          <w:sz w:val="20"/>
          <w:bdr w:val="single" w:sz="8" w:space="12" w:color="000000"/>
        </w:rPr>
      </w:pPr>
      <w:r>
        <w:rPr>
          <w:rFonts w:ascii="times" w:hAnsi="times"/>
          <w:sz w:val="20"/>
          <w:bdr w:val="single" w:sz="8" w:space="12" w:color="000000"/>
        </w:rPr>
        <w:t xml:space="preserve">"Shell" refers to Royal Dutch Shell plc or any one or more of its subsidiaries; </w:t>
      </w:r>
    </w:p>
    <w:p>
      <w:pPr>
        <w:pStyle w:val="ListHeading"/>
        <w:numPr>
          <w:ilvl w:val="0"/>
          <w:numId w:val="0"/>
        </w:numPr>
        <w:spacing w:before="0" w:after="0"/>
        <w:ind w:left="1414" w:right="0" w:hanging="0"/>
        <w:rPr>
          <w:rFonts w:ascii="times" w:hAnsi="times"/>
          <w:sz w:val="20"/>
          <w:bdr w:val="single" w:sz="8" w:space="12" w:color="000000"/>
        </w:rPr>
      </w:pPr>
      <w:r>
        <w:rPr>
          <w:rFonts w:ascii="times" w:hAnsi="times"/>
          <w:sz w:val="20"/>
          <w:bdr w:val="single" w:sz="8" w:space="12" w:color="000000"/>
        </w:rPr>
        <w:t></w:t>
      </w:r>
    </w:p>
    <w:p>
      <w:pPr>
        <w:pStyle w:val="ListContents"/>
        <w:numPr>
          <w:ilvl w:val="0"/>
          <w:numId w:val="0"/>
        </w:numPr>
        <w:spacing w:before="0" w:after="283"/>
        <w:ind w:left="1981" w:right="0" w:hanging="0"/>
        <w:rPr>
          <w:rFonts w:ascii="times" w:hAnsi="times"/>
          <w:sz w:val="20"/>
          <w:bdr w:val="single" w:sz="8" w:space="12" w:color="000000"/>
        </w:rPr>
      </w:pPr>
      <w:r>
        <w:rPr>
          <w:rFonts w:ascii="times" w:hAnsi="times"/>
          <w:sz w:val="20"/>
          <w:bdr w:val="single" w:sz="8" w:space="12" w:color="000000"/>
        </w:rPr>
        <w:t xml:space="preserve">"Centrica" refers to Pioneer Shipping Limited, a wholly owned subsidiary of Centrica plc; </w:t>
      </w:r>
    </w:p>
    <w:p>
      <w:pPr>
        <w:pStyle w:val="ListHeading"/>
        <w:numPr>
          <w:ilvl w:val="0"/>
          <w:numId w:val="0"/>
        </w:numPr>
        <w:spacing w:before="0" w:after="0"/>
        <w:ind w:left="1414" w:right="0" w:hanging="0"/>
        <w:rPr>
          <w:rFonts w:ascii="times" w:hAnsi="times"/>
          <w:sz w:val="20"/>
          <w:bdr w:val="single" w:sz="8" w:space="12" w:color="000000"/>
        </w:rPr>
      </w:pPr>
      <w:r>
        <w:rPr>
          <w:rFonts w:ascii="times" w:hAnsi="times"/>
          <w:sz w:val="20"/>
          <w:bdr w:val="single" w:sz="8" w:space="12" w:color="000000"/>
        </w:rPr>
        <w:t></w:t>
      </w:r>
    </w:p>
    <w:p>
      <w:pPr>
        <w:pStyle w:val="ListContents"/>
        <w:numPr>
          <w:ilvl w:val="0"/>
          <w:numId w:val="0"/>
        </w:numPr>
        <w:spacing w:before="0" w:after="283"/>
        <w:ind w:left="1981" w:right="0" w:hanging="0"/>
        <w:rPr>
          <w:rFonts w:ascii="times" w:hAnsi="times"/>
          <w:sz w:val="20"/>
          <w:bdr w:val="single" w:sz="8" w:space="12" w:color="000000"/>
        </w:rPr>
      </w:pPr>
      <w:r>
        <w:rPr>
          <w:rFonts w:ascii="times" w:hAnsi="times"/>
          <w:sz w:val="20"/>
          <w:bdr w:val="single" w:sz="8" w:space="12" w:color="000000"/>
        </w:rPr>
        <w:t xml:space="preserve">"Cheniere" refers to Cheniere Marketing International LLP, a wholly owned subsidiary of Cheniere Energy, Inc.; </w:t>
      </w:r>
    </w:p>
    <w:p>
      <w:pPr>
        <w:pStyle w:val="ListHeading"/>
        <w:numPr>
          <w:ilvl w:val="0"/>
          <w:numId w:val="0"/>
        </w:numPr>
        <w:spacing w:before="0" w:after="0"/>
        <w:ind w:left="1414" w:right="0" w:hanging="0"/>
        <w:rPr>
          <w:rFonts w:ascii="times" w:hAnsi="times"/>
          <w:sz w:val="20"/>
          <w:bdr w:val="single" w:sz="8" w:space="12" w:color="000000"/>
        </w:rPr>
      </w:pPr>
      <w:r>
        <w:rPr>
          <w:rFonts w:ascii="times" w:hAnsi="times"/>
          <w:sz w:val="20"/>
          <w:bdr w:val="single" w:sz="8" w:space="12" w:color="000000"/>
        </w:rPr>
        <w:t></w:t>
      </w:r>
    </w:p>
    <w:p>
      <w:pPr>
        <w:pStyle w:val="ListContents"/>
        <w:numPr>
          <w:ilvl w:val="0"/>
          <w:numId w:val="0"/>
        </w:numPr>
        <w:spacing w:before="0" w:after="283"/>
        <w:ind w:left="1981" w:right="0" w:hanging="0"/>
        <w:rPr>
          <w:rFonts w:ascii="times" w:hAnsi="times"/>
          <w:sz w:val="20"/>
          <w:bdr w:val="single" w:sz="8" w:space="12" w:color="000000"/>
        </w:rPr>
      </w:pPr>
      <w:r>
        <w:rPr>
          <w:rFonts w:ascii="times" w:hAnsi="times"/>
          <w:sz w:val="20"/>
          <w:bdr w:val="single" w:sz="8" w:space="12" w:color="000000"/>
        </w:rPr>
        <w:t xml:space="preserve">"Trafigura" refers to Trafigura Maritime Logistics PTE Ltd.; </w:t>
      </w:r>
    </w:p>
    <w:p>
      <w:pPr>
        <w:pStyle w:val="ListHeading"/>
        <w:numPr>
          <w:ilvl w:val="0"/>
          <w:numId w:val="0"/>
        </w:numPr>
        <w:spacing w:before="0" w:after="0"/>
        <w:ind w:left="1414" w:right="0" w:hanging="0"/>
        <w:rPr>
          <w:rFonts w:ascii="times" w:hAnsi="times"/>
          <w:sz w:val="20"/>
          <w:bdr w:val="single" w:sz="8" w:space="12" w:color="000000"/>
        </w:rPr>
      </w:pPr>
      <w:r>
        <w:rPr>
          <w:rFonts w:ascii="times" w:hAnsi="times"/>
          <w:sz w:val="20"/>
          <w:bdr w:val="single" w:sz="8" w:space="12" w:color="000000"/>
        </w:rPr>
        <w:t></w:t>
      </w:r>
    </w:p>
    <w:p>
      <w:pPr>
        <w:pStyle w:val="ListContents"/>
        <w:numPr>
          <w:ilvl w:val="0"/>
          <w:numId w:val="0"/>
        </w:numPr>
        <w:spacing w:before="0" w:after="283"/>
        <w:ind w:left="1981" w:right="0" w:hanging="0"/>
        <w:rPr>
          <w:rFonts w:ascii="times" w:hAnsi="times"/>
          <w:sz w:val="20"/>
          <w:bdr w:val="single" w:sz="8" w:space="12" w:color="000000"/>
        </w:rPr>
      </w:pPr>
      <w:r>
        <w:rPr>
          <w:rFonts w:ascii="times" w:hAnsi="times"/>
          <w:sz w:val="20"/>
          <w:bdr w:val="single" w:sz="8" w:space="12" w:color="000000"/>
        </w:rPr>
        <w:t xml:space="preserve">"Gunvor" refers to Clealake Shipping Pte. Ltd., a wholly owned subsidiary of Gunvor Group Ltd.; </w:t>
      </w:r>
    </w:p>
    <w:p>
      <w:pPr>
        <w:pStyle w:val="ListHeading"/>
        <w:numPr>
          <w:ilvl w:val="0"/>
          <w:numId w:val="0"/>
        </w:numPr>
        <w:spacing w:before="0" w:after="0"/>
        <w:ind w:left="1414" w:right="0" w:hanging="0"/>
        <w:rPr>
          <w:rFonts w:ascii="times" w:hAnsi="times"/>
          <w:sz w:val="20"/>
          <w:bdr w:val="single" w:sz="8" w:space="12" w:color="000000"/>
        </w:rPr>
      </w:pPr>
      <w:r>
        <w:rPr>
          <w:rFonts w:ascii="times" w:hAnsi="times"/>
          <w:sz w:val="20"/>
          <w:bdr w:val="single" w:sz="8" w:space="12" w:color="000000"/>
        </w:rPr>
        <w:t></w:t>
      </w:r>
    </w:p>
    <w:p>
      <w:pPr>
        <w:pStyle w:val="ListContents"/>
        <w:numPr>
          <w:ilvl w:val="0"/>
          <w:numId w:val="0"/>
        </w:numPr>
        <w:spacing w:before="0" w:after="283"/>
        <w:ind w:left="1981" w:right="0" w:hanging="0"/>
        <w:rPr>
          <w:rFonts w:ascii="times" w:hAnsi="times"/>
          <w:sz w:val="20"/>
          <w:bdr w:val="single" w:sz="8" w:space="12" w:color="000000"/>
        </w:rPr>
      </w:pPr>
      <w:r>
        <w:rPr>
          <w:rFonts w:ascii="times" w:hAnsi="times"/>
          <w:sz w:val="20"/>
          <w:bdr w:val="single" w:sz="8" w:space="12" w:color="000000"/>
        </w:rPr>
        <w:t xml:space="preserve">"Sinolam" refers to Sinolam LNG Terminal, S.A.; </w:t>
      </w:r>
    </w:p>
    <w:p>
      <w:pPr>
        <w:pStyle w:val="ListHeading"/>
        <w:numPr>
          <w:ilvl w:val="0"/>
          <w:numId w:val="0"/>
        </w:numPr>
        <w:spacing w:before="0" w:after="0"/>
        <w:ind w:left="1414" w:right="0" w:hanging="0"/>
        <w:rPr>
          <w:rFonts w:ascii="times" w:hAnsi="times"/>
          <w:sz w:val="20"/>
          <w:bdr w:val="single" w:sz="8" w:space="12" w:color="000000"/>
        </w:rPr>
      </w:pPr>
      <w:r>
        <w:rPr>
          <w:rFonts w:ascii="times" w:hAnsi="times"/>
          <w:sz w:val="20"/>
          <w:bdr w:val="single" w:sz="8" w:space="12" w:color="000000"/>
        </w:rPr>
        <w:t></w:t>
      </w:r>
    </w:p>
    <w:p>
      <w:pPr>
        <w:pStyle w:val="ListContents"/>
        <w:numPr>
          <w:ilvl w:val="0"/>
          <w:numId w:val="0"/>
        </w:numPr>
        <w:spacing w:before="0" w:after="283"/>
        <w:ind w:left="1981" w:right="0" w:hanging="0"/>
        <w:rPr>
          <w:rFonts w:ascii="times" w:hAnsi="times"/>
          <w:sz w:val="20"/>
          <w:bdr w:val="single" w:sz="8" w:space="12" w:color="000000"/>
        </w:rPr>
      </w:pPr>
      <w:r>
        <w:rPr>
          <w:rFonts w:ascii="times" w:hAnsi="times"/>
          <w:sz w:val="20"/>
          <w:bdr w:val="single" w:sz="8" w:space="12" w:color="000000"/>
        </w:rPr>
        <w:t xml:space="preserve">"Endesa" refers to Endesa S.A.; </w:t>
      </w:r>
    </w:p>
    <w:p>
      <w:pPr>
        <w:pStyle w:val="ListHeading"/>
        <w:numPr>
          <w:ilvl w:val="0"/>
          <w:numId w:val="0"/>
        </w:numPr>
        <w:spacing w:before="0" w:after="0"/>
        <w:ind w:left="1414" w:right="0" w:hanging="0"/>
        <w:rPr>
          <w:rFonts w:ascii="times" w:hAnsi="times"/>
          <w:sz w:val="20"/>
          <w:bdr w:val="single" w:sz="8" w:space="12" w:color="000000"/>
        </w:rPr>
      </w:pPr>
      <w:r>
        <w:rPr>
          <w:rFonts w:ascii="times" w:hAnsi="times"/>
          <w:sz w:val="20"/>
          <w:bdr w:val="single" w:sz="8" w:space="12" w:color="000000"/>
        </w:rPr>
        <w:t></w:t>
      </w:r>
    </w:p>
    <w:p>
      <w:pPr>
        <w:pStyle w:val="ListContents"/>
        <w:numPr>
          <w:ilvl w:val="0"/>
          <w:numId w:val="0"/>
        </w:numPr>
        <w:spacing w:before="0" w:after="283"/>
        <w:ind w:left="1981" w:right="0" w:hanging="0"/>
        <w:rPr>
          <w:rFonts w:ascii="times" w:hAnsi="times"/>
          <w:sz w:val="20"/>
          <w:bdr w:val="single" w:sz="8" w:space="12" w:color="000000"/>
        </w:rPr>
      </w:pPr>
      <w:r>
        <w:rPr>
          <w:rFonts w:ascii="times" w:hAnsi="times"/>
          <w:sz w:val="20"/>
          <w:bdr w:val="single" w:sz="8" w:space="12" w:color="000000"/>
        </w:rPr>
        <w:t xml:space="preserve">"Jera" refers to LNG Marine Transport Limited, the principal LNG shipping entity of Japan's Jera Co., Inc.; </w:t>
      </w:r>
    </w:p>
    <w:p>
      <w:pPr>
        <w:pStyle w:val="TextBody"/>
        <w:jc w:val="center"/>
        <w:rPr>
          <w:rFonts w:ascii="times" w:hAnsi="times"/>
          <w:sz w:val="20"/>
        </w:rPr>
      </w:pPr>
      <w:r>
        <w:rPr>
          <w:rFonts w:ascii="times" w:hAnsi="times"/>
          <w:sz w:val="20"/>
        </w:rPr>
        <w:t>S-1</w:t>
      </w:r>
    </w:p>
    <w:p>
      <w:pPr>
        <w:pStyle w:val="HorizontalLine"/>
        <w:pBdr>
          <w:bottom w:val="single" w:sz="20" w:space="0" w:color="808080"/>
        </w:pBdr>
        <w:rPr/>
      </w:pPr>
      <w:r>
        <w:rPr/>
      </w:r>
      <w:r>
        <w:br w:type="page"/>
      </w:r>
    </w:p>
    <w:p>
      <w:pPr>
        <w:pStyle w:val="TextBody"/>
        <w:rPr/>
      </w:pPr>
      <w:hyperlink w:anchor="bE43504A_main_toc">
        <w:bookmarkStart w:id="14" w:name="page_bk43504_1_2"/>
        <w:bookmarkEnd w:id="14"/>
        <w:r>
          <w:rPr>
            <w:rStyle w:val="InternetLink"/>
            <w:rFonts w:ascii="times" w:hAnsi="times"/>
            <w:sz w:val="20"/>
          </w:rPr>
          <w:t>Table of Contents</w:t>
        </w:r>
      </w:hyperlink>
    </w:p>
    <w:p>
      <w:pPr>
        <w:pStyle w:val="ListHeading"/>
        <w:numPr>
          <w:ilvl w:val="0"/>
          <w:numId w:val="0"/>
        </w:numPr>
        <w:spacing w:before="0" w:after="0"/>
        <w:ind w:left="1414" w:right="0" w:hanging="0"/>
        <w:rPr>
          <w:rFonts w:ascii="times" w:hAnsi="times"/>
          <w:sz w:val="20"/>
          <w:bdr w:val="single" w:sz="8" w:space="12" w:color="000000"/>
        </w:rPr>
      </w:pPr>
      <w:r>
        <w:rPr>
          <w:rFonts w:ascii="times" w:hAnsi="times"/>
          <w:sz w:val="20"/>
          <w:bdr w:val="single" w:sz="8" w:space="12" w:color="000000"/>
        </w:rPr>
        <w:t></w:t>
      </w:r>
    </w:p>
    <w:p>
      <w:pPr>
        <w:pStyle w:val="ListContents"/>
        <w:numPr>
          <w:ilvl w:val="0"/>
          <w:numId w:val="0"/>
        </w:numPr>
        <w:spacing w:before="0" w:after="283"/>
        <w:ind w:left="1981" w:right="0" w:hanging="0"/>
        <w:rPr>
          <w:rFonts w:ascii="times" w:hAnsi="times"/>
          <w:sz w:val="20"/>
          <w:bdr w:val="single" w:sz="8" w:space="12" w:color="000000"/>
        </w:rPr>
      </w:pPr>
      <w:r>
        <w:rPr>
          <w:rFonts w:ascii="times" w:hAnsi="times"/>
          <w:sz w:val="20"/>
          <w:bdr w:val="single" w:sz="8" w:space="12" w:color="000000"/>
        </w:rPr>
        <w:t xml:space="preserve">"JOVO" refers to Singapore Carbon Hydrogen Energy Pte. Ltd., a wholly owned subsidiary of JOVO Group; </w:t>
      </w:r>
    </w:p>
    <w:p>
      <w:pPr>
        <w:pStyle w:val="ListHeading"/>
        <w:numPr>
          <w:ilvl w:val="0"/>
          <w:numId w:val="0"/>
        </w:numPr>
        <w:spacing w:before="0" w:after="0"/>
        <w:ind w:left="1414" w:right="0" w:hanging="0"/>
        <w:rPr>
          <w:rFonts w:ascii="times" w:hAnsi="times"/>
          <w:sz w:val="20"/>
          <w:bdr w:val="single" w:sz="8" w:space="12" w:color="000000"/>
        </w:rPr>
      </w:pPr>
      <w:r>
        <w:rPr>
          <w:rFonts w:ascii="times" w:hAnsi="times"/>
          <w:sz w:val="20"/>
          <w:bdr w:val="single" w:sz="8" w:space="12" w:color="000000"/>
        </w:rPr>
        <w:t></w:t>
      </w:r>
    </w:p>
    <w:p>
      <w:pPr>
        <w:pStyle w:val="ListContents"/>
        <w:numPr>
          <w:ilvl w:val="0"/>
          <w:numId w:val="0"/>
        </w:numPr>
        <w:spacing w:before="0" w:after="283"/>
        <w:ind w:left="1981" w:right="0" w:hanging="0"/>
        <w:rPr>
          <w:rFonts w:ascii="times" w:hAnsi="times"/>
          <w:sz w:val="20"/>
          <w:bdr w:val="single" w:sz="8" w:space="12" w:color="000000"/>
        </w:rPr>
      </w:pPr>
      <w:r>
        <w:rPr>
          <w:rFonts w:ascii="times" w:hAnsi="times"/>
          <w:sz w:val="20"/>
          <w:bdr w:val="single" w:sz="8" w:space="12" w:color="000000"/>
        </w:rPr>
        <w:t xml:space="preserve">"CNTIC VPower" refers to CNTIC VPower Energy Ltd., an independent Chinese energy company; </w:t>
      </w:r>
    </w:p>
    <w:p>
      <w:pPr>
        <w:pStyle w:val="ListHeading"/>
        <w:numPr>
          <w:ilvl w:val="0"/>
          <w:numId w:val="0"/>
        </w:numPr>
        <w:spacing w:before="0" w:after="0"/>
        <w:ind w:left="1414" w:right="0" w:hanging="0"/>
        <w:rPr>
          <w:rFonts w:ascii="times" w:hAnsi="times"/>
          <w:sz w:val="20"/>
          <w:bdr w:val="single" w:sz="8" w:space="12" w:color="000000"/>
        </w:rPr>
      </w:pPr>
      <w:r>
        <w:rPr>
          <w:rFonts w:ascii="times" w:hAnsi="times"/>
          <w:sz w:val="20"/>
          <w:bdr w:val="single" w:sz="8" w:space="12" w:color="000000"/>
        </w:rPr>
        <w:t></w:t>
      </w:r>
    </w:p>
    <w:p>
      <w:pPr>
        <w:pStyle w:val="ListContents"/>
        <w:numPr>
          <w:ilvl w:val="0"/>
          <w:numId w:val="0"/>
        </w:numPr>
        <w:spacing w:before="0" w:after="283"/>
        <w:ind w:left="1981" w:right="0" w:hanging="0"/>
        <w:rPr>
          <w:rFonts w:ascii="times" w:hAnsi="times"/>
          <w:sz w:val="20"/>
          <w:bdr w:val="single" w:sz="8" w:space="12" w:color="000000"/>
        </w:rPr>
      </w:pPr>
      <w:r>
        <w:rPr>
          <w:rFonts w:ascii="times" w:hAnsi="times"/>
          <w:sz w:val="20"/>
          <w:bdr w:val="single" w:sz="8" w:space="12" w:color="000000"/>
        </w:rPr>
        <w:t xml:space="preserve">"LNG" refers to liquefied natural gas; </w:t>
      </w:r>
    </w:p>
    <w:p>
      <w:pPr>
        <w:pStyle w:val="ListHeading"/>
        <w:numPr>
          <w:ilvl w:val="0"/>
          <w:numId w:val="0"/>
        </w:numPr>
        <w:spacing w:before="0" w:after="0"/>
        <w:ind w:left="1414" w:right="0" w:hanging="0"/>
        <w:rPr>
          <w:rFonts w:ascii="times" w:hAnsi="times"/>
          <w:sz w:val="20"/>
          <w:bdr w:val="single" w:sz="8" w:space="12" w:color="000000"/>
        </w:rPr>
      </w:pPr>
      <w:r>
        <w:rPr>
          <w:rFonts w:ascii="times" w:hAnsi="times"/>
          <w:sz w:val="20"/>
          <w:bdr w:val="single" w:sz="8" w:space="12" w:color="000000"/>
        </w:rPr>
        <w:t></w:t>
      </w:r>
    </w:p>
    <w:p>
      <w:pPr>
        <w:pStyle w:val="ListContents"/>
        <w:numPr>
          <w:ilvl w:val="0"/>
          <w:numId w:val="0"/>
        </w:numPr>
        <w:spacing w:before="0" w:after="283"/>
        <w:ind w:left="1981" w:right="0" w:hanging="0"/>
        <w:rPr>
          <w:rFonts w:ascii="times" w:hAnsi="times"/>
          <w:sz w:val="20"/>
          <w:bdr w:val="single" w:sz="8" w:space="12" w:color="000000"/>
        </w:rPr>
      </w:pPr>
      <w:r>
        <w:rPr>
          <w:rFonts w:ascii="times" w:hAnsi="times"/>
          <w:sz w:val="20"/>
          <w:bdr w:val="single" w:sz="8" w:space="12" w:color="000000"/>
        </w:rPr>
        <w:t xml:space="preserve">"Class B Units" refers collectively to the 2,075,000 Class B units (of which 415,000 are Class B-2 units, 415,000 are Class B-3 units, 415,000 are Class B-4 units, 415,000 are Class B-5 units and 415,000 are Class B-6 units), issued on June 30, 2019; </w:t>
      </w:r>
    </w:p>
    <w:p>
      <w:pPr>
        <w:pStyle w:val="ListHeading"/>
        <w:numPr>
          <w:ilvl w:val="0"/>
          <w:numId w:val="0"/>
        </w:numPr>
        <w:spacing w:before="0" w:after="0"/>
        <w:ind w:left="1414" w:right="0" w:hanging="0"/>
        <w:rPr>
          <w:rFonts w:ascii="times" w:hAnsi="times"/>
          <w:sz w:val="20"/>
          <w:bdr w:val="single" w:sz="8" w:space="12" w:color="000000"/>
        </w:rPr>
      </w:pPr>
      <w:r>
        <w:rPr>
          <w:rFonts w:ascii="times" w:hAnsi="times"/>
          <w:sz w:val="20"/>
          <w:bdr w:val="single" w:sz="8" w:space="12" w:color="000000"/>
        </w:rPr>
        <w:t></w:t>
      </w:r>
    </w:p>
    <w:p>
      <w:pPr>
        <w:pStyle w:val="ListContents"/>
        <w:numPr>
          <w:ilvl w:val="0"/>
          <w:numId w:val="0"/>
        </w:numPr>
        <w:spacing w:before="0" w:after="283"/>
        <w:ind w:left="1981" w:right="0" w:hanging="0"/>
        <w:rPr>
          <w:rFonts w:ascii="times" w:hAnsi="times"/>
          <w:sz w:val="20"/>
          <w:bdr w:val="single" w:sz="8" w:space="12" w:color="000000"/>
        </w:rPr>
      </w:pPr>
      <w:r>
        <w:rPr>
          <w:rFonts w:ascii="times" w:hAnsi="times"/>
          <w:sz w:val="20"/>
          <w:bdr w:val="single" w:sz="8" w:space="12" w:color="000000"/>
        </w:rPr>
        <w:t xml:space="preserve">"Series A Preference Units" refers to our 8.625% Series A Cumulative Redeemable Perpetual Fixed to Floating Rate Preference Units issued by us on May 15, 2017; </w:t>
      </w:r>
    </w:p>
    <w:p>
      <w:pPr>
        <w:pStyle w:val="ListHeading"/>
        <w:numPr>
          <w:ilvl w:val="0"/>
          <w:numId w:val="0"/>
        </w:numPr>
        <w:spacing w:before="0" w:after="0"/>
        <w:ind w:left="1414" w:right="0" w:hanging="0"/>
        <w:rPr>
          <w:rFonts w:ascii="times" w:hAnsi="times"/>
          <w:sz w:val="20"/>
          <w:bdr w:val="single" w:sz="8" w:space="12" w:color="000000"/>
        </w:rPr>
      </w:pPr>
      <w:r>
        <w:rPr>
          <w:rFonts w:ascii="times" w:hAnsi="times"/>
          <w:sz w:val="20"/>
          <w:bdr w:val="single" w:sz="8" w:space="12" w:color="000000"/>
        </w:rPr>
        <w:t></w:t>
      </w:r>
    </w:p>
    <w:p>
      <w:pPr>
        <w:pStyle w:val="ListContents"/>
        <w:numPr>
          <w:ilvl w:val="0"/>
          <w:numId w:val="0"/>
        </w:numPr>
        <w:spacing w:before="0" w:after="283"/>
        <w:ind w:left="1981" w:right="0" w:hanging="0"/>
        <w:rPr>
          <w:rFonts w:ascii="times" w:hAnsi="times"/>
          <w:sz w:val="20"/>
          <w:bdr w:val="single" w:sz="8" w:space="12" w:color="000000"/>
        </w:rPr>
      </w:pPr>
      <w:r>
        <w:rPr>
          <w:rFonts w:ascii="times" w:hAnsi="times"/>
          <w:sz w:val="20"/>
          <w:bdr w:val="single" w:sz="8" w:space="12" w:color="000000"/>
        </w:rPr>
        <w:t xml:space="preserve">"Series B Preference Units" refers to our 8.200% Series B Cumulative Redeemable Perpetual Fixed to Floating Rate Preference Units issued by us on January 17, 2018; </w:t>
      </w:r>
    </w:p>
    <w:p>
      <w:pPr>
        <w:pStyle w:val="ListHeading"/>
        <w:numPr>
          <w:ilvl w:val="0"/>
          <w:numId w:val="0"/>
        </w:numPr>
        <w:spacing w:before="0" w:after="0"/>
        <w:ind w:left="1414" w:right="0" w:hanging="0"/>
        <w:rPr>
          <w:rFonts w:ascii="times" w:hAnsi="times"/>
          <w:sz w:val="20"/>
          <w:bdr w:val="single" w:sz="8" w:space="12" w:color="000000"/>
        </w:rPr>
      </w:pPr>
      <w:r>
        <w:rPr>
          <w:rFonts w:ascii="times" w:hAnsi="times"/>
          <w:sz w:val="20"/>
          <w:bdr w:val="single" w:sz="8" w:space="12" w:color="000000"/>
        </w:rPr>
        <w:t></w:t>
      </w:r>
    </w:p>
    <w:p>
      <w:pPr>
        <w:pStyle w:val="ListContents"/>
        <w:numPr>
          <w:ilvl w:val="0"/>
          <w:numId w:val="0"/>
        </w:numPr>
        <w:spacing w:before="0" w:after="283"/>
        <w:ind w:left="1981" w:right="0" w:hanging="0"/>
        <w:rPr>
          <w:rFonts w:ascii="times" w:hAnsi="times"/>
          <w:sz w:val="20"/>
          <w:bdr w:val="single" w:sz="8" w:space="12" w:color="000000"/>
        </w:rPr>
      </w:pPr>
      <w:r>
        <w:rPr>
          <w:rFonts w:ascii="times" w:hAnsi="times"/>
          <w:sz w:val="20"/>
          <w:bdr w:val="single" w:sz="8" w:space="12" w:color="000000"/>
        </w:rPr>
        <w:t xml:space="preserve">"Series C Preference Units" refers to our 8.500% Series C Cumulative Redeemable Perpetual Fixed to Floating Rate Preference Units issued by us on November 15, 2018; </w:t>
      </w:r>
    </w:p>
    <w:p>
      <w:pPr>
        <w:pStyle w:val="ListHeading"/>
        <w:numPr>
          <w:ilvl w:val="0"/>
          <w:numId w:val="0"/>
        </w:numPr>
        <w:spacing w:before="0" w:after="0"/>
        <w:ind w:left="1414" w:right="0" w:hanging="0"/>
        <w:rPr>
          <w:rFonts w:ascii="times" w:hAnsi="times"/>
          <w:sz w:val="20"/>
          <w:bdr w:val="single" w:sz="8" w:space="12" w:color="000000"/>
        </w:rPr>
      </w:pPr>
      <w:r>
        <w:rPr>
          <w:rFonts w:ascii="times" w:hAnsi="times"/>
          <w:sz w:val="20"/>
          <w:bdr w:val="single" w:sz="8" w:space="12" w:color="000000"/>
        </w:rPr>
        <w:t></w:t>
      </w:r>
    </w:p>
    <w:p>
      <w:pPr>
        <w:pStyle w:val="ListContents"/>
        <w:numPr>
          <w:ilvl w:val="0"/>
          <w:numId w:val="0"/>
        </w:numPr>
        <w:spacing w:before="0" w:after="283"/>
        <w:ind w:left="1981" w:right="0" w:hanging="0"/>
        <w:rPr>
          <w:rFonts w:ascii="times" w:hAnsi="times"/>
          <w:sz w:val="20"/>
          <w:bdr w:val="single" w:sz="8" w:space="12" w:color="000000"/>
        </w:rPr>
      </w:pPr>
      <w:r>
        <w:rPr>
          <w:rFonts w:ascii="times" w:hAnsi="times"/>
          <w:sz w:val="20"/>
          <w:bdr w:val="single" w:sz="8" w:space="12" w:color="000000"/>
        </w:rPr>
        <w:t xml:space="preserve">"Preference Units" refers to our Series A Preference Units, our Series B Preference Units and our Series C Preference Units; </w:t>
      </w:r>
    </w:p>
    <w:p>
      <w:pPr>
        <w:pStyle w:val="ListHeading"/>
        <w:numPr>
          <w:ilvl w:val="0"/>
          <w:numId w:val="0"/>
        </w:numPr>
        <w:spacing w:before="0" w:after="0"/>
        <w:ind w:left="1414" w:right="0" w:hanging="0"/>
        <w:rPr>
          <w:rFonts w:ascii="times" w:hAnsi="times"/>
          <w:sz w:val="20"/>
          <w:bdr w:val="single" w:sz="8" w:space="12" w:color="000000"/>
        </w:rPr>
      </w:pPr>
      <w:r>
        <w:rPr>
          <w:rFonts w:ascii="times" w:hAnsi="times"/>
          <w:sz w:val="20"/>
          <w:bdr w:val="single" w:sz="8" w:space="12" w:color="000000"/>
        </w:rPr>
        <w:t></w:t>
      </w:r>
    </w:p>
    <w:p>
      <w:pPr>
        <w:pStyle w:val="ListContents"/>
        <w:numPr>
          <w:ilvl w:val="0"/>
          <w:numId w:val="0"/>
        </w:numPr>
        <w:spacing w:before="0" w:after="283"/>
        <w:ind w:left="1981" w:right="0" w:hanging="0"/>
        <w:rPr>
          <w:rFonts w:ascii="times" w:hAnsi="times"/>
          <w:sz w:val="20"/>
          <w:bdr w:val="single" w:sz="8" w:space="12" w:color="000000"/>
        </w:rPr>
      </w:pPr>
      <w:r>
        <w:rPr>
          <w:rFonts w:ascii="times" w:hAnsi="times"/>
          <w:sz w:val="20"/>
          <w:bdr w:val="single" w:sz="8" w:space="12" w:color="000000"/>
        </w:rPr>
        <w:t xml:space="preserve">"omnibus agreement" refers to the Omnibus Agreement dated May 12, 2014 by and among the Partnership, GasLog, our general partner and GasLog Partners Holdings LLC, as amended; </w:t>
      </w:r>
    </w:p>
    <w:p>
      <w:pPr>
        <w:pStyle w:val="ListHeading"/>
        <w:numPr>
          <w:ilvl w:val="0"/>
          <w:numId w:val="0"/>
        </w:numPr>
        <w:spacing w:before="0" w:after="0"/>
        <w:ind w:left="1414" w:right="0" w:hanging="0"/>
        <w:rPr>
          <w:rFonts w:ascii="times" w:hAnsi="times"/>
          <w:sz w:val="20"/>
          <w:bdr w:val="single" w:sz="8" w:space="12" w:color="000000"/>
        </w:rPr>
      </w:pPr>
      <w:r>
        <w:rPr>
          <w:rFonts w:ascii="times" w:hAnsi="times"/>
          <w:sz w:val="20"/>
          <w:bdr w:val="single" w:sz="8" w:space="12" w:color="000000"/>
        </w:rPr>
        <w:t></w:t>
      </w:r>
    </w:p>
    <w:p>
      <w:pPr>
        <w:pStyle w:val="ListContents"/>
        <w:numPr>
          <w:ilvl w:val="0"/>
          <w:numId w:val="0"/>
        </w:numPr>
        <w:spacing w:before="0" w:after="283"/>
        <w:ind w:left="1981" w:right="0" w:hanging="0"/>
        <w:rPr>
          <w:rFonts w:ascii="times" w:hAnsi="times"/>
          <w:sz w:val="20"/>
          <w:bdr w:val="single" w:sz="8" w:space="12" w:color="000000"/>
        </w:rPr>
      </w:pPr>
      <w:r>
        <w:rPr>
          <w:rFonts w:ascii="times" w:hAnsi="times"/>
          <w:sz w:val="20"/>
          <w:bdr w:val="single" w:sz="8" w:space="12" w:color="000000"/>
        </w:rPr>
        <w:t xml:space="preserve">"Partnership Agreement" refers to the Seventh Amended and Restated Agreement of Limited Partnership of the Partnership, dated June 24, 2019. </w:t>
      </w:r>
    </w:p>
    <w:p>
      <w:pPr>
        <w:pStyle w:val="ListHeading"/>
        <w:numPr>
          <w:ilvl w:val="0"/>
          <w:numId w:val="0"/>
        </w:numPr>
        <w:spacing w:before="0" w:after="0"/>
        <w:ind w:left="1414" w:right="0" w:hanging="0"/>
        <w:rPr>
          <w:rFonts w:ascii="times" w:hAnsi="times"/>
          <w:sz w:val="20"/>
          <w:bdr w:val="single" w:sz="8" w:space="12" w:color="000000"/>
        </w:rPr>
      </w:pPr>
      <w:r>
        <w:rPr>
          <w:rFonts w:ascii="times" w:hAnsi="times"/>
          <w:sz w:val="20"/>
          <w:bdr w:val="single" w:sz="8" w:space="12" w:color="000000"/>
        </w:rPr>
        <w:t></w:t>
      </w:r>
    </w:p>
    <w:p>
      <w:pPr>
        <w:pStyle w:val="ListContents"/>
        <w:numPr>
          <w:ilvl w:val="0"/>
          <w:numId w:val="0"/>
        </w:numPr>
        <w:spacing w:before="0" w:after="283"/>
        <w:ind w:left="1981" w:right="0" w:hanging="0"/>
        <w:rPr>
          <w:rFonts w:ascii="times" w:hAnsi="times"/>
          <w:sz w:val="20"/>
          <w:bdr w:val="single" w:sz="8" w:space="12" w:color="000000"/>
        </w:rPr>
      </w:pPr>
      <w:r>
        <w:rPr>
          <w:rFonts w:ascii="times" w:hAnsi="times"/>
          <w:sz w:val="20"/>
          <w:bdr w:val="single" w:sz="8" w:space="12" w:color="000000"/>
        </w:rPr>
        <w:t xml:space="preserve">"IPO" refers to the initial public offering of GasLog Partners on May 12, 2014; </w:t>
      </w:r>
    </w:p>
    <w:p>
      <w:pPr>
        <w:pStyle w:val="ListHeading"/>
        <w:numPr>
          <w:ilvl w:val="0"/>
          <w:numId w:val="0"/>
        </w:numPr>
        <w:spacing w:before="0" w:after="0"/>
        <w:ind w:left="1414" w:right="0" w:hanging="0"/>
        <w:rPr>
          <w:rFonts w:ascii="times" w:hAnsi="times"/>
          <w:sz w:val="20"/>
          <w:bdr w:val="single" w:sz="8" w:space="12" w:color="000000"/>
        </w:rPr>
      </w:pPr>
      <w:r>
        <w:rPr>
          <w:rFonts w:ascii="times" w:hAnsi="times"/>
          <w:sz w:val="20"/>
          <w:bdr w:val="single" w:sz="8" w:space="12" w:color="000000"/>
        </w:rPr>
        <w:t></w:t>
      </w:r>
    </w:p>
    <w:p>
      <w:pPr>
        <w:pStyle w:val="ListContents"/>
        <w:numPr>
          <w:ilvl w:val="0"/>
          <w:numId w:val="0"/>
        </w:numPr>
        <w:spacing w:before="0" w:after="283"/>
        <w:ind w:left="1981" w:right="0" w:hanging="0"/>
        <w:rPr>
          <w:rFonts w:ascii="times" w:hAnsi="times"/>
          <w:sz w:val="20"/>
          <w:bdr w:val="single" w:sz="8" w:space="12" w:color="000000"/>
        </w:rPr>
      </w:pPr>
      <w:r>
        <w:rPr>
          <w:rFonts w:ascii="times" w:hAnsi="times"/>
          <w:sz w:val="20"/>
          <w:bdr w:val="single" w:sz="8" w:space="12" w:color="000000"/>
        </w:rPr>
        <w:t xml:space="preserve">"IFRS" refers to International Financial Reporting Standards; </w:t>
      </w:r>
    </w:p>
    <w:p>
      <w:pPr>
        <w:pStyle w:val="ListHeading"/>
        <w:numPr>
          <w:ilvl w:val="0"/>
          <w:numId w:val="0"/>
        </w:numPr>
        <w:spacing w:before="0" w:after="0"/>
        <w:ind w:left="1414" w:right="0" w:hanging="0"/>
        <w:rPr>
          <w:rFonts w:ascii="times" w:hAnsi="times"/>
          <w:sz w:val="20"/>
          <w:bdr w:val="single" w:sz="8" w:space="12" w:color="000000"/>
        </w:rPr>
      </w:pPr>
      <w:r>
        <w:rPr>
          <w:rFonts w:ascii="times" w:hAnsi="times"/>
          <w:sz w:val="20"/>
          <w:bdr w:val="single" w:sz="8" w:space="12" w:color="000000"/>
        </w:rPr>
        <w:t></w:t>
      </w:r>
    </w:p>
    <w:p>
      <w:pPr>
        <w:pStyle w:val="ListContents"/>
        <w:numPr>
          <w:ilvl w:val="0"/>
          <w:numId w:val="0"/>
        </w:numPr>
        <w:spacing w:before="0" w:after="283"/>
        <w:ind w:left="1981" w:right="0" w:hanging="0"/>
        <w:rPr>
          <w:rFonts w:ascii="times" w:hAnsi="times"/>
          <w:sz w:val="20"/>
          <w:bdr w:val="single" w:sz="8" w:space="12" w:color="000000"/>
        </w:rPr>
      </w:pPr>
      <w:r>
        <w:rPr>
          <w:rFonts w:ascii="times" w:hAnsi="times"/>
          <w:sz w:val="20"/>
          <w:bdr w:val="single" w:sz="8" w:space="12" w:color="000000"/>
        </w:rPr>
        <w:t xml:space="preserve">"IASB" refers to the International Accounting Standards Board; </w:t>
      </w:r>
    </w:p>
    <w:p>
      <w:pPr>
        <w:pStyle w:val="ListHeading"/>
        <w:numPr>
          <w:ilvl w:val="0"/>
          <w:numId w:val="0"/>
        </w:numPr>
        <w:spacing w:before="0" w:after="0"/>
        <w:ind w:left="1414" w:right="0" w:hanging="0"/>
        <w:rPr>
          <w:rFonts w:ascii="times" w:hAnsi="times"/>
          <w:sz w:val="20"/>
          <w:bdr w:val="single" w:sz="8" w:space="12" w:color="000000"/>
        </w:rPr>
      </w:pPr>
      <w:r>
        <w:rPr>
          <w:rFonts w:ascii="times" w:hAnsi="times"/>
          <w:sz w:val="20"/>
          <w:bdr w:val="single" w:sz="8" w:space="12" w:color="000000"/>
        </w:rPr>
        <w:t></w:t>
      </w:r>
    </w:p>
    <w:p>
      <w:pPr>
        <w:pStyle w:val="ListContents"/>
        <w:numPr>
          <w:ilvl w:val="0"/>
          <w:numId w:val="0"/>
        </w:numPr>
        <w:spacing w:before="0" w:after="283"/>
        <w:ind w:left="1981" w:right="0" w:hanging="0"/>
        <w:rPr>
          <w:rFonts w:ascii="times" w:hAnsi="times"/>
          <w:sz w:val="20"/>
          <w:bdr w:val="single" w:sz="8" w:space="12" w:color="000000"/>
        </w:rPr>
      </w:pPr>
      <w:r>
        <w:rPr>
          <w:rFonts w:ascii="times" w:hAnsi="times"/>
          <w:sz w:val="20"/>
          <w:bdr w:val="single" w:sz="8" w:space="12" w:color="000000"/>
        </w:rPr>
        <w:t xml:space="preserve">"NYSE" refers to the New York Stock Exchange; </w:t>
      </w:r>
    </w:p>
    <w:p>
      <w:pPr>
        <w:pStyle w:val="ListHeading"/>
        <w:numPr>
          <w:ilvl w:val="0"/>
          <w:numId w:val="0"/>
        </w:numPr>
        <w:spacing w:before="0" w:after="0"/>
        <w:ind w:left="1414" w:right="0" w:hanging="0"/>
        <w:rPr>
          <w:rFonts w:ascii="times" w:hAnsi="times"/>
          <w:sz w:val="20"/>
          <w:bdr w:val="single" w:sz="8" w:space="12" w:color="000000"/>
        </w:rPr>
      </w:pPr>
      <w:r>
        <w:rPr>
          <w:rFonts w:ascii="times" w:hAnsi="times"/>
          <w:sz w:val="20"/>
          <w:bdr w:val="single" w:sz="8" w:space="12" w:color="000000"/>
        </w:rPr>
        <w:t></w:t>
      </w:r>
    </w:p>
    <w:p>
      <w:pPr>
        <w:pStyle w:val="ListContents"/>
        <w:numPr>
          <w:ilvl w:val="0"/>
          <w:numId w:val="0"/>
        </w:numPr>
        <w:spacing w:before="0" w:after="283"/>
        <w:ind w:left="1981" w:right="0" w:hanging="0"/>
        <w:rPr>
          <w:rFonts w:ascii="times" w:hAnsi="times"/>
          <w:sz w:val="20"/>
          <w:bdr w:val="single" w:sz="8" w:space="12" w:color="000000"/>
        </w:rPr>
      </w:pPr>
      <w:r>
        <w:rPr>
          <w:rFonts w:ascii="times" w:hAnsi="times"/>
          <w:sz w:val="20"/>
          <w:bdr w:val="single" w:sz="8" w:space="12" w:color="000000"/>
        </w:rPr>
        <w:t xml:space="preserve">"SEC" refers to the U.S. Securities and Exchange Commission; </w:t>
      </w:r>
    </w:p>
    <w:p>
      <w:pPr>
        <w:pStyle w:val="ListHeading"/>
        <w:numPr>
          <w:ilvl w:val="0"/>
          <w:numId w:val="0"/>
        </w:numPr>
        <w:spacing w:before="0" w:after="0"/>
        <w:ind w:left="1414" w:right="0" w:hanging="0"/>
        <w:rPr>
          <w:rFonts w:ascii="times" w:hAnsi="times"/>
          <w:sz w:val="20"/>
          <w:bdr w:val="single" w:sz="8" w:space="12" w:color="000000"/>
        </w:rPr>
      </w:pPr>
      <w:r>
        <w:rPr>
          <w:rFonts w:ascii="times" w:hAnsi="times"/>
          <w:sz w:val="20"/>
          <w:bdr w:val="single" w:sz="8" w:space="12" w:color="000000"/>
        </w:rPr>
        <w:t></w:t>
      </w:r>
    </w:p>
    <w:p>
      <w:pPr>
        <w:pStyle w:val="ListContents"/>
        <w:numPr>
          <w:ilvl w:val="0"/>
          <w:numId w:val="0"/>
        </w:numPr>
        <w:spacing w:before="0" w:after="283"/>
        <w:ind w:left="1981" w:right="0" w:hanging="0"/>
        <w:rPr>
          <w:rFonts w:ascii="times" w:hAnsi="times"/>
          <w:sz w:val="20"/>
          <w:bdr w:val="single" w:sz="8" w:space="12" w:color="000000"/>
        </w:rPr>
      </w:pPr>
      <w:r>
        <w:rPr>
          <w:rFonts w:ascii="times" w:hAnsi="times"/>
          <w:sz w:val="20"/>
          <w:bdr w:val="single" w:sz="8" w:space="12" w:color="000000"/>
        </w:rPr>
        <w:t xml:space="preserve">"dollars" and "$" refer to, and amounts are presented in, U.S. dollars; </w:t>
      </w:r>
    </w:p>
    <w:p>
      <w:pPr>
        <w:pStyle w:val="ListHeading"/>
        <w:numPr>
          <w:ilvl w:val="0"/>
          <w:numId w:val="0"/>
        </w:numPr>
        <w:spacing w:before="0" w:after="0"/>
        <w:ind w:left="1414" w:right="0" w:hanging="0"/>
        <w:rPr>
          <w:rFonts w:ascii="times" w:hAnsi="times"/>
          <w:sz w:val="20"/>
          <w:bdr w:val="single" w:sz="8" w:space="12" w:color="000000"/>
        </w:rPr>
      </w:pPr>
      <w:r>
        <w:rPr>
          <w:rFonts w:ascii="times" w:hAnsi="times"/>
          <w:sz w:val="20"/>
          <w:bdr w:val="single" w:sz="8" w:space="12" w:color="000000"/>
        </w:rPr>
        <w:t></w:t>
      </w:r>
    </w:p>
    <w:p>
      <w:pPr>
        <w:pStyle w:val="ListContents"/>
        <w:numPr>
          <w:ilvl w:val="0"/>
          <w:numId w:val="0"/>
        </w:numPr>
        <w:spacing w:before="0" w:after="283"/>
        <w:ind w:left="1981" w:right="0" w:hanging="0"/>
        <w:rPr>
          <w:rFonts w:ascii="times" w:hAnsi="times"/>
          <w:sz w:val="20"/>
          <w:bdr w:val="single" w:sz="8" w:space="12" w:color="000000"/>
        </w:rPr>
      </w:pPr>
      <w:r>
        <w:rPr>
          <w:rFonts w:ascii="times" w:hAnsi="times"/>
          <w:sz w:val="20"/>
          <w:bdr w:val="single" w:sz="8" w:space="12" w:color="000000"/>
        </w:rPr>
        <w:t xml:space="preserve">"TFDE" refers to tri-fuel diesel electric; </w:t>
      </w:r>
    </w:p>
    <w:p>
      <w:pPr>
        <w:pStyle w:val="ListHeading"/>
        <w:numPr>
          <w:ilvl w:val="0"/>
          <w:numId w:val="0"/>
        </w:numPr>
        <w:spacing w:before="0" w:after="0"/>
        <w:ind w:left="1414" w:right="0" w:hanging="0"/>
        <w:rPr>
          <w:rFonts w:ascii="times" w:hAnsi="times"/>
          <w:sz w:val="20"/>
          <w:bdr w:val="single" w:sz="8" w:space="12" w:color="000000"/>
        </w:rPr>
      </w:pPr>
      <w:r>
        <w:rPr>
          <w:rFonts w:ascii="times" w:hAnsi="times"/>
          <w:sz w:val="20"/>
          <w:bdr w:val="single" w:sz="8" w:space="12" w:color="000000"/>
        </w:rPr>
        <w:t></w:t>
      </w:r>
    </w:p>
    <w:p>
      <w:pPr>
        <w:pStyle w:val="ListContents"/>
        <w:numPr>
          <w:ilvl w:val="0"/>
          <w:numId w:val="0"/>
        </w:numPr>
        <w:spacing w:before="0" w:after="283"/>
        <w:ind w:left="1981" w:right="0" w:hanging="0"/>
        <w:rPr>
          <w:rFonts w:ascii="times" w:hAnsi="times"/>
          <w:sz w:val="20"/>
          <w:bdr w:val="single" w:sz="8" w:space="12" w:color="000000"/>
        </w:rPr>
      </w:pPr>
      <w:r>
        <w:rPr>
          <w:rFonts w:ascii="times" w:hAnsi="times"/>
          <w:sz w:val="20"/>
          <w:bdr w:val="single" w:sz="8" w:space="12" w:color="000000"/>
        </w:rPr>
        <w:t xml:space="preserve">"X-DF" refers to low pressure dual fuel two-stroke engine propulsion manufactured by Winterthur Gas &amp; Diesel; </w:t>
      </w:r>
    </w:p>
    <w:p>
      <w:pPr>
        <w:pStyle w:val="ListHeading"/>
        <w:numPr>
          <w:ilvl w:val="0"/>
          <w:numId w:val="0"/>
        </w:numPr>
        <w:spacing w:before="0" w:after="0"/>
        <w:ind w:left="1414" w:right="0" w:hanging="0"/>
        <w:rPr>
          <w:rFonts w:ascii="times" w:hAnsi="times"/>
          <w:sz w:val="20"/>
          <w:bdr w:val="single" w:sz="8" w:space="12" w:color="000000"/>
        </w:rPr>
      </w:pPr>
      <w:r>
        <w:rPr>
          <w:rFonts w:ascii="times" w:hAnsi="times"/>
          <w:sz w:val="20"/>
          <w:bdr w:val="single" w:sz="8" w:space="12" w:color="000000"/>
        </w:rPr>
        <w:t></w:t>
      </w:r>
    </w:p>
    <w:p>
      <w:pPr>
        <w:pStyle w:val="ListContents"/>
        <w:numPr>
          <w:ilvl w:val="0"/>
          <w:numId w:val="0"/>
        </w:numPr>
        <w:spacing w:before="0" w:after="283"/>
        <w:ind w:left="1981" w:right="0" w:hanging="0"/>
        <w:rPr>
          <w:rFonts w:ascii="times" w:hAnsi="times"/>
          <w:sz w:val="20"/>
          <w:bdr w:val="single" w:sz="8" w:space="12" w:color="000000"/>
        </w:rPr>
      </w:pPr>
      <w:r>
        <w:rPr>
          <w:rFonts w:ascii="times" w:hAnsi="times"/>
          <w:sz w:val="20"/>
          <w:bdr w:val="single" w:sz="8" w:space="12" w:color="000000"/>
        </w:rPr>
        <w:t xml:space="preserve">"Steam" refers to steam turbine propulsion; and </w:t>
      </w:r>
    </w:p>
    <w:p>
      <w:pPr>
        <w:pStyle w:val="ListHeading"/>
        <w:numPr>
          <w:ilvl w:val="0"/>
          <w:numId w:val="0"/>
        </w:numPr>
        <w:spacing w:before="0" w:after="0"/>
        <w:ind w:left="1414" w:right="0" w:hanging="0"/>
        <w:rPr>
          <w:rFonts w:ascii="times" w:hAnsi="times"/>
          <w:sz w:val="20"/>
          <w:bdr w:val="single" w:sz="8" w:space="12" w:color="000000"/>
        </w:rPr>
      </w:pPr>
      <w:r>
        <w:rPr>
          <w:rFonts w:ascii="times" w:hAnsi="times"/>
          <w:sz w:val="20"/>
          <w:bdr w:val="single" w:sz="8" w:space="12" w:color="000000"/>
        </w:rPr>
        <w:t></w:t>
      </w:r>
    </w:p>
    <w:p>
      <w:pPr>
        <w:pStyle w:val="ListContents"/>
        <w:numPr>
          <w:ilvl w:val="0"/>
          <w:numId w:val="0"/>
        </w:numPr>
        <w:spacing w:before="0" w:after="283"/>
        <w:ind w:left="1981" w:right="0" w:hanging="0"/>
        <w:rPr>
          <w:rFonts w:ascii="times" w:hAnsi="times"/>
          <w:sz w:val="20"/>
          <w:bdr w:val="single" w:sz="8" w:space="12" w:color="000000"/>
        </w:rPr>
      </w:pPr>
      <w:r>
        <w:rPr>
          <w:rFonts w:ascii="times" w:hAnsi="times"/>
          <w:sz w:val="20"/>
          <w:bdr w:val="single" w:sz="8" w:space="12" w:color="000000"/>
        </w:rPr>
        <w:t xml:space="preserve">"cbm" refers to cubic meters. </w:t>
      </w:r>
    </w:p>
    <w:p>
      <w:pPr>
        <w:pStyle w:val="TextBody"/>
        <w:jc w:val="center"/>
        <w:rPr>
          <w:rFonts w:ascii="times" w:hAnsi="times"/>
          <w:sz w:val="20"/>
        </w:rPr>
      </w:pPr>
      <w:r>
        <w:rPr>
          <w:rFonts w:ascii="times" w:hAnsi="times"/>
          <w:sz w:val="20"/>
        </w:rPr>
        <w:t>S-2</w:t>
      </w:r>
    </w:p>
    <w:p>
      <w:pPr>
        <w:pStyle w:val="HorizontalLine"/>
        <w:pBdr>
          <w:bottom w:val="single" w:sz="20" w:space="0" w:color="808080"/>
        </w:pBdr>
        <w:rPr/>
      </w:pPr>
      <w:r>
        <w:rPr/>
      </w:r>
      <w:r>
        <w:br w:type="page"/>
      </w:r>
    </w:p>
    <w:p>
      <w:pPr>
        <w:pStyle w:val="TextBody"/>
        <w:rPr/>
      </w:pPr>
      <w:hyperlink w:anchor="bE43504A_main_toc">
        <w:bookmarkStart w:id="15" w:name="page_bk43504_1_3"/>
        <w:bookmarkEnd w:id="15"/>
        <w:r>
          <w:rPr>
            <w:rStyle w:val="InternetLink"/>
            <w:rFonts w:ascii="times" w:hAnsi="times"/>
            <w:sz w:val="20"/>
          </w:rPr>
          <w:t>Table of Contents</w:t>
        </w:r>
      </w:hyperlink>
    </w:p>
    <w:p>
      <w:pPr>
        <w:pStyle w:val="TextBody"/>
        <w:jc w:val="center"/>
        <w:rPr>
          <w:rFonts w:ascii="times" w:hAnsi="times"/>
          <w:bdr w:val="single" w:sz="8" w:space="12" w:color="000000"/>
        </w:rPr>
      </w:pPr>
      <w:bookmarkStart w:id="16" w:name="toc_bk43504_2"/>
      <w:bookmarkStart w:id="17" w:name="bk43504_gaslog_partners_lp"/>
      <w:bookmarkEnd w:id="16"/>
      <w:bookmarkEnd w:id="17"/>
      <w:r>
        <w:rPr>
          <w:rFonts w:ascii="times" w:hAnsi="times"/>
          <w:sz w:val="20"/>
          <w:bdr w:val="single" w:sz="8" w:space="12" w:color="000000"/>
        </w:rPr>
        <w:br/>
      </w:r>
      <w:r>
        <w:rPr>
          <w:rFonts w:ascii="times" w:hAnsi="times"/>
          <w:b/>
          <w:sz w:val="20"/>
          <w:bdr w:val="single" w:sz="8" w:space="12" w:color="000000"/>
        </w:rPr>
        <w:t xml:space="preserve">GasLog Partners LP </w:t>
      </w:r>
    </w:p>
    <w:p>
      <w:pPr>
        <w:pStyle w:val="TextBody"/>
        <w:ind w:left="200" w:right="0" w:hanging="200"/>
        <w:rPr>
          <w:rFonts w:ascii="times" w:hAnsi="times"/>
          <w:b/>
          <w:sz w:val="20"/>
          <w:bdr w:val="single" w:sz="8" w:space="12" w:color="000000"/>
        </w:rPr>
      </w:pPr>
      <w:bookmarkStart w:id="18" w:name="toc_bk43504_3"/>
      <w:bookmarkStart w:id="19" w:name="bk43504_overview"/>
      <w:bookmarkEnd w:id="18"/>
      <w:bookmarkEnd w:id="19"/>
      <w:r>
        <w:rPr>
          <w:rFonts w:ascii="times" w:hAnsi="times"/>
          <w:b/>
          <w:sz w:val="20"/>
          <w:bdr w:val="single" w:sz="8" w:space="12" w:color="000000"/>
        </w:rPr>
        <w:t xml:space="preserve">Overview </w:t>
      </w:r>
    </w:p>
    <w:p>
      <w:pPr>
        <w:pStyle w:val="TextBody"/>
        <w:rPr>
          <w:rFonts w:ascii="times" w:hAnsi="times"/>
          <w:sz w:val="20"/>
          <w:bdr w:val="single" w:sz="8" w:space="12" w:color="000000"/>
        </w:rPr>
      </w:pPr>
      <w:r>
        <w:rPr>
          <w:rFonts w:ascii="times" w:hAnsi="times"/>
          <w:sz w:val="20"/>
          <w:bdr w:val="single" w:sz="8" w:space="12" w:color="000000"/>
        </w:rPr>
        <w:t xml:space="preserve">We are a growth-oriented master limited partnership focused on owning, operating and acquiring LNG carriers engaged in LNG transportation with seven of our ships under multi-year charters, which we define as charters of five full years or more. Our fleet consists of 15 LNG carriers, including 10 vessels with TFDE propulsion technology and five Steam vessels, with an average carrying capacity of approximately 158,000 cbm. Our cost of equity capital has remained elevated for a prolonged period and has prohibited us from raising, on acceptable terms, the capital required to continue growing our fleet, with the last vessel acquisition completed in April 2019. Since December 31, 2019, a number of increasingly strong negative indicators in the LNG shipping market, exacerbated by the COVID-19 pandemic, caused us to record a non-cash impairment loss against our five Steam vessels in the year ended December 31, 2019 and four of our five Steam vessels in the year ended December 31, 2020. In addition, the Partnership reduced its quarterly common unit distribution to $0.125 in the first quarter of 2020 from $0.561 per unit for the fourth quarter 2019, followed by a further reduction to $0.01 per common unit beginning with the third quarter of 2020. We are now focusing our capital allocation on debt repayment, prioritizing balance sheet strength for 2021, in order to lower our cash break-evens, reduce our cost of capital and further enhance the Partnership's competitive positioning. </w:t>
      </w:r>
    </w:p>
    <w:p>
      <w:pPr>
        <w:pStyle w:val="TextBody"/>
        <w:rPr>
          <w:rFonts w:ascii="times" w:hAnsi="times"/>
          <w:sz w:val="20"/>
          <w:bdr w:val="single" w:sz="8" w:space="12" w:color="000000"/>
        </w:rPr>
      </w:pPr>
      <w:r>
        <w:rPr>
          <w:rFonts w:ascii="times" w:hAnsi="times"/>
          <w:sz w:val="20"/>
          <w:bdr w:val="single" w:sz="8" w:space="12" w:color="000000"/>
        </w:rPr>
        <w:t>On November 10, 2020, we announced our intention to engage with an independent advisor to assess our strategic alternatives. After a comprehensive analysis of the Partnership's corporate structure, assets, financial position, competitive environment and current and expected commercial market, we have concluded that:</w:t>
      </w:r>
    </w:p>
    <w:p>
      <w:pPr>
        <w:pStyle w:val="ListHeading"/>
        <w:numPr>
          <w:ilvl w:val="0"/>
          <w:numId w:val="0"/>
        </w:numPr>
        <w:spacing w:before="0" w:after="0"/>
        <w:ind w:left="707" w:right="0" w:hanging="0"/>
        <w:rPr>
          <w:rFonts w:ascii="times" w:hAnsi="times"/>
          <w:sz w:val="20"/>
          <w:bdr w:val="single" w:sz="8" w:space="12" w:color="000000"/>
        </w:rPr>
      </w:pPr>
      <w:r>
        <w:rPr>
          <w:rFonts w:ascii="times" w:hAnsi="times"/>
          <w:sz w:val="20"/>
          <w:bdr w:val="single" w:sz="8" w:space="12" w:color="000000"/>
        </w:rPr>
        <w:t></w:t>
      </w:r>
    </w:p>
    <w:p>
      <w:pPr>
        <w:pStyle w:val="ListContents"/>
        <w:numPr>
          <w:ilvl w:val="0"/>
          <w:numId w:val="0"/>
        </w:numPr>
        <w:spacing w:before="0" w:after="283"/>
        <w:ind w:left="1274" w:right="0" w:hanging="0"/>
        <w:rPr>
          <w:rFonts w:ascii="times" w:hAnsi="times"/>
          <w:sz w:val="20"/>
          <w:bdr w:val="single" w:sz="8" w:space="12" w:color="000000"/>
        </w:rPr>
      </w:pPr>
      <w:r>
        <w:rPr>
          <w:rFonts w:ascii="times" w:hAnsi="times"/>
          <w:sz w:val="20"/>
          <w:bdr w:val="single" w:sz="8" w:space="12" w:color="000000"/>
        </w:rPr>
        <w:t xml:space="preserve">The Partnership will maintain its current corporate structure with GasLog as its general partner; </w:t>
      </w:r>
    </w:p>
    <w:p>
      <w:pPr>
        <w:pStyle w:val="ListHeading"/>
        <w:numPr>
          <w:ilvl w:val="0"/>
          <w:numId w:val="0"/>
        </w:numPr>
        <w:spacing w:before="0" w:after="0"/>
        <w:ind w:left="707" w:right="0" w:hanging="0"/>
        <w:rPr>
          <w:rFonts w:ascii="times" w:hAnsi="times"/>
          <w:sz w:val="20"/>
          <w:bdr w:val="single" w:sz="8" w:space="12" w:color="000000"/>
        </w:rPr>
      </w:pPr>
      <w:r>
        <w:rPr>
          <w:rFonts w:ascii="times" w:hAnsi="times"/>
          <w:sz w:val="20"/>
          <w:bdr w:val="single" w:sz="8" w:space="12" w:color="000000"/>
        </w:rPr>
        <w:t></w:t>
      </w:r>
    </w:p>
    <w:p>
      <w:pPr>
        <w:pStyle w:val="ListContents"/>
        <w:numPr>
          <w:ilvl w:val="0"/>
          <w:numId w:val="0"/>
        </w:numPr>
        <w:spacing w:before="0" w:after="283"/>
        <w:ind w:left="1274" w:right="0" w:hanging="0"/>
        <w:rPr>
          <w:rFonts w:ascii="times" w:hAnsi="times"/>
          <w:sz w:val="20"/>
          <w:bdr w:val="single" w:sz="8" w:space="12" w:color="000000"/>
        </w:rPr>
      </w:pPr>
      <w:r>
        <w:rPr>
          <w:rFonts w:ascii="times" w:hAnsi="times"/>
          <w:sz w:val="20"/>
          <w:bdr w:val="single" w:sz="8" w:space="12" w:color="000000"/>
        </w:rPr>
        <w:t xml:space="preserve">The Partnership will continue to pursue an independent commercial and operational strategy of owning, operating and acquiring LNG carriers; and </w:t>
      </w:r>
    </w:p>
    <w:p>
      <w:pPr>
        <w:pStyle w:val="ListHeading"/>
        <w:numPr>
          <w:ilvl w:val="0"/>
          <w:numId w:val="0"/>
        </w:numPr>
        <w:spacing w:before="0" w:after="0"/>
        <w:ind w:left="707" w:right="0" w:hanging="0"/>
        <w:rPr>
          <w:rFonts w:ascii="times" w:hAnsi="times"/>
          <w:sz w:val="20"/>
          <w:bdr w:val="single" w:sz="8" w:space="12" w:color="000000"/>
        </w:rPr>
      </w:pPr>
      <w:r>
        <w:rPr>
          <w:rFonts w:ascii="times" w:hAnsi="times"/>
          <w:sz w:val="20"/>
          <w:bdr w:val="single" w:sz="8" w:space="12" w:color="000000"/>
        </w:rPr>
        <w:t></w:t>
      </w:r>
    </w:p>
    <w:p>
      <w:pPr>
        <w:pStyle w:val="ListContents"/>
        <w:numPr>
          <w:ilvl w:val="0"/>
          <w:numId w:val="0"/>
        </w:numPr>
        <w:spacing w:before="0" w:after="283"/>
        <w:ind w:left="1274" w:right="0" w:hanging="0"/>
        <w:rPr>
          <w:rFonts w:ascii="times" w:hAnsi="times"/>
          <w:sz w:val="20"/>
          <w:bdr w:val="single" w:sz="8" w:space="12" w:color="000000"/>
        </w:rPr>
      </w:pPr>
      <w:r>
        <w:rPr>
          <w:rFonts w:ascii="times" w:hAnsi="times"/>
          <w:sz w:val="20"/>
          <w:bdr w:val="single" w:sz="8" w:space="12" w:color="000000"/>
        </w:rPr>
        <w:t xml:space="preserve">Strategy remains an ongoing focus of our board of directors and we are open to entertaining all value-enhancing options for the business as we continue to reduce debt and enhance liquidity. </w:t>
      </w:r>
    </w:p>
    <w:p>
      <w:pPr>
        <w:pStyle w:val="TextBody"/>
        <w:rPr>
          <w:rFonts w:ascii="times" w:hAnsi="times"/>
          <w:sz w:val="20"/>
          <w:bdr w:val="single" w:sz="8" w:space="12" w:color="000000"/>
        </w:rPr>
      </w:pPr>
      <w:r>
        <w:rPr>
          <w:rFonts w:ascii="times" w:hAnsi="times"/>
          <w:sz w:val="20"/>
          <w:bdr w:val="single" w:sz="8" w:space="12" w:color="000000"/>
        </w:rPr>
        <w:t xml:space="preserve">Twelve of our vessels have fixed charter terms, with an initial duration of more than six months, expiring between June 2021 and June 2026. Seven of our vessels currently operate under long-term time charters (defined as charters with initial duration of more than five years) with eight vessels trading in the short-term spot market (defined as vessels under contracts with initial duration of less than five years). Seven of our vessels are chartered to subsidiaries of Shell. </w:t>
      </w:r>
    </w:p>
    <w:p>
      <w:pPr>
        <w:pStyle w:val="TextBody"/>
        <w:rPr>
          <w:rFonts w:ascii="times" w:hAnsi="times"/>
          <w:bdr w:val="single" w:sz="8" w:space="12" w:color="000000"/>
        </w:rPr>
      </w:pPr>
      <w:r>
        <w:rPr>
          <w:rFonts w:ascii="times" w:hAnsi="times"/>
          <w:sz w:val="20"/>
          <w:bdr w:val="single" w:sz="8" w:space="12" w:color="000000"/>
        </w:rPr>
        <w:t xml:space="preserve">Our fleet was contributed to us by, or acquired from, GasLog, which controls us through its ownership of our general partner. As of March 31, 2021, we also had options and other certain acquisition rights under which we may acquire additional LNG carriers from GasLog. Under the omnibus agreement entered into with GasLog in connection with our IPO (defined below), we have the option to purchase from GasLog the </w:t>
      </w:r>
      <w:r>
        <w:rPr>
          <w:rFonts w:ascii="times" w:hAnsi="times"/>
          <w:i/>
          <w:sz w:val="20"/>
          <w:bdr w:val="single" w:sz="8" w:space="12" w:color="000000"/>
        </w:rPr>
        <w:t>GasLog Singapore</w:t>
      </w:r>
      <w:r>
        <w:rPr>
          <w:rFonts w:ascii="times" w:hAnsi="times"/>
          <w:sz w:val="20"/>
          <w:bdr w:val="single" w:sz="8" w:space="12" w:color="000000"/>
        </w:rPr>
        <w:t xml:space="preserve">, the </w:t>
      </w:r>
      <w:r>
        <w:rPr>
          <w:rFonts w:ascii="times" w:hAnsi="times"/>
          <w:i/>
          <w:sz w:val="20"/>
          <w:bdr w:val="single" w:sz="8" w:space="12" w:color="000000"/>
        </w:rPr>
        <w:t>GasLog Warsaw</w:t>
      </w:r>
      <w:r>
        <w:rPr>
          <w:rFonts w:ascii="times" w:hAnsi="times"/>
          <w:sz w:val="20"/>
          <w:bdr w:val="single" w:sz="8" w:space="12" w:color="000000"/>
        </w:rPr>
        <w:t xml:space="preserve">, the </w:t>
      </w:r>
      <w:r>
        <w:rPr>
          <w:rFonts w:ascii="times" w:hAnsi="times"/>
          <w:i/>
          <w:sz w:val="20"/>
          <w:bdr w:val="single" w:sz="8" w:space="12" w:color="000000"/>
        </w:rPr>
        <w:t>GasLog Windsor</w:t>
      </w:r>
      <w:r>
        <w:rPr>
          <w:rFonts w:ascii="times" w:hAnsi="times"/>
          <w:sz w:val="20"/>
          <w:bdr w:val="single" w:sz="8" w:space="12" w:color="000000"/>
        </w:rPr>
        <w:t xml:space="preserve">, the </w:t>
      </w:r>
      <w:r>
        <w:rPr>
          <w:rFonts w:ascii="times" w:hAnsi="times"/>
          <w:i/>
          <w:sz w:val="20"/>
          <w:bdr w:val="single" w:sz="8" w:space="12" w:color="000000"/>
        </w:rPr>
        <w:t>GasLog Wales,</w:t>
      </w:r>
      <w:r>
        <w:rPr>
          <w:rFonts w:ascii="times" w:hAnsi="times"/>
          <w:bdr w:val="single" w:sz="8" w:space="12" w:color="000000"/>
        </w:rPr>
        <w:t xml:space="preserve"> </w:t>
      </w:r>
      <w:r>
        <w:rPr>
          <w:rFonts w:ascii="times" w:hAnsi="times"/>
          <w:sz w:val="20"/>
          <w:bdr w:val="single" w:sz="8" w:space="12" w:color="000000"/>
        </w:rPr>
        <w:t xml:space="preserve">the </w:t>
      </w:r>
      <w:r>
        <w:rPr>
          <w:rFonts w:ascii="times" w:hAnsi="times"/>
          <w:i/>
          <w:sz w:val="20"/>
          <w:bdr w:val="single" w:sz="8" w:space="12" w:color="000000"/>
        </w:rPr>
        <w:t>GasLog Westminster</w:t>
      </w:r>
      <w:r>
        <w:rPr>
          <w:rFonts w:ascii="times" w:hAnsi="times"/>
          <w:sz w:val="20"/>
          <w:bdr w:val="single" w:sz="8" w:space="12" w:color="000000"/>
        </w:rPr>
        <w:t xml:space="preserve">, the </w:t>
      </w:r>
      <w:r>
        <w:rPr>
          <w:rFonts w:ascii="times" w:hAnsi="times"/>
          <w:i/>
          <w:sz w:val="20"/>
          <w:bdr w:val="single" w:sz="8" w:space="12" w:color="000000"/>
        </w:rPr>
        <w:t>GasLog Georgetown</w:t>
      </w:r>
      <w:r>
        <w:rPr>
          <w:rFonts w:ascii="times" w:hAnsi="times"/>
          <w:bdr w:val="single" w:sz="8" w:space="12" w:color="000000"/>
        </w:rPr>
        <w:t xml:space="preserve"> </w:t>
      </w:r>
      <w:r>
        <w:rPr>
          <w:rFonts w:ascii="times" w:hAnsi="times"/>
          <w:sz w:val="20"/>
          <w:bdr w:val="single" w:sz="8" w:space="12" w:color="000000"/>
        </w:rPr>
        <w:t xml:space="preserve">and the </w:t>
      </w:r>
      <w:r>
        <w:rPr>
          <w:rFonts w:ascii="times" w:hAnsi="times"/>
          <w:i/>
          <w:sz w:val="20"/>
          <w:bdr w:val="single" w:sz="8" w:space="12" w:color="000000"/>
        </w:rPr>
        <w:t>GasLog Galveston</w:t>
      </w:r>
      <w:r>
        <w:rPr>
          <w:rFonts w:ascii="times" w:hAnsi="times"/>
          <w:bdr w:val="single" w:sz="8" w:space="12" w:color="000000"/>
        </w:rPr>
        <w:t xml:space="preserve"> </w:t>
      </w:r>
      <w:r>
        <w:rPr>
          <w:rFonts w:ascii="times" w:hAnsi="times"/>
          <w:sz w:val="20"/>
          <w:bdr w:val="single" w:sz="8" w:space="12" w:color="000000"/>
        </w:rPr>
        <w:t xml:space="preserve">within 30 days following receipt of notice from GasLog, in each case at fair market value as determined pursuant to the omnibus agreement. In addition, according to the terms of the omnibus agreement, GasLog will be required to offer us the opportunity to purchase each of Hull Nos. 2311 and 2312 within 30 days of the commencement of their respective charters. </w:t>
      </w:r>
    </w:p>
    <w:p>
      <w:pPr>
        <w:pStyle w:val="TextBody"/>
        <w:jc w:val="center"/>
        <w:rPr>
          <w:rFonts w:ascii="times" w:hAnsi="times"/>
          <w:sz w:val="20"/>
        </w:rPr>
      </w:pPr>
      <w:r>
        <w:rPr>
          <w:rFonts w:ascii="times" w:hAnsi="times"/>
          <w:sz w:val="20"/>
        </w:rPr>
        <w:t>S-3</w:t>
      </w:r>
    </w:p>
    <w:p>
      <w:pPr>
        <w:pStyle w:val="HorizontalLine"/>
        <w:pBdr>
          <w:bottom w:val="single" w:sz="20" w:space="0" w:color="808080"/>
        </w:pBdr>
        <w:rPr/>
      </w:pPr>
      <w:r>
        <w:rPr/>
      </w:r>
      <w:r>
        <w:br w:type="page"/>
      </w:r>
    </w:p>
    <w:p>
      <w:pPr>
        <w:pStyle w:val="TextBody"/>
        <w:rPr/>
      </w:pPr>
      <w:hyperlink w:anchor="bE43504A_main_toc">
        <w:bookmarkStart w:id="20" w:name="page_bk43504_1_4"/>
        <w:bookmarkEnd w:id="20"/>
        <w:r>
          <w:rPr>
            <w:rStyle w:val="InternetLink"/>
            <w:rFonts w:ascii="times" w:hAnsi="times"/>
            <w:sz w:val="20"/>
          </w:rPr>
          <w:t>Table of Contents</w:t>
        </w:r>
      </w:hyperlink>
    </w:p>
    <w:p>
      <w:pPr>
        <w:pStyle w:val="TextBody"/>
        <w:rPr>
          <w:rFonts w:ascii="times" w:hAnsi="times"/>
          <w:sz w:val="20"/>
          <w:bdr w:val="single" w:sz="8" w:space="12" w:color="000000"/>
        </w:rPr>
      </w:pPr>
      <w:r>
        <w:rPr>
          <w:rFonts w:ascii="times" w:hAnsi="times"/>
          <w:sz w:val="20"/>
          <w:bdr w:val="single" w:sz="8" w:space="12" w:color="000000"/>
        </w:rPr>
        <w:t xml:space="preserve">Pursuant to the omnibus agreement, we also have a right of first offer from GasLog to purchase any other LNG carriers with cargo capacities greater than 75,000 cbm engaged in ongoing LNG transportation under charters of five full years or more that GasLog owns or acquires (the "Five-Year Vessels") either at their acquisition cost plus certain break up costs (in the case of a newly acquired Five-Year Vessel) or at their fair market value (in the case of a previously owned vessel that becomes a Five-Year Vessel). Generally, we must exercise this right of first offer within 30 days following receipt of notice from GasLog that the vessel has been acquired or has become a Five-Year Vessel. </w:t>
      </w:r>
    </w:p>
    <w:p>
      <w:pPr>
        <w:pStyle w:val="TextBody"/>
        <w:rPr>
          <w:rFonts w:ascii="times" w:hAnsi="times"/>
          <w:sz w:val="20"/>
          <w:bdr w:val="single" w:sz="8" w:space="12" w:color="000000"/>
        </w:rPr>
      </w:pPr>
      <w:r>
        <w:rPr>
          <w:rFonts w:ascii="times" w:hAnsi="times"/>
          <w:sz w:val="20"/>
          <w:bdr w:val="single" w:sz="8" w:space="12" w:color="000000"/>
        </w:rPr>
        <w:t xml:space="preserve">The options bring the current pipeline of vessels that we have, or may have, the right to acquire from GasLog to nine LNG carriers. We believe that such options and acquisition rights provide us with significant built-in growth opportunities. We may also acquire vessels from shipyards or other owners. </w:t>
      </w:r>
    </w:p>
    <w:p>
      <w:pPr>
        <w:pStyle w:val="TextBody"/>
        <w:rPr>
          <w:rFonts w:ascii="times" w:hAnsi="times"/>
          <w:sz w:val="20"/>
          <w:bdr w:val="single" w:sz="8" w:space="12" w:color="000000"/>
        </w:rPr>
      </w:pPr>
      <w:r>
        <w:rPr>
          <w:rFonts w:ascii="times" w:hAnsi="times"/>
          <w:sz w:val="20"/>
          <w:bdr w:val="single" w:sz="8" w:space="12" w:color="000000"/>
        </w:rPr>
        <w:t xml:space="preserve">We intend to grow our fleet through further acquisitions of LNG carriers from GasLog and third parties. However, we cannot assure you that we will make any particular acquisition or that as a consequence we will successfully grow our per unit distributions. Among other things, our ability to acquire additional LNG carriers will be dependent upon our ability to raise additional financing. Additionally, as vessels currently operating under long-term time charters (defined as charters with initial duration of more than five years) redeliver, the number of vessels available in the short-term or spot charter market is likely to continue to expand, which may result in reduced opportunities to secure long-term time charters for our vessels. </w:t>
      </w:r>
    </w:p>
    <w:p>
      <w:pPr>
        <w:pStyle w:val="TextBody"/>
        <w:rPr>
          <w:rFonts w:ascii="times" w:hAnsi="times"/>
          <w:sz w:val="20"/>
          <w:bdr w:val="single" w:sz="8" w:space="12" w:color="000000"/>
        </w:rPr>
      </w:pPr>
      <w:r>
        <w:rPr>
          <w:rFonts w:ascii="times" w:hAnsi="times"/>
          <w:sz w:val="20"/>
          <w:bdr w:val="single" w:sz="8" w:space="12" w:color="000000"/>
        </w:rPr>
        <w:t xml:space="preserve">We are not obligated to purchase any of the vessels from GasLog described above and, accordingly, we may not complete the purchase of any such vessels. Furthermore, our ability to purchase any additional vessels, including under the omnibus agreement from GasLog, is dependent on our ability to obtain financing to fund all or a portion of the acquisition costs of these vessels. As of March 31, 2021, we have not secured any financing for the acquisition of additional vessels. Our ability to acquire additional vessels from GasLog is also subject to obtaining any applicable consents of governmental authorities and other non-affiliated third parties, including the relevant lenders and charterers. Under the omnibus agreement, GasLog is obligated to use reasonable efforts to obtain any such consents with regards to transactions covered by that agreement. We cannot assure you that in any particular case the necessary consent will be obtained. </w:t>
      </w:r>
    </w:p>
    <w:p>
      <w:pPr>
        <w:pStyle w:val="TextBody"/>
        <w:rPr>
          <w:rFonts w:ascii="times" w:hAnsi="times"/>
          <w:sz w:val="20"/>
          <w:bdr w:val="single" w:sz="8" w:space="12" w:color="000000"/>
        </w:rPr>
      </w:pPr>
      <w:r>
        <w:rPr>
          <w:rFonts w:ascii="times" w:hAnsi="times"/>
          <w:sz w:val="20"/>
          <w:bdr w:val="single" w:sz="8" w:space="12" w:color="000000"/>
        </w:rPr>
        <w:t xml:space="preserve">On May 12, 2014, we completed an initial public offering of our Common Units (the "IPO"). We completed follow-on public offerings of our Common Units on September 29, 2014, June 26, 2015, August 5, 2016, January 27, 2017 and November 3, 2017. Our Common Units are listed on the New York Stock Exchange (the "NYSE") under the ticker symbol "GLOP". If any securities are to be listed or quoted on any other securities exchange or quotation system, the applicable prospectus supplement will so state. </w:t>
      </w:r>
    </w:p>
    <w:p>
      <w:pPr>
        <w:pStyle w:val="TextBody"/>
        <w:rPr>
          <w:rFonts w:ascii="times" w:hAnsi="times"/>
          <w:sz w:val="20"/>
          <w:bdr w:val="single" w:sz="8" w:space="12" w:color="000000"/>
        </w:rPr>
      </w:pPr>
      <w:r>
        <w:rPr>
          <w:rFonts w:ascii="times" w:hAnsi="times"/>
          <w:sz w:val="20"/>
          <w:bdr w:val="single" w:sz="8" w:space="12" w:color="000000"/>
        </w:rPr>
        <w:t xml:space="preserve">On May 15, 2017, we completed a public offering of our Series A Preference Units, liquidation preference $25.00 per unit. The Series A Preference Units are listed on the NYSE under the ticker symbol "GLOP PR". </w:t>
      </w:r>
    </w:p>
    <w:p>
      <w:pPr>
        <w:pStyle w:val="TextBody"/>
        <w:rPr>
          <w:rFonts w:ascii="times" w:hAnsi="times"/>
          <w:sz w:val="20"/>
          <w:bdr w:val="single" w:sz="8" w:space="12" w:color="000000"/>
        </w:rPr>
      </w:pPr>
      <w:r>
        <w:rPr>
          <w:rFonts w:ascii="times" w:hAnsi="times"/>
          <w:sz w:val="20"/>
          <w:bdr w:val="single" w:sz="8" w:space="12" w:color="000000"/>
        </w:rPr>
        <w:t xml:space="preserve">On May 16, 2017, we commenced an "at-the-market" offering program (the "ATM Programme") under which we may offer and sell Common Units having an aggregate offering price of up to $100 million from time to time through our sales agents. </w:t>
      </w:r>
    </w:p>
    <w:p>
      <w:pPr>
        <w:pStyle w:val="TextBody"/>
        <w:rPr>
          <w:rFonts w:ascii="times" w:hAnsi="times"/>
          <w:sz w:val="20"/>
          <w:bdr w:val="single" w:sz="8" w:space="12" w:color="000000"/>
        </w:rPr>
      </w:pPr>
      <w:r>
        <w:rPr>
          <w:rFonts w:ascii="times" w:hAnsi="times"/>
          <w:sz w:val="20"/>
          <w:bdr w:val="single" w:sz="8" w:space="12" w:color="000000"/>
        </w:rPr>
        <w:t xml:space="preserve">On November 3, 2017, we increased the size of the ATM Programme up to an aggregate offering price of up to $144.0 million. </w:t>
      </w:r>
    </w:p>
    <w:p>
      <w:pPr>
        <w:pStyle w:val="TextBody"/>
        <w:jc w:val="center"/>
        <w:rPr>
          <w:rFonts w:ascii="times" w:hAnsi="times"/>
          <w:sz w:val="20"/>
        </w:rPr>
      </w:pPr>
      <w:r>
        <w:rPr>
          <w:rFonts w:ascii="times" w:hAnsi="times"/>
          <w:sz w:val="20"/>
        </w:rPr>
        <w:t>S-4</w:t>
      </w:r>
    </w:p>
    <w:p>
      <w:pPr>
        <w:pStyle w:val="HorizontalLine"/>
        <w:pBdr>
          <w:bottom w:val="single" w:sz="20" w:space="0" w:color="808080"/>
        </w:pBdr>
        <w:rPr/>
      </w:pPr>
      <w:r>
        <w:rPr/>
      </w:r>
      <w:r>
        <w:br w:type="page"/>
      </w:r>
    </w:p>
    <w:p>
      <w:pPr>
        <w:pStyle w:val="TextBody"/>
        <w:rPr/>
      </w:pPr>
      <w:hyperlink w:anchor="bE43504A_main_toc">
        <w:bookmarkStart w:id="21" w:name="page_bk43504_1_5"/>
        <w:bookmarkEnd w:id="21"/>
        <w:r>
          <w:rPr>
            <w:rStyle w:val="InternetLink"/>
            <w:rFonts w:ascii="times" w:hAnsi="times"/>
            <w:sz w:val="20"/>
          </w:rPr>
          <w:t>Table of Contents</w:t>
        </w:r>
      </w:hyperlink>
    </w:p>
    <w:p>
      <w:pPr>
        <w:pStyle w:val="TextBody"/>
        <w:rPr>
          <w:rFonts w:ascii="times" w:hAnsi="times"/>
          <w:sz w:val="20"/>
          <w:bdr w:val="single" w:sz="8" w:space="12" w:color="000000"/>
        </w:rPr>
      </w:pPr>
      <w:r>
        <w:rPr>
          <w:rFonts w:ascii="times" w:hAnsi="times"/>
          <w:sz w:val="20"/>
          <w:bdr w:val="single" w:sz="8" w:space="12" w:color="000000"/>
        </w:rPr>
        <w:t xml:space="preserve">On January 17, 2018, we completed a public offering of our Series B Preference Units, liquidation preference $25.00 per unit. The Series B Preference Units are listed on the NYSE under the ticker symbol "GLOP PR B". </w:t>
      </w:r>
    </w:p>
    <w:p>
      <w:pPr>
        <w:pStyle w:val="TextBody"/>
        <w:rPr>
          <w:rFonts w:ascii="times" w:hAnsi="times"/>
          <w:sz w:val="20"/>
          <w:bdr w:val="single" w:sz="8" w:space="12" w:color="000000"/>
        </w:rPr>
      </w:pPr>
      <w:r>
        <w:rPr>
          <w:rFonts w:ascii="times" w:hAnsi="times"/>
          <w:sz w:val="20"/>
          <w:bdr w:val="single" w:sz="8" w:space="12" w:color="000000"/>
        </w:rPr>
        <w:t xml:space="preserve">On November 15, 2018, we completed a public offering of our Series C Preference Units, liquidation preference $25.00 per unit. The Series C Preference Units are listed on the NYSE under the ticker symbol "GLOP PR C". </w:t>
      </w:r>
    </w:p>
    <w:p>
      <w:pPr>
        <w:pStyle w:val="TextBody"/>
        <w:rPr>
          <w:rFonts w:ascii="times" w:hAnsi="times"/>
          <w:sz w:val="20"/>
          <w:bdr w:val="single" w:sz="8" w:space="12" w:color="000000"/>
        </w:rPr>
      </w:pPr>
      <w:r>
        <w:rPr>
          <w:rFonts w:ascii="times" w:hAnsi="times"/>
          <w:sz w:val="20"/>
          <w:bdr w:val="single" w:sz="8" w:space="12" w:color="000000"/>
        </w:rPr>
        <w:t xml:space="preserve">On February 26, 2019, we further increased the size of the ATM Programme up to an aggregate offering price of up to $250.0 million. No issuances of common units were made under the ATM Programme in 2020. Since the commencement of the program through December 31, 2020, we have issued and received payment for a total of 5,291,304 common units, with cumulative gross proceeds of $123.4 million at a weighted average price of $23.33 per unit and net proceeds of $121.2 million. In connection with the issuance of common units under the ATM Programme during this period, the Partnership also issued 107,987 general partner units to its general partner. The net proceeds from the issuance of the general partner units were $2.5 million. </w:t>
      </w:r>
    </w:p>
    <w:p>
      <w:pPr>
        <w:pStyle w:val="TextBody"/>
        <w:rPr>
          <w:rFonts w:ascii="times" w:hAnsi="times"/>
          <w:sz w:val="20"/>
          <w:bdr w:val="single" w:sz="8" w:space="12" w:color="000000"/>
        </w:rPr>
      </w:pPr>
      <w:r>
        <w:rPr>
          <w:rFonts w:ascii="times" w:hAnsi="times"/>
          <w:sz w:val="20"/>
          <w:bdr w:val="single" w:sz="8" w:space="12" w:color="000000"/>
        </w:rPr>
        <w:t xml:space="preserve">On June 24, 2019, GasLog and GasLog Partners entered into an agreement, effective as of June 30, 2019, to modify the Partnership Agreement, thereby eliminating GasLog's incentive distribution rights ("IDRs"). In exchange for the IDRs, GasLog received 2,532,911 Common Units and 2,490,000 Class B units (of which 415,000 were Class B-1 units, 415,000 are Class B-2 units, 415,000 are Class B-3 units, 415,000 are Class B-4 units, 415,000 are Class B-5 units and 415,000 are Class B-6 units), issued on June 30, 2019. The Class B units have all of the rights and obligations attached to the Common Units, except for voting rights and participation in earnings and distributions until such time as GasLog exercises its right to convert the Class B units to Common Units. The Class B units will become eligible for conversion on a one-for-one basis into Common Units at GasLog's option on July 1, 2021, July 1, 2022, July 1, 2023, July 1, 2024 and July 1, 2025 for the Class B-2 units, Class B-3 units, Class B-4 units, Class B-5 units and the Class B-6 units, respectively. The Class B-1 units were converted into Common Units on July 1, 2020. </w:t>
      </w:r>
    </w:p>
    <w:p>
      <w:pPr>
        <w:pStyle w:val="TextBody"/>
        <w:jc w:val="center"/>
        <w:rPr>
          <w:rFonts w:ascii="times" w:hAnsi="times"/>
          <w:sz w:val="20"/>
        </w:rPr>
      </w:pPr>
      <w:r>
        <w:rPr>
          <w:rFonts w:ascii="times" w:hAnsi="times"/>
          <w:sz w:val="20"/>
        </w:rPr>
        <w:t>S-5</w:t>
      </w:r>
    </w:p>
    <w:p>
      <w:pPr>
        <w:pStyle w:val="HorizontalLine"/>
        <w:pBdr>
          <w:bottom w:val="single" w:sz="20" w:space="0" w:color="808080"/>
        </w:pBdr>
        <w:rPr/>
      </w:pPr>
      <w:r>
        <w:rPr/>
      </w:r>
      <w:r>
        <w:br w:type="page"/>
      </w:r>
    </w:p>
    <w:p>
      <w:pPr>
        <w:pStyle w:val="TextBody"/>
        <w:rPr/>
      </w:pPr>
      <w:hyperlink w:anchor="bE43504A_main_toc">
        <w:bookmarkStart w:id="22" w:name="page_bk43504_1_6"/>
        <w:bookmarkEnd w:id="22"/>
        <w:r>
          <w:rPr>
            <w:rStyle w:val="InternetLink"/>
            <w:rFonts w:ascii="times" w:hAnsi="times"/>
            <w:sz w:val="20"/>
          </w:rPr>
          <w:t>Table of Contents</w:t>
        </w:r>
      </w:hyperlink>
    </w:p>
    <w:p>
      <w:pPr>
        <w:pStyle w:val="TextBody"/>
        <w:ind w:left="200" w:right="0" w:hanging="200"/>
        <w:rPr>
          <w:rFonts w:ascii="times" w:hAnsi="times"/>
          <w:b/>
          <w:sz w:val="20"/>
          <w:bdr w:val="single" w:sz="8" w:space="12" w:color="000000"/>
        </w:rPr>
      </w:pPr>
      <w:bookmarkStart w:id="23" w:name="toc_bk43504_4"/>
      <w:bookmarkStart w:id="24" w:name="bk43504_our_fleet"/>
      <w:bookmarkEnd w:id="23"/>
      <w:bookmarkEnd w:id="24"/>
      <w:r>
        <w:rPr>
          <w:rFonts w:ascii="times" w:hAnsi="times"/>
          <w:b/>
          <w:sz w:val="20"/>
          <w:bdr w:val="single" w:sz="8" w:space="12" w:color="000000"/>
        </w:rPr>
        <w:t xml:space="preserve">Our Fleet </w:t>
      </w:r>
    </w:p>
    <w:p>
      <w:pPr>
        <w:pStyle w:val="TextBody"/>
        <w:ind w:left="200" w:right="0" w:hanging="200"/>
        <w:rPr>
          <w:rFonts w:ascii="times" w:hAnsi="times"/>
          <w:b/>
          <w:i/>
          <w:sz w:val="20"/>
          <w:bdr w:val="single" w:sz="8" w:space="12" w:color="000000"/>
        </w:rPr>
      </w:pPr>
      <w:r>
        <w:rPr>
          <w:rFonts w:ascii="times" w:hAnsi="times"/>
          <w:b/>
          <w:i/>
          <w:sz w:val="20"/>
          <w:bdr w:val="single" w:sz="8" w:space="12" w:color="000000"/>
        </w:rPr>
        <w:t xml:space="preserve">Owned Fleet </w:t>
      </w:r>
    </w:p>
    <w:p>
      <w:pPr>
        <w:pStyle w:val="TextBody"/>
        <w:rPr>
          <w:rFonts w:ascii="times" w:hAnsi="times"/>
          <w:sz w:val="20"/>
          <w:bdr w:val="single" w:sz="8" w:space="12" w:color="000000"/>
        </w:rPr>
      </w:pPr>
      <w:r>
        <w:rPr>
          <w:rFonts w:ascii="times" w:hAnsi="times"/>
          <w:sz w:val="20"/>
          <w:bdr w:val="single" w:sz="8" w:space="12" w:color="000000"/>
        </w:rPr>
        <w:t xml:space="preserve">The following table presents information about our fleet as of February 25, 2021: </w:t>
      </w:r>
    </w:p>
    <w:tbl>
      <w:tblPr>
        <w:tblW w:w="5000" w:type="pct"/>
        <w:jc w:val="center"/>
        <w:tblInd w:w="0" w:type="dxa"/>
        <w:tblCellMar>
          <w:top w:w="0" w:type="dxa"/>
          <w:left w:w="0" w:type="dxa"/>
          <w:bottom w:w="0" w:type="dxa"/>
          <w:right w:w="0" w:type="dxa"/>
        </w:tblCellMar>
      </w:tblPr>
      <w:tblGrid>
        <w:gridCol w:w="253"/>
        <w:gridCol w:w="217"/>
        <w:gridCol w:w="1872"/>
        <w:gridCol w:w="218"/>
        <w:gridCol w:w="108"/>
        <w:gridCol w:w="816"/>
        <w:gridCol w:w="217"/>
        <w:gridCol w:w="109"/>
        <w:gridCol w:w="670"/>
        <w:gridCol w:w="217"/>
        <w:gridCol w:w="1359"/>
        <w:gridCol w:w="218"/>
        <w:gridCol w:w="833"/>
        <w:gridCol w:w="217"/>
        <w:gridCol w:w="1341"/>
        <w:gridCol w:w="217"/>
        <w:gridCol w:w="109"/>
        <w:gridCol w:w="996"/>
        <w:gridCol w:w="218"/>
      </w:tblGrid>
      <w:tr>
        <w:trPr/>
        <w:tc>
          <w:tcPr>
            <w:tcW w:w="253" w:type="dxa"/>
            <w:tcBorders/>
            <w:shd w:fill="auto" w:val="clear"/>
            <w:vAlign w:val="center"/>
          </w:tcPr>
          <w:p>
            <w:pPr>
              <w:pStyle w:val="TableContents"/>
              <w:spacing w:before="0" w:after="283"/>
              <w:rPr>
                <w:sz w:val="4"/>
                <w:szCs w:val="4"/>
              </w:rPr>
            </w:pPr>
            <w:r>
              <w:rPr>
                <w:sz w:val="4"/>
                <w:szCs w:val="4"/>
              </w:rPr>
            </w:r>
          </w:p>
        </w:tc>
        <w:tc>
          <w:tcPr>
            <w:tcW w:w="217" w:type="dxa"/>
            <w:tcBorders/>
            <w:shd w:fill="auto" w:val="clear"/>
            <w:vAlign w:val="center"/>
          </w:tcPr>
          <w:p>
            <w:pPr>
              <w:pStyle w:val="TableContents"/>
              <w:spacing w:before="0" w:after="283"/>
              <w:rPr>
                <w:sz w:val="4"/>
                <w:szCs w:val="4"/>
              </w:rPr>
            </w:pPr>
            <w:r>
              <w:rPr>
                <w:sz w:val="4"/>
                <w:szCs w:val="4"/>
              </w:rPr>
            </w:r>
          </w:p>
        </w:tc>
        <w:tc>
          <w:tcPr>
            <w:tcW w:w="1872" w:type="dxa"/>
            <w:tcBorders/>
            <w:shd w:fill="auto" w:val="clear"/>
            <w:vAlign w:val="center"/>
          </w:tcPr>
          <w:p>
            <w:pPr>
              <w:pStyle w:val="TableContents"/>
              <w:spacing w:before="0" w:after="283"/>
              <w:rPr>
                <w:sz w:val="4"/>
                <w:szCs w:val="4"/>
              </w:rPr>
            </w:pPr>
            <w:r>
              <w:rPr>
                <w:sz w:val="4"/>
                <w:szCs w:val="4"/>
              </w:rPr>
            </w:r>
          </w:p>
        </w:tc>
        <w:tc>
          <w:tcPr>
            <w:tcW w:w="218" w:type="dxa"/>
            <w:tcBorders/>
            <w:shd w:fill="auto" w:val="clear"/>
            <w:vAlign w:val="center"/>
          </w:tcPr>
          <w:p>
            <w:pPr>
              <w:pStyle w:val="TableContents"/>
              <w:spacing w:before="0" w:after="283"/>
              <w:rPr>
                <w:sz w:val="4"/>
                <w:szCs w:val="4"/>
              </w:rPr>
            </w:pPr>
            <w:r>
              <w:rPr>
                <w:sz w:val="4"/>
                <w:szCs w:val="4"/>
              </w:rPr>
            </w:r>
          </w:p>
        </w:tc>
        <w:tc>
          <w:tcPr>
            <w:tcW w:w="108" w:type="dxa"/>
            <w:tcBorders/>
            <w:shd w:fill="auto" w:val="clear"/>
            <w:vAlign w:val="center"/>
          </w:tcPr>
          <w:p>
            <w:pPr>
              <w:pStyle w:val="TableContents"/>
              <w:spacing w:before="0" w:after="283"/>
              <w:rPr>
                <w:sz w:val="4"/>
                <w:szCs w:val="4"/>
              </w:rPr>
            </w:pPr>
            <w:r>
              <w:rPr>
                <w:sz w:val="4"/>
                <w:szCs w:val="4"/>
              </w:rPr>
            </w:r>
          </w:p>
        </w:tc>
        <w:tc>
          <w:tcPr>
            <w:tcW w:w="816" w:type="dxa"/>
            <w:tcBorders/>
            <w:shd w:fill="auto" w:val="clear"/>
            <w:vAlign w:val="center"/>
          </w:tcPr>
          <w:p>
            <w:pPr>
              <w:pStyle w:val="TableContents"/>
              <w:spacing w:before="0" w:after="283"/>
              <w:rPr>
                <w:sz w:val="4"/>
                <w:szCs w:val="4"/>
              </w:rPr>
            </w:pPr>
            <w:r>
              <w:rPr>
                <w:sz w:val="4"/>
                <w:szCs w:val="4"/>
              </w:rPr>
            </w:r>
          </w:p>
        </w:tc>
        <w:tc>
          <w:tcPr>
            <w:tcW w:w="21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670" w:type="dxa"/>
            <w:tcBorders/>
            <w:shd w:fill="auto" w:val="clear"/>
            <w:vAlign w:val="center"/>
          </w:tcPr>
          <w:p>
            <w:pPr>
              <w:pStyle w:val="TableContents"/>
              <w:spacing w:before="0" w:after="283"/>
              <w:rPr>
                <w:sz w:val="4"/>
                <w:szCs w:val="4"/>
              </w:rPr>
            </w:pPr>
            <w:r>
              <w:rPr>
                <w:sz w:val="4"/>
                <w:szCs w:val="4"/>
              </w:rPr>
            </w:r>
          </w:p>
        </w:tc>
        <w:tc>
          <w:tcPr>
            <w:tcW w:w="217" w:type="dxa"/>
            <w:tcBorders/>
            <w:shd w:fill="auto" w:val="clear"/>
            <w:vAlign w:val="center"/>
          </w:tcPr>
          <w:p>
            <w:pPr>
              <w:pStyle w:val="TableContents"/>
              <w:spacing w:before="0" w:after="283"/>
              <w:rPr>
                <w:sz w:val="4"/>
                <w:szCs w:val="4"/>
              </w:rPr>
            </w:pPr>
            <w:r>
              <w:rPr>
                <w:sz w:val="4"/>
                <w:szCs w:val="4"/>
              </w:rPr>
            </w:r>
          </w:p>
        </w:tc>
        <w:tc>
          <w:tcPr>
            <w:tcW w:w="1359" w:type="dxa"/>
            <w:tcBorders/>
            <w:shd w:fill="auto" w:val="clear"/>
            <w:vAlign w:val="center"/>
          </w:tcPr>
          <w:p>
            <w:pPr>
              <w:pStyle w:val="TableContents"/>
              <w:spacing w:before="0" w:after="283"/>
              <w:rPr>
                <w:sz w:val="4"/>
                <w:szCs w:val="4"/>
              </w:rPr>
            </w:pPr>
            <w:r>
              <w:rPr>
                <w:sz w:val="4"/>
                <w:szCs w:val="4"/>
              </w:rPr>
            </w:r>
          </w:p>
        </w:tc>
        <w:tc>
          <w:tcPr>
            <w:tcW w:w="218" w:type="dxa"/>
            <w:tcBorders/>
            <w:shd w:fill="auto" w:val="clear"/>
            <w:vAlign w:val="center"/>
          </w:tcPr>
          <w:p>
            <w:pPr>
              <w:pStyle w:val="TableContents"/>
              <w:spacing w:before="0" w:after="283"/>
              <w:rPr>
                <w:sz w:val="4"/>
                <w:szCs w:val="4"/>
              </w:rPr>
            </w:pPr>
            <w:r>
              <w:rPr>
                <w:sz w:val="4"/>
                <w:szCs w:val="4"/>
              </w:rPr>
            </w:r>
          </w:p>
        </w:tc>
        <w:tc>
          <w:tcPr>
            <w:tcW w:w="833" w:type="dxa"/>
            <w:tcBorders/>
            <w:shd w:fill="auto" w:val="clear"/>
            <w:vAlign w:val="center"/>
          </w:tcPr>
          <w:p>
            <w:pPr>
              <w:pStyle w:val="TableContents"/>
              <w:spacing w:before="0" w:after="283"/>
              <w:rPr>
                <w:sz w:val="4"/>
                <w:szCs w:val="4"/>
              </w:rPr>
            </w:pPr>
            <w:r>
              <w:rPr>
                <w:sz w:val="4"/>
                <w:szCs w:val="4"/>
              </w:rPr>
            </w:r>
          </w:p>
        </w:tc>
        <w:tc>
          <w:tcPr>
            <w:tcW w:w="217" w:type="dxa"/>
            <w:tcBorders/>
            <w:shd w:fill="auto" w:val="clear"/>
            <w:vAlign w:val="center"/>
          </w:tcPr>
          <w:p>
            <w:pPr>
              <w:pStyle w:val="TableContents"/>
              <w:spacing w:before="0" w:after="283"/>
              <w:rPr>
                <w:sz w:val="4"/>
                <w:szCs w:val="4"/>
              </w:rPr>
            </w:pPr>
            <w:r>
              <w:rPr>
                <w:sz w:val="4"/>
                <w:szCs w:val="4"/>
              </w:rPr>
            </w:r>
          </w:p>
        </w:tc>
        <w:tc>
          <w:tcPr>
            <w:tcW w:w="1341" w:type="dxa"/>
            <w:tcBorders/>
            <w:shd w:fill="auto" w:val="clear"/>
            <w:vAlign w:val="center"/>
          </w:tcPr>
          <w:p>
            <w:pPr>
              <w:pStyle w:val="TableContents"/>
              <w:spacing w:before="0" w:after="283"/>
              <w:rPr>
                <w:sz w:val="4"/>
                <w:szCs w:val="4"/>
              </w:rPr>
            </w:pPr>
            <w:r>
              <w:rPr>
                <w:sz w:val="4"/>
                <w:szCs w:val="4"/>
              </w:rPr>
            </w:r>
          </w:p>
        </w:tc>
        <w:tc>
          <w:tcPr>
            <w:tcW w:w="21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96" w:type="dxa"/>
            <w:tcBorders/>
            <w:shd w:fill="auto" w:val="clear"/>
            <w:vAlign w:val="center"/>
          </w:tcPr>
          <w:p>
            <w:pPr>
              <w:pStyle w:val="TableContents"/>
              <w:spacing w:before="0" w:after="283"/>
              <w:rPr>
                <w:sz w:val="4"/>
                <w:szCs w:val="4"/>
              </w:rPr>
            </w:pPr>
            <w:r>
              <w:rPr>
                <w:sz w:val="4"/>
                <w:szCs w:val="4"/>
              </w:rPr>
            </w:r>
          </w:p>
        </w:tc>
        <w:tc>
          <w:tcPr>
            <w:tcW w:w="218" w:type="dxa"/>
            <w:tcBorders/>
            <w:shd w:fill="auto" w:val="clear"/>
            <w:vAlign w:val="center"/>
          </w:tcPr>
          <w:p>
            <w:pPr>
              <w:pStyle w:val="TableContents"/>
              <w:spacing w:before="0" w:after="283"/>
              <w:rPr>
                <w:sz w:val="4"/>
                <w:szCs w:val="4"/>
              </w:rPr>
            </w:pPr>
            <w:r>
              <w:rPr>
                <w:sz w:val="4"/>
                <w:szCs w:val="4"/>
              </w:rPr>
            </w:r>
          </w:p>
        </w:tc>
      </w:tr>
      <w:tr>
        <w:trPr/>
        <w:tc>
          <w:tcPr>
            <w:tcW w:w="253" w:type="dxa"/>
            <w:tcBorders/>
            <w:shd w:fill="auto" w:val="clear"/>
            <w:vAlign w:val="bottom"/>
          </w:tcPr>
          <w:p>
            <w:pPr>
              <w:pStyle w:val="TableHeading"/>
              <w:spacing w:before="0" w:after="283"/>
              <w:jc w:val="center"/>
              <w:rPr/>
            </w:pPr>
            <w:r>
              <w:rPr/>
              <w:t> </w:t>
            </w:r>
          </w:p>
        </w:tc>
        <w:tc>
          <w:tcPr>
            <w:tcW w:w="217" w:type="dxa"/>
            <w:tcBorders/>
            <w:shd w:fill="auto" w:val="clear"/>
            <w:vAlign w:val="bottom"/>
          </w:tcPr>
          <w:p>
            <w:pPr>
              <w:pStyle w:val="TableHeading"/>
              <w:suppressLineNumbers/>
              <w:spacing w:before="0" w:after="283"/>
              <w:jc w:val="center"/>
              <w:rPr/>
            </w:pPr>
            <w:r>
              <w:rPr/>
              <w:t> </w:t>
            </w:r>
          </w:p>
        </w:tc>
        <w:tc>
          <w:tcPr>
            <w:tcW w:w="1872" w:type="dxa"/>
            <w:tcBorders/>
            <w:shd w:fill="auto" w:val="clear"/>
            <w:vAlign w:val="bottom"/>
          </w:tcPr>
          <w:p>
            <w:pPr>
              <w:pStyle w:val="TableHeading"/>
              <w:spacing w:before="0" w:after="283"/>
              <w:jc w:val="center"/>
              <w:rPr>
                <w:rFonts w:ascii="times" w:hAnsi="times"/>
                <w:b/>
                <w:sz w:val="14"/>
                <w:u w:val="single"/>
              </w:rPr>
            </w:pPr>
            <w:r>
              <w:rPr>
                <w:rFonts w:ascii="times" w:hAnsi="times"/>
                <w:b/>
                <w:sz w:val="14"/>
                <w:u w:val="single"/>
              </w:rPr>
              <w:t>LNG Carrier</w:t>
            </w:r>
          </w:p>
        </w:tc>
        <w:tc>
          <w:tcPr>
            <w:tcW w:w="218" w:type="dxa"/>
            <w:tcBorders/>
            <w:shd w:fill="auto" w:val="clear"/>
            <w:vAlign w:val="bottom"/>
          </w:tcPr>
          <w:p>
            <w:pPr>
              <w:pStyle w:val="TableHeading"/>
              <w:suppressLineNumbers/>
              <w:spacing w:before="0" w:after="283"/>
              <w:jc w:val="center"/>
              <w:rPr/>
            </w:pPr>
            <w:r>
              <w:rPr/>
              <w:t> </w:t>
            </w:r>
          </w:p>
        </w:tc>
        <w:tc>
          <w:tcPr>
            <w:tcW w:w="924" w:type="dxa"/>
            <w:gridSpan w:val="2"/>
            <w:tcBorders/>
            <w:shd w:fill="auto" w:val="clear"/>
            <w:vAlign w:val="bottom"/>
          </w:tcPr>
          <w:p>
            <w:pPr>
              <w:pStyle w:val="TableHeading"/>
              <w:spacing w:before="0" w:after="283"/>
              <w:jc w:val="center"/>
              <w:rPr>
                <w:rFonts w:ascii="times" w:hAnsi="times"/>
                <w:b/>
                <w:sz w:val="14"/>
                <w:u w:val="single"/>
              </w:rPr>
            </w:pPr>
            <w:r>
              <w:rPr>
                <w:rFonts w:ascii="times" w:hAnsi="times"/>
                <w:b/>
                <w:sz w:val="14"/>
                <w:u w:val="single"/>
              </w:rPr>
              <w:t>Year</w:t>
              <w:br/>
              <w:t>Built</w:t>
            </w:r>
          </w:p>
        </w:tc>
        <w:tc>
          <w:tcPr>
            <w:tcW w:w="217" w:type="dxa"/>
            <w:tcBorders/>
            <w:shd w:fill="auto" w:val="clear"/>
            <w:vAlign w:val="bottom"/>
          </w:tcPr>
          <w:p>
            <w:pPr>
              <w:pStyle w:val="TableHeading"/>
              <w:suppressLineNumbers/>
              <w:spacing w:before="0" w:after="283"/>
              <w:jc w:val="center"/>
              <w:rPr/>
            </w:pPr>
            <w:r>
              <w:rPr/>
              <w:t> </w:t>
            </w:r>
          </w:p>
        </w:tc>
        <w:tc>
          <w:tcPr>
            <w:tcW w:w="779" w:type="dxa"/>
            <w:gridSpan w:val="2"/>
            <w:tcBorders/>
            <w:shd w:fill="auto" w:val="clear"/>
            <w:vAlign w:val="bottom"/>
          </w:tcPr>
          <w:p>
            <w:pPr>
              <w:pStyle w:val="TableHeading"/>
              <w:spacing w:before="0" w:after="283"/>
              <w:jc w:val="center"/>
              <w:rPr>
                <w:rFonts w:ascii="times" w:hAnsi="times"/>
                <w:b/>
                <w:sz w:val="14"/>
                <w:u w:val="single"/>
              </w:rPr>
            </w:pPr>
            <w:r>
              <w:rPr>
                <w:rFonts w:ascii="times" w:hAnsi="times"/>
                <w:b/>
                <w:sz w:val="14"/>
                <w:u w:val="single"/>
              </w:rPr>
              <w:t>Cargo</w:t>
              <w:br/>
              <w:t>Capacity</w:t>
              <w:br/>
              <w:t>(cbm)</w:t>
            </w:r>
          </w:p>
        </w:tc>
        <w:tc>
          <w:tcPr>
            <w:tcW w:w="217" w:type="dxa"/>
            <w:tcBorders/>
            <w:shd w:fill="auto" w:val="clear"/>
            <w:vAlign w:val="bottom"/>
          </w:tcPr>
          <w:p>
            <w:pPr>
              <w:pStyle w:val="TableHeading"/>
              <w:suppressLineNumbers/>
              <w:spacing w:before="0" w:after="283"/>
              <w:jc w:val="center"/>
              <w:rPr/>
            </w:pPr>
            <w:r>
              <w:rPr/>
              <w:t> </w:t>
            </w:r>
          </w:p>
        </w:tc>
        <w:tc>
          <w:tcPr>
            <w:tcW w:w="1359" w:type="dxa"/>
            <w:tcBorders/>
            <w:shd w:fill="auto" w:val="clear"/>
            <w:vAlign w:val="bottom"/>
          </w:tcPr>
          <w:p>
            <w:pPr>
              <w:pStyle w:val="TableHeading"/>
              <w:spacing w:before="0" w:after="283"/>
              <w:jc w:val="center"/>
              <w:rPr>
                <w:rFonts w:ascii="times" w:hAnsi="times"/>
                <w:b/>
                <w:sz w:val="14"/>
                <w:u w:val="single"/>
              </w:rPr>
            </w:pPr>
            <w:r>
              <w:rPr>
                <w:rFonts w:ascii="times" w:hAnsi="times"/>
                <w:b/>
                <w:sz w:val="14"/>
                <w:u w:val="single"/>
              </w:rPr>
              <w:t>Charterer (for</w:t>
              <w:br/>
              <w:t>contracts of more</w:t>
              <w:br/>
              <w:t>than six months)</w:t>
            </w:r>
          </w:p>
        </w:tc>
        <w:tc>
          <w:tcPr>
            <w:tcW w:w="218" w:type="dxa"/>
            <w:tcBorders/>
            <w:shd w:fill="auto" w:val="clear"/>
            <w:vAlign w:val="bottom"/>
          </w:tcPr>
          <w:p>
            <w:pPr>
              <w:pStyle w:val="TableHeading"/>
              <w:suppressLineNumbers/>
              <w:spacing w:before="0" w:after="283"/>
              <w:jc w:val="center"/>
              <w:rPr/>
            </w:pPr>
            <w:r>
              <w:rPr/>
              <w:t> </w:t>
            </w:r>
          </w:p>
        </w:tc>
        <w:tc>
          <w:tcPr>
            <w:tcW w:w="833" w:type="dxa"/>
            <w:tcBorders/>
            <w:shd w:fill="auto" w:val="clear"/>
            <w:vAlign w:val="bottom"/>
          </w:tcPr>
          <w:p>
            <w:pPr>
              <w:pStyle w:val="TableHeading"/>
              <w:spacing w:before="0" w:after="283"/>
              <w:jc w:val="center"/>
              <w:rPr>
                <w:rFonts w:ascii="times" w:hAnsi="times"/>
                <w:b/>
                <w:sz w:val="14"/>
                <w:u w:val="single"/>
              </w:rPr>
            </w:pPr>
            <w:r>
              <w:rPr>
                <w:rFonts w:ascii="times" w:hAnsi="times"/>
                <w:b/>
                <w:sz w:val="14"/>
                <w:u w:val="single"/>
              </w:rPr>
              <w:t>Propulsion</w:t>
            </w:r>
          </w:p>
        </w:tc>
        <w:tc>
          <w:tcPr>
            <w:tcW w:w="217" w:type="dxa"/>
            <w:tcBorders/>
            <w:shd w:fill="auto" w:val="clear"/>
            <w:vAlign w:val="bottom"/>
          </w:tcPr>
          <w:p>
            <w:pPr>
              <w:pStyle w:val="TableHeading"/>
              <w:suppressLineNumbers/>
              <w:spacing w:before="0" w:after="283"/>
              <w:jc w:val="center"/>
              <w:rPr/>
            </w:pPr>
            <w:r>
              <w:rPr/>
              <w:t> </w:t>
            </w:r>
          </w:p>
        </w:tc>
        <w:tc>
          <w:tcPr>
            <w:tcW w:w="1341" w:type="dxa"/>
            <w:tcBorders/>
            <w:shd w:fill="auto" w:val="clear"/>
            <w:vAlign w:val="bottom"/>
          </w:tcPr>
          <w:p>
            <w:pPr>
              <w:pStyle w:val="TableHeading"/>
              <w:spacing w:before="0" w:after="283"/>
              <w:jc w:val="center"/>
              <w:rPr>
                <w:rFonts w:ascii="times" w:hAnsi="times"/>
                <w:b/>
                <w:sz w:val="14"/>
                <w:u w:val="single"/>
              </w:rPr>
            </w:pPr>
            <w:r>
              <w:rPr>
                <w:rFonts w:ascii="times" w:hAnsi="times"/>
                <w:b/>
                <w:sz w:val="14"/>
                <w:u w:val="single"/>
              </w:rPr>
              <w:t>Charter</w:t>
              <w:br/>
              <w:t>Expiration</w:t>
            </w:r>
          </w:p>
        </w:tc>
        <w:tc>
          <w:tcPr>
            <w:tcW w:w="217" w:type="dxa"/>
            <w:tcBorders/>
            <w:shd w:fill="auto" w:val="clear"/>
            <w:vAlign w:val="bottom"/>
          </w:tcPr>
          <w:p>
            <w:pPr>
              <w:pStyle w:val="TableHeading"/>
              <w:suppressLineNumbers/>
              <w:spacing w:before="0" w:after="283"/>
              <w:jc w:val="center"/>
              <w:rPr/>
            </w:pPr>
            <w:r>
              <w:rPr/>
              <w:t> </w:t>
            </w:r>
          </w:p>
        </w:tc>
        <w:tc>
          <w:tcPr>
            <w:tcW w:w="1105" w:type="dxa"/>
            <w:gridSpan w:val="2"/>
            <w:tcBorders/>
            <w:shd w:fill="auto" w:val="clear"/>
            <w:vAlign w:val="bottom"/>
          </w:tcPr>
          <w:p>
            <w:pPr>
              <w:pStyle w:val="TableHeading"/>
              <w:spacing w:before="0" w:after="283"/>
              <w:jc w:val="center"/>
              <w:rPr>
                <w:rFonts w:ascii="times" w:hAnsi="times"/>
                <w:b/>
                <w:sz w:val="14"/>
                <w:u w:val="single"/>
              </w:rPr>
            </w:pPr>
            <w:r>
              <w:rPr>
                <w:rFonts w:ascii="times" w:hAnsi="times"/>
                <w:b/>
                <w:sz w:val="14"/>
                <w:u w:val="single"/>
              </w:rPr>
              <w:t>Optional</w:t>
              <w:br/>
              <w:t>Period</w:t>
            </w:r>
          </w:p>
        </w:tc>
        <w:tc>
          <w:tcPr>
            <w:tcW w:w="218" w:type="dxa"/>
            <w:tcBorders/>
            <w:shd w:fill="auto" w:val="clear"/>
            <w:vAlign w:val="bottom"/>
          </w:tcPr>
          <w:p>
            <w:pPr>
              <w:pStyle w:val="TableHeading"/>
              <w:suppressLineNumbers/>
              <w:spacing w:before="0" w:after="283"/>
              <w:jc w:val="center"/>
              <w:rPr/>
            </w:pPr>
            <w:r>
              <w:rPr/>
              <w:t> </w:t>
            </w:r>
          </w:p>
        </w:tc>
      </w:tr>
      <w:tr>
        <w:trPr/>
        <w:tc>
          <w:tcPr>
            <w:tcW w:w="253" w:type="dxa"/>
            <w:tcBorders/>
            <w:shd w:fill="auto" w:val="clear"/>
          </w:tcPr>
          <w:p>
            <w:pPr>
              <w:pStyle w:val="TableContents"/>
              <w:spacing w:before="0" w:after="283"/>
              <w:rPr>
                <w:rFonts w:ascii="times" w:hAnsi="times"/>
                <w:b/>
                <w:sz w:val="14"/>
              </w:rPr>
            </w:pPr>
            <w:r>
              <w:rPr>
                <w:rFonts w:ascii="times" w:hAnsi="times"/>
                <w:b/>
                <w:sz w:val="14"/>
              </w:rPr>
              <w:t>1</w:t>
            </w:r>
          </w:p>
        </w:tc>
        <w:tc>
          <w:tcPr>
            <w:tcW w:w="217" w:type="dxa"/>
            <w:tcBorders/>
            <w:shd w:fill="auto" w:val="clear"/>
          </w:tcPr>
          <w:p>
            <w:pPr>
              <w:pStyle w:val="TableContents"/>
              <w:spacing w:before="0" w:after="283"/>
              <w:rPr/>
            </w:pPr>
            <w:r>
              <w:rPr/>
              <w:t> </w:t>
            </w:r>
          </w:p>
        </w:tc>
        <w:tc>
          <w:tcPr>
            <w:tcW w:w="1872" w:type="dxa"/>
            <w:tcBorders/>
            <w:shd w:fill="auto" w:val="clear"/>
          </w:tcPr>
          <w:p>
            <w:pPr>
              <w:pStyle w:val="TableContents"/>
              <w:spacing w:before="0" w:after="283"/>
              <w:rPr>
                <w:rFonts w:ascii="times" w:hAnsi="times"/>
                <w:i/>
                <w:sz w:val="14"/>
              </w:rPr>
            </w:pPr>
            <w:r>
              <w:rPr>
                <w:rFonts w:ascii="times" w:hAnsi="times"/>
                <w:i/>
                <w:sz w:val="14"/>
              </w:rPr>
              <w:t>Methane Rita Andrea</w:t>
            </w:r>
          </w:p>
        </w:tc>
        <w:tc>
          <w:tcPr>
            <w:tcW w:w="218" w:type="dxa"/>
            <w:tcBorders/>
            <w:shd w:fill="auto" w:val="clear"/>
          </w:tcPr>
          <w:p>
            <w:pPr>
              <w:pStyle w:val="TableContents"/>
              <w:spacing w:before="0" w:after="283"/>
              <w:rPr/>
            </w:pPr>
            <w:r>
              <w:rPr/>
              <w:t> </w:t>
            </w:r>
          </w:p>
        </w:tc>
        <w:tc>
          <w:tcPr>
            <w:tcW w:w="108" w:type="dxa"/>
            <w:tcBorders/>
            <w:shd w:fill="auto" w:val="clear"/>
            <w:vAlign w:val="bottom"/>
          </w:tcPr>
          <w:p>
            <w:pPr>
              <w:pStyle w:val="TableContents"/>
              <w:spacing w:before="0" w:after="283"/>
              <w:rPr/>
            </w:pPr>
            <w:r>
              <w:rPr/>
              <w:t> </w:t>
            </w:r>
          </w:p>
        </w:tc>
        <w:tc>
          <w:tcPr>
            <w:tcW w:w="816" w:type="dxa"/>
            <w:tcBorders/>
            <w:shd w:fill="auto" w:val="clear"/>
            <w:vAlign w:val="bottom"/>
          </w:tcPr>
          <w:p>
            <w:pPr>
              <w:pStyle w:val="TableContents"/>
              <w:spacing w:before="0" w:after="283"/>
              <w:jc w:val="right"/>
              <w:rPr>
                <w:rFonts w:ascii="times" w:hAnsi="times"/>
                <w:sz w:val="14"/>
              </w:rPr>
            </w:pPr>
            <w:r>
              <w:rPr>
                <w:rFonts w:ascii="times" w:hAnsi="times"/>
                <w:sz w:val="14"/>
              </w:rPr>
              <w:t>2006</w:t>
            </w:r>
          </w:p>
        </w:tc>
        <w:tc>
          <w:tcPr>
            <w:tcW w:w="217" w:type="dxa"/>
            <w:tcBorders/>
            <w:shd w:fill="auto" w:val="clear"/>
            <w:vAlign w:val="bottom"/>
          </w:tcPr>
          <w:p>
            <w:pPr>
              <w:pStyle w:val="TableContents"/>
              <w:spacing w:before="0" w:after="283"/>
              <w:rPr/>
            </w:pPr>
            <w:r>
              <w:rPr/>
              <w:t> </w:t>
            </w:r>
          </w:p>
        </w:tc>
        <w:tc>
          <w:tcPr>
            <w:tcW w:w="109" w:type="dxa"/>
            <w:tcBorders/>
            <w:shd w:fill="auto" w:val="clear"/>
            <w:vAlign w:val="bottom"/>
          </w:tcPr>
          <w:p>
            <w:pPr>
              <w:pStyle w:val="TableContents"/>
              <w:spacing w:before="0" w:after="283"/>
              <w:rPr/>
            </w:pPr>
            <w:r>
              <w:rPr/>
              <w:t> </w:t>
            </w:r>
          </w:p>
        </w:tc>
        <w:tc>
          <w:tcPr>
            <w:tcW w:w="670" w:type="dxa"/>
            <w:tcBorders/>
            <w:shd w:fill="auto" w:val="clear"/>
            <w:vAlign w:val="bottom"/>
          </w:tcPr>
          <w:p>
            <w:pPr>
              <w:pStyle w:val="TableContents"/>
              <w:spacing w:before="0" w:after="283"/>
              <w:jc w:val="right"/>
              <w:rPr>
                <w:rFonts w:ascii="times" w:hAnsi="times"/>
                <w:sz w:val="14"/>
              </w:rPr>
            </w:pPr>
            <w:r>
              <w:rPr>
                <w:rFonts w:ascii="times" w:hAnsi="times"/>
                <w:sz w:val="14"/>
              </w:rPr>
              <w:t>145,000</w:t>
            </w:r>
          </w:p>
        </w:tc>
        <w:tc>
          <w:tcPr>
            <w:tcW w:w="217" w:type="dxa"/>
            <w:tcBorders/>
            <w:shd w:fill="auto" w:val="clear"/>
            <w:vAlign w:val="bottom"/>
          </w:tcPr>
          <w:p>
            <w:pPr>
              <w:pStyle w:val="TableContents"/>
              <w:spacing w:before="0" w:after="283"/>
              <w:rPr/>
            </w:pPr>
            <w:r>
              <w:rPr/>
              <w:t> </w:t>
            </w:r>
          </w:p>
        </w:tc>
        <w:tc>
          <w:tcPr>
            <w:tcW w:w="1359" w:type="dxa"/>
            <w:tcBorders/>
            <w:shd w:fill="auto" w:val="clear"/>
            <w:vAlign w:val="bottom"/>
          </w:tcPr>
          <w:p>
            <w:pPr>
              <w:pStyle w:val="TableContents"/>
              <w:spacing w:before="0" w:after="283"/>
              <w:jc w:val="right"/>
              <w:rPr>
                <w:rFonts w:ascii="times" w:hAnsi="times"/>
                <w:sz w:val="14"/>
              </w:rPr>
            </w:pPr>
            <w:r>
              <w:rPr>
                <w:rFonts w:ascii="times" w:hAnsi="times"/>
                <w:sz w:val="14"/>
              </w:rPr>
              <w:t>Spot Market</w:t>
            </w:r>
          </w:p>
        </w:tc>
        <w:tc>
          <w:tcPr>
            <w:tcW w:w="218" w:type="dxa"/>
            <w:tcBorders/>
            <w:shd w:fill="auto" w:val="clear"/>
            <w:vAlign w:val="bottom"/>
          </w:tcPr>
          <w:p>
            <w:pPr>
              <w:pStyle w:val="TableContents"/>
              <w:spacing w:before="0" w:after="283"/>
              <w:rPr/>
            </w:pPr>
            <w:r>
              <w:rPr/>
              <w:t> </w:t>
            </w:r>
          </w:p>
        </w:tc>
        <w:tc>
          <w:tcPr>
            <w:tcW w:w="833" w:type="dxa"/>
            <w:tcBorders/>
            <w:shd w:fill="auto" w:val="clear"/>
            <w:vAlign w:val="bottom"/>
          </w:tcPr>
          <w:p>
            <w:pPr>
              <w:pStyle w:val="TableContents"/>
              <w:spacing w:before="0" w:after="283"/>
              <w:jc w:val="right"/>
              <w:rPr>
                <w:rFonts w:ascii="times" w:hAnsi="times"/>
                <w:sz w:val="14"/>
              </w:rPr>
            </w:pPr>
            <w:r>
              <w:rPr>
                <w:rFonts w:ascii="times" w:hAnsi="times"/>
                <w:sz w:val="14"/>
              </w:rPr>
              <w:t>Steam</w:t>
            </w:r>
          </w:p>
        </w:tc>
        <w:tc>
          <w:tcPr>
            <w:tcW w:w="217" w:type="dxa"/>
            <w:tcBorders/>
            <w:shd w:fill="auto" w:val="clear"/>
            <w:vAlign w:val="bottom"/>
          </w:tcPr>
          <w:p>
            <w:pPr>
              <w:pStyle w:val="TableContents"/>
              <w:spacing w:before="0" w:after="283"/>
              <w:rPr/>
            </w:pPr>
            <w:r>
              <w:rPr/>
              <w:t> </w:t>
            </w:r>
          </w:p>
        </w:tc>
        <w:tc>
          <w:tcPr>
            <w:tcW w:w="1341" w:type="dxa"/>
            <w:tcBorders/>
            <w:shd w:fill="auto" w:val="clear"/>
            <w:vAlign w:val="bottom"/>
          </w:tcPr>
          <w:p>
            <w:pPr>
              <w:pStyle w:val="TableContents"/>
              <w:spacing w:before="0" w:after="283"/>
              <w:jc w:val="right"/>
              <w:rPr>
                <w:rFonts w:ascii="times" w:hAnsi="times"/>
                <w:sz w:val="14"/>
              </w:rPr>
            </w:pPr>
            <w:r>
              <w:rPr>
                <w:rFonts w:ascii="times" w:hAnsi="times"/>
                <w:sz w:val="14"/>
              </w:rPr>
              <w:t></w:t>
            </w:r>
          </w:p>
        </w:tc>
        <w:tc>
          <w:tcPr>
            <w:tcW w:w="217" w:type="dxa"/>
            <w:tcBorders/>
            <w:shd w:fill="auto" w:val="clear"/>
            <w:vAlign w:val="bottom"/>
          </w:tcPr>
          <w:p>
            <w:pPr>
              <w:pStyle w:val="TableContents"/>
              <w:spacing w:before="0" w:after="283"/>
              <w:rPr/>
            </w:pPr>
            <w:r>
              <w:rPr/>
              <w:t> </w:t>
            </w:r>
          </w:p>
        </w:tc>
        <w:tc>
          <w:tcPr>
            <w:tcW w:w="109" w:type="dxa"/>
            <w:tcBorders/>
            <w:shd w:fill="auto" w:val="clear"/>
            <w:vAlign w:val="bottom"/>
          </w:tcPr>
          <w:p>
            <w:pPr>
              <w:pStyle w:val="TableContents"/>
              <w:spacing w:before="0" w:after="283"/>
              <w:rPr/>
            </w:pPr>
            <w:r>
              <w:rPr/>
              <w:t> </w:t>
            </w:r>
          </w:p>
        </w:tc>
        <w:tc>
          <w:tcPr>
            <w:tcW w:w="996" w:type="dxa"/>
            <w:tcBorders/>
            <w:shd w:fill="auto" w:val="clear"/>
            <w:vAlign w:val="bottom"/>
          </w:tcPr>
          <w:p>
            <w:pPr>
              <w:pStyle w:val="TableContents"/>
              <w:spacing w:before="0" w:after="283"/>
              <w:jc w:val="right"/>
              <w:rPr>
                <w:rFonts w:ascii="times" w:hAnsi="times"/>
                <w:sz w:val="14"/>
              </w:rPr>
            </w:pPr>
            <w:r>
              <w:rPr>
                <w:rFonts w:ascii="times" w:hAnsi="times"/>
                <w:sz w:val="14"/>
              </w:rPr>
              <w:t></w:t>
            </w:r>
          </w:p>
        </w:tc>
        <w:tc>
          <w:tcPr>
            <w:tcW w:w="218" w:type="dxa"/>
            <w:tcBorders/>
            <w:shd w:fill="auto" w:val="clear"/>
            <w:vAlign w:val="bottom"/>
          </w:tcPr>
          <w:p>
            <w:pPr>
              <w:pStyle w:val="TableContents"/>
              <w:spacing w:before="0" w:after="283"/>
              <w:rPr/>
            </w:pPr>
            <w:r>
              <w:rPr/>
              <w:t> </w:t>
            </w:r>
          </w:p>
        </w:tc>
      </w:tr>
      <w:tr>
        <w:trPr/>
        <w:tc>
          <w:tcPr>
            <w:tcW w:w="253" w:type="dxa"/>
            <w:tcBorders/>
            <w:shd w:fill="auto" w:val="clear"/>
          </w:tcPr>
          <w:p>
            <w:pPr>
              <w:pStyle w:val="TableContents"/>
              <w:spacing w:before="0" w:after="283"/>
              <w:rPr>
                <w:rFonts w:ascii="times" w:hAnsi="times"/>
                <w:b/>
                <w:sz w:val="14"/>
              </w:rPr>
            </w:pPr>
            <w:r>
              <w:rPr>
                <w:rFonts w:ascii="times" w:hAnsi="times"/>
                <w:b/>
                <w:sz w:val="14"/>
              </w:rPr>
              <w:t>2</w:t>
            </w:r>
          </w:p>
        </w:tc>
        <w:tc>
          <w:tcPr>
            <w:tcW w:w="217" w:type="dxa"/>
            <w:tcBorders/>
            <w:shd w:fill="auto" w:val="clear"/>
          </w:tcPr>
          <w:p>
            <w:pPr>
              <w:pStyle w:val="TableContents"/>
              <w:spacing w:before="0" w:after="283"/>
              <w:rPr/>
            </w:pPr>
            <w:r>
              <w:rPr/>
              <w:t> </w:t>
            </w:r>
          </w:p>
        </w:tc>
        <w:tc>
          <w:tcPr>
            <w:tcW w:w="1872" w:type="dxa"/>
            <w:tcBorders/>
            <w:shd w:fill="auto" w:val="clear"/>
          </w:tcPr>
          <w:p>
            <w:pPr>
              <w:pStyle w:val="TableContents"/>
              <w:spacing w:before="0" w:after="283"/>
              <w:rPr>
                <w:rFonts w:ascii="times" w:hAnsi="times"/>
                <w:i/>
                <w:sz w:val="14"/>
              </w:rPr>
            </w:pPr>
            <w:r>
              <w:rPr>
                <w:rFonts w:ascii="times" w:hAnsi="times"/>
                <w:i/>
                <w:sz w:val="14"/>
              </w:rPr>
              <w:t>Methane Heather Sally</w:t>
            </w:r>
          </w:p>
        </w:tc>
        <w:tc>
          <w:tcPr>
            <w:tcW w:w="218" w:type="dxa"/>
            <w:tcBorders/>
            <w:shd w:fill="auto" w:val="clear"/>
          </w:tcPr>
          <w:p>
            <w:pPr>
              <w:pStyle w:val="TableContents"/>
              <w:spacing w:before="0" w:after="283"/>
              <w:rPr/>
            </w:pPr>
            <w:r>
              <w:rPr/>
              <w:t> </w:t>
            </w:r>
          </w:p>
        </w:tc>
        <w:tc>
          <w:tcPr>
            <w:tcW w:w="108" w:type="dxa"/>
            <w:tcBorders/>
            <w:shd w:fill="auto" w:val="clear"/>
            <w:vAlign w:val="bottom"/>
          </w:tcPr>
          <w:p>
            <w:pPr>
              <w:pStyle w:val="TableContents"/>
              <w:spacing w:before="0" w:after="283"/>
              <w:rPr/>
            </w:pPr>
            <w:r>
              <w:rPr/>
              <w:t> </w:t>
            </w:r>
          </w:p>
        </w:tc>
        <w:tc>
          <w:tcPr>
            <w:tcW w:w="816" w:type="dxa"/>
            <w:tcBorders/>
            <w:shd w:fill="auto" w:val="clear"/>
            <w:vAlign w:val="bottom"/>
          </w:tcPr>
          <w:p>
            <w:pPr>
              <w:pStyle w:val="TableContents"/>
              <w:spacing w:before="0" w:after="283"/>
              <w:jc w:val="right"/>
              <w:rPr>
                <w:rFonts w:ascii="times" w:hAnsi="times"/>
                <w:sz w:val="14"/>
              </w:rPr>
            </w:pPr>
            <w:r>
              <w:rPr>
                <w:rFonts w:ascii="times" w:hAnsi="times"/>
                <w:sz w:val="14"/>
              </w:rPr>
              <w:t>2007</w:t>
            </w:r>
          </w:p>
        </w:tc>
        <w:tc>
          <w:tcPr>
            <w:tcW w:w="217" w:type="dxa"/>
            <w:tcBorders/>
            <w:shd w:fill="auto" w:val="clear"/>
            <w:vAlign w:val="bottom"/>
          </w:tcPr>
          <w:p>
            <w:pPr>
              <w:pStyle w:val="TableContents"/>
              <w:spacing w:before="0" w:after="283"/>
              <w:rPr/>
            </w:pPr>
            <w:r>
              <w:rPr/>
              <w:t> </w:t>
            </w:r>
          </w:p>
        </w:tc>
        <w:tc>
          <w:tcPr>
            <w:tcW w:w="109" w:type="dxa"/>
            <w:tcBorders/>
            <w:shd w:fill="auto" w:val="clear"/>
            <w:vAlign w:val="bottom"/>
          </w:tcPr>
          <w:p>
            <w:pPr>
              <w:pStyle w:val="TableContents"/>
              <w:spacing w:before="0" w:after="283"/>
              <w:rPr/>
            </w:pPr>
            <w:r>
              <w:rPr/>
              <w:t> </w:t>
            </w:r>
          </w:p>
        </w:tc>
        <w:tc>
          <w:tcPr>
            <w:tcW w:w="670" w:type="dxa"/>
            <w:tcBorders/>
            <w:shd w:fill="auto" w:val="clear"/>
            <w:vAlign w:val="bottom"/>
          </w:tcPr>
          <w:p>
            <w:pPr>
              <w:pStyle w:val="TableContents"/>
              <w:spacing w:before="0" w:after="283"/>
              <w:jc w:val="right"/>
              <w:rPr>
                <w:rFonts w:ascii="times" w:hAnsi="times"/>
                <w:sz w:val="14"/>
              </w:rPr>
            </w:pPr>
            <w:r>
              <w:rPr>
                <w:rFonts w:ascii="times" w:hAnsi="times"/>
                <w:sz w:val="14"/>
              </w:rPr>
              <w:t>145,000</w:t>
            </w:r>
          </w:p>
        </w:tc>
        <w:tc>
          <w:tcPr>
            <w:tcW w:w="217" w:type="dxa"/>
            <w:tcBorders/>
            <w:shd w:fill="auto" w:val="clear"/>
            <w:vAlign w:val="bottom"/>
          </w:tcPr>
          <w:p>
            <w:pPr>
              <w:pStyle w:val="TableContents"/>
              <w:spacing w:before="0" w:after="283"/>
              <w:rPr/>
            </w:pPr>
            <w:r>
              <w:rPr/>
              <w:t> </w:t>
            </w:r>
          </w:p>
        </w:tc>
        <w:tc>
          <w:tcPr>
            <w:tcW w:w="1359" w:type="dxa"/>
            <w:tcBorders/>
            <w:shd w:fill="auto" w:val="clear"/>
            <w:vAlign w:val="bottom"/>
          </w:tcPr>
          <w:p>
            <w:pPr>
              <w:pStyle w:val="TableContents"/>
              <w:spacing w:before="0" w:after="283"/>
              <w:jc w:val="right"/>
              <w:rPr>
                <w:rFonts w:ascii="times" w:hAnsi="times"/>
                <w:sz w:val="14"/>
              </w:rPr>
            </w:pPr>
            <w:r>
              <w:rPr>
                <w:rFonts w:ascii="times" w:hAnsi="times"/>
                <w:sz w:val="14"/>
              </w:rPr>
              <w:t>Spot Market</w:t>
            </w:r>
          </w:p>
        </w:tc>
        <w:tc>
          <w:tcPr>
            <w:tcW w:w="218" w:type="dxa"/>
            <w:tcBorders/>
            <w:shd w:fill="auto" w:val="clear"/>
            <w:vAlign w:val="bottom"/>
          </w:tcPr>
          <w:p>
            <w:pPr>
              <w:pStyle w:val="TableContents"/>
              <w:spacing w:before="0" w:after="283"/>
              <w:rPr/>
            </w:pPr>
            <w:r>
              <w:rPr/>
              <w:t> </w:t>
            </w:r>
          </w:p>
        </w:tc>
        <w:tc>
          <w:tcPr>
            <w:tcW w:w="833" w:type="dxa"/>
            <w:tcBorders/>
            <w:shd w:fill="auto" w:val="clear"/>
            <w:vAlign w:val="bottom"/>
          </w:tcPr>
          <w:p>
            <w:pPr>
              <w:pStyle w:val="TableContents"/>
              <w:spacing w:before="0" w:after="283"/>
              <w:jc w:val="right"/>
              <w:rPr>
                <w:rFonts w:ascii="times" w:hAnsi="times"/>
                <w:sz w:val="14"/>
              </w:rPr>
            </w:pPr>
            <w:r>
              <w:rPr>
                <w:rFonts w:ascii="times" w:hAnsi="times"/>
                <w:sz w:val="14"/>
              </w:rPr>
              <w:t>Steam</w:t>
            </w:r>
          </w:p>
        </w:tc>
        <w:tc>
          <w:tcPr>
            <w:tcW w:w="217" w:type="dxa"/>
            <w:tcBorders/>
            <w:shd w:fill="auto" w:val="clear"/>
            <w:vAlign w:val="bottom"/>
          </w:tcPr>
          <w:p>
            <w:pPr>
              <w:pStyle w:val="TableContents"/>
              <w:spacing w:before="0" w:after="283"/>
              <w:rPr/>
            </w:pPr>
            <w:r>
              <w:rPr/>
              <w:t> </w:t>
            </w:r>
          </w:p>
        </w:tc>
        <w:tc>
          <w:tcPr>
            <w:tcW w:w="1341" w:type="dxa"/>
            <w:tcBorders/>
            <w:shd w:fill="auto" w:val="clear"/>
            <w:vAlign w:val="bottom"/>
          </w:tcPr>
          <w:p>
            <w:pPr>
              <w:pStyle w:val="TableContents"/>
              <w:spacing w:before="0" w:after="283"/>
              <w:jc w:val="right"/>
              <w:rPr>
                <w:rFonts w:ascii="times" w:hAnsi="times"/>
                <w:sz w:val="14"/>
              </w:rPr>
            </w:pPr>
            <w:r>
              <w:rPr>
                <w:rFonts w:ascii="times" w:hAnsi="times"/>
                <w:sz w:val="14"/>
              </w:rPr>
              <w:t></w:t>
            </w:r>
          </w:p>
        </w:tc>
        <w:tc>
          <w:tcPr>
            <w:tcW w:w="217" w:type="dxa"/>
            <w:tcBorders/>
            <w:shd w:fill="auto" w:val="clear"/>
            <w:vAlign w:val="bottom"/>
          </w:tcPr>
          <w:p>
            <w:pPr>
              <w:pStyle w:val="TableContents"/>
              <w:spacing w:before="0" w:after="283"/>
              <w:rPr/>
            </w:pPr>
            <w:r>
              <w:rPr/>
              <w:t> </w:t>
            </w:r>
          </w:p>
        </w:tc>
        <w:tc>
          <w:tcPr>
            <w:tcW w:w="109" w:type="dxa"/>
            <w:tcBorders/>
            <w:shd w:fill="auto" w:val="clear"/>
            <w:vAlign w:val="bottom"/>
          </w:tcPr>
          <w:p>
            <w:pPr>
              <w:pStyle w:val="TableContents"/>
              <w:spacing w:before="0" w:after="283"/>
              <w:rPr/>
            </w:pPr>
            <w:r>
              <w:rPr/>
              <w:t> </w:t>
            </w:r>
          </w:p>
        </w:tc>
        <w:tc>
          <w:tcPr>
            <w:tcW w:w="996" w:type="dxa"/>
            <w:tcBorders/>
            <w:shd w:fill="auto" w:val="clear"/>
            <w:vAlign w:val="bottom"/>
          </w:tcPr>
          <w:p>
            <w:pPr>
              <w:pStyle w:val="TableContents"/>
              <w:spacing w:before="0" w:after="283"/>
              <w:jc w:val="right"/>
              <w:rPr>
                <w:rFonts w:ascii="times" w:hAnsi="times"/>
                <w:sz w:val="14"/>
              </w:rPr>
            </w:pPr>
            <w:r>
              <w:rPr>
                <w:rFonts w:ascii="times" w:hAnsi="times"/>
                <w:sz w:val="14"/>
              </w:rPr>
              <w:t></w:t>
            </w:r>
          </w:p>
        </w:tc>
        <w:tc>
          <w:tcPr>
            <w:tcW w:w="218" w:type="dxa"/>
            <w:tcBorders/>
            <w:shd w:fill="auto" w:val="clear"/>
            <w:vAlign w:val="bottom"/>
          </w:tcPr>
          <w:p>
            <w:pPr>
              <w:pStyle w:val="TableContents"/>
              <w:spacing w:before="0" w:after="283"/>
              <w:rPr/>
            </w:pPr>
            <w:r>
              <w:rPr/>
              <w:t> </w:t>
            </w:r>
          </w:p>
        </w:tc>
      </w:tr>
      <w:tr>
        <w:trPr/>
        <w:tc>
          <w:tcPr>
            <w:tcW w:w="253" w:type="dxa"/>
            <w:tcBorders/>
            <w:shd w:fill="auto" w:val="clear"/>
          </w:tcPr>
          <w:p>
            <w:pPr>
              <w:pStyle w:val="TableContents"/>
              <w:spacing w:before="0" w:after="283"/>
              <w:rPr>
                <w:rFonts w:ascii="times" w:hAnsi="times"/>
                <w:b/>
                <w:sz w:val="14"/>
              </w:rPr>
            </w:pPr>
            <w:r>
              <w:rPr>
                <w:rFonts w:ascii="times" w:hAnsi="times"/>
                <w:b/>
                <w:sz w:val="14"/>
              </w:rPr>
              <w:t>3</w:t>
            </w:r>
          </w:p>
        </w:tc>
        <w:tc>
          <w:tcPr>
            <w:tcW w:w="217" w:type="dxa"/>
            <w:tcBorders/>
            <w:shd w:fill="auto" w:val="clear"/>
          </w:tcPr>
          <w:p>
            <w:pPr>
              <w:pStyle w:val="TableContents"/>
              <w:spacing w:before="0" w:after="283"/>
              <w:rPr/>
            </w:pPr>
            <w:r>
              <w:rPr/>
              <w:t> </w:t>
            </w:r>
          </w:p>
        </w:tc>
        <w:tc>
          <w:tcPr>
            <w:tcW w:w="1872" w:type="dxa"/>
            <w:tcBorders/>
            <w:shd w:fill="auto" w:val="clear"/>
          </w:tcPr>
          <w:p>
            <w:pPr>
              <w:pStyle w:val="TableContents"/>
              <w:spacing w:before="0" w:after="283"/>
              <w:rPr>
                <w:rFonts w:ascii="times" w:hAnsi="times"/>
                <w:i/>
                <w:sz w:val="14"/>
              </w:rPr>
            </w:pPr>
            <w:r>
              <w:rPr>
                <w:rFonts w:ascii="times" w:hAnsi="times"/>
                <w:i/>
                <w:sz w:val="14"/>
              </w:rPr>
              <w:t>GasLog Sydney</w:t>
            </w:r>
          </w:p>
        </w:tc>
        <w:tc>
          <w:tcPr>
            <w:tcW w:w="218" w:type="dxa"/>
            <w:tcBorders/>
            <w:shd w:fill="auto" w:val="clear"/>
          </w:tcPr>
          <w:p>
            <w:pPr>
              <w:pStyle w:val="TableContents"/>
              <w:spacing w:before="0" w:after="283"/>
              <w:rPr/>
            </w:pPr>
            <w:r>
              <w:rPr/>
              <w:t> </w:t>
            </w:r>
          </w:p>
        </w:tc>
        <w:tc>
          <w:tcPr>
            <w:tcW w:w="108" w:type="dxa"/>
            <w:tcBorders/>
            <w:shd w:fill="auto" w:val="clear"/>
            <w:vAlign w:val="bottom"/>
          </w:tcPr>
          <w:p>
            <w:pPr>
              <w:pStyle w:val="TableContents"/>
              <w:spacing w:before="0" w:after="283"/>
              <w:rPr/>
            </w:pPr>
            <w:r>
              <w:rPr/>
              <w:t> </w:t>
            </w:r>
          </w:p>
        </w:tc>
        <w:tc>
          <w:tcPr>
            <w:tcW w:w="816" w:type="dxa"/>
            <w:tcBorders/>
            <w:shd w:fill="auto" w:val="clear"/>
            <w:vAlign w:val="bottom"/>
          </w:tcPr>
          <w:p>
            <w:pPr>
              <w:pStyle w:val="TableContents"/>
              <w:spacing w:before="0" w:after="283"/>
              <w:jc w:val="right"/>
              <w:rPr>
                <w:rFonts w:ascii="times" w:hAnsi="times"/>
                <w:sz w:val="14"/>
              </w:rPr>
            </w:pPr>
            <w:r>
              <w:rPr>
                <w:rFonts w:ascii="times" w:hAnsi="times"/>
                <w:sz w:val="14"/>
              </w:rPr>
              <w:t>2013</w:t>
            </w:r>
          </w:p>
        </w:tc>
        <w:tc>
          <w:tcPr>
            <w:tcW w:w="217" w:type="dxa"/>
            <w:tcBorders/>
            <w:shd w:fill="auto" w:val="clear"/>
            <w:vAlign w:val="bottom"/>
          </w:tcPr>
          <w:p>
            <w:pPr>
              <w:pStyle w:val="TableContents"/>
              <w:spacing w:before="0" w:after="283"/>
              <w:rPr/>
            </w:pPr>
            <w:r>
              <w:rPr/>
              <w:t> </w:t>
            </w:r>
          </w:p>
        </w:tc>
        <w:tc>
          <w:tcPr>
            <w:tcW w:w="109" w:type="dxa"/>
            <w:tcBorders/>
            <w:shd w:fill="auto" w:val="clear"/>
            <w:vAlign w:val="bottom"/>
          </w:tcPr>
          <w:p>
            <w:pPr>
              <w:pStyle w:val="TableContents"/>
              <w:spacing w:before="0" w:after="283"/>
              <w:rPr/>
            </w:pPr>
            <w:r>
              <w:rPr/>
              <w:t> </w:t>
            </w:r>
          </w:p>
        </w:tc>
        <w:tc>
          <w:tcPr>
            <w:tcW w:w="670" w:type="dxa"/>
            <w:tcBorders/>
            <w:shd w:fill="auto" w:val="clear"/>
            <w:vAlign w:val="bottom"/>
          </w:tcPr>
          <w:p>
            <w:pPr>
              <w:pStyle w:val="TableContents"/>
              <w:spacing w:before="0" w:after="283"/>
              <w:jc w:val="right"/>
              <w:rPr>
                <w:rFonts w:ascii="times" w:hAnsi="times"/>
                <w:sz w:val="14"/>
              </w:rPr>
            </w:pPr>
            <w:r>
              <w:rPr>
                <w:rFonts w:ascii="times" w:hAnsi="times"/>
                <w:sz w:val="14"/>
              </w:rPr>
              <w:t>155,000</w:t>
            </w:r>
          </w:p>
        </w:tc>
        <w:tc>
          <w:tcPr>
            <w:tcW w:w="217" w:type="dxa"/>
            <w:tcBorders/>
            <w:shd w:fill="auto" w:val="clear"/>
            <w:vAlign w:val="bottom"/>
          </w:tcPr>
          <w:p>
            <w:pPr>
              <w:pStyle w:val="TableContents"/>
              <w:spacing w:before="0" w:after="283"/>
              <w:rPr/>
            </w:pPr>
            <w:r>
              <w:rPr/>
              <w:t> </w:t>
            </w:r>
          </w:p>
        </w:tc>
        <w:tc>
          <w:tcPr>
            <w:tcW w:w="1359" w:type="dxa"/>
            <w:tcBorders/>
            <w:shd w:fill="auto" w:val="clear"/>
            <w:vAlign w:val="bottom"/>
          </w:tcPr>
          <w:p>
            <w:pPr>
              <w:pStyle w:val="TableContents"/>
              <w:spacing w:before="0" w:after="283"/>
              <w:jc w:val="right"/>
              <w:rPr>
                <w:rFonts w:ascii="times" w:hAnsi="times"/>
                <w:sz w:val="14"/>
              </w:rPr>
            </w:pPr>
            <w:r>
              <w:rPr>
                <w:rFonts w:ascii="times" w:hAnsi="times"/>
                <w:sz w:val="14"/>
              </w:rPr>
              <w:t>Spot Market</w:t>
            </w:r>
          </w:p>
        </w:tc>
        <w:tc>
          <w:tcPr>
            <w:tcW w:w="218" w:type="dxa"/>
            <w:tcBorders/>
            <w:shd w:fill="auto" w:val="clear"/>
            <w:vAlign w:val="bottom"/>
          </w:tcPr>
          <w:p>
            <w:pPr>
              <w:pStyle w:val="TableContents"/>
              <w:spacing w:before="0" w:after="283"/>
              <w:rPr/>
            </w:pPr>
            <w:r>
              <w:rPr/>
              <w:t> </w:t>
            </w:r>
          </w:p>
        </w:tc>
        <w:tc>
          <w:tcPr>
            <w:tcW w:w="833" w:type="dxa"/>
            <w:tcBorders/>
            <w:shd w:fill="auto" w:val="clear"/>
            <w:vAlign w:val="bottom"/>
          </w:tcPr>
          <w:p>
            <w:pPr>
              <w:pStyle w:val="TableContents"/>
              <w:spacing w:before="0" w:after="283"/>
              <w:jc w:val="right"/>
              <w:rPr>
                <w:rFonts w:ascii="times" w:hAnsi="times"/>
                <w:sz w:val="14"/>
              </w:rPr>
            </w:pPr>
            <w:r>
              <w:rPr>
                <w:rFonts w:ascii="times" w:hAnsi="times"/>
                <w:sz w:val="14"/>
              </w:rPr>
              <w:t>TFDE</w:t>
            </w:r>
          </w:p>
        </w:tc>
        <w:tc>
          <w:tcPr>
            <w:tcW w:w="217" w:type="dxa"/>
            <w:tcBorders/>
            <w:shd w:fill="auto" w:val="clear"/>
            <w:vAlign w:val="bottom"/>
          </w:tcPr>
          <w:p>
            <w:pPr>
              <w:pStyle w:val="TableContents"/>
              <w:spacing w:before="0" w:after="283"/>
              <w:rPr/>
            </w:pPr>
            <w:r>
              <w:rPr/>
              <w:t> </w:t>
            </w:r>
          </w:p>
        </w:tc>
        <w:tc>
          <w:tcPr>
            <w:tcW w:w="1341" w:type="dxa"/>
            <w:tcBorders/>
            <w:shd w:fill="auto" w:val="clear"/>
            <w:vAlign w:val="bottom"/>
          </w:tcPr>
          <w:p>
            <w:pPr>
              <w:pStyle w:val="TableContents"/>
              <w:spacing w:before="0" w:after="283"/>
              <w:jc w:val="right"/>
              <w:rPr>
                <w:rFonts w:ascii="times" w:hAnsi="times"/>
                <w:sz w:val="14"/>
              </w:rPr>
            </w:pPr>
            <w:r>
              <w:rPr>
                <w:rFonts w:ascii="times" w:hAnsi="times"/>
                <w:sz w:val="14"/>
              </w:rPr>
              <w:t></w:t>
            </w:r>
          </w:p>
        </w:tc>
        <w:tc>
          <w:tcPr>
            <w:tcW w:w="217" w:type="dxa"/>
            <w:tcBorders/>
            <w:shd w:fill="auto" w:val="clear"/>
            <w:vAlign w:val="bottom"/>
          </w:tcPr>
          <w:p>
            <w:pPr>
              <w:pStyle w:val="TableContents"/>
              <w:spacing w:before="0" w:after="283"/>
              <w:rPr/>
            </w:pPr>
            <w:r>
              <w:rPr/>
              <w:t> </w:t>
            </w:r>
          </w:p>
        </w:tc>
        <w:tc>
          <w:tcPr>
            <w:tcW w:w="109" w:type="dxa"/>
            <w:tcBorders/>
            <w:shd w:fill="auto" w:val="clear"/>
            <w:vAlign w:val="bottom"/>
          </w:tcPr>
          <w:p>
            <w:pPr>
              <w:pStyle w:val="TableContents"/>
              <w:spacing w:before="0" w:after="283"/>
              <w:rPr/>
            </w:pPr>
            <w:r>
              <w:rPr/>
              <w:t> </w:t>
            </w:r>
          </w:p>
        </w:tc>
        <w:tc>
          <w:tcPr>
            <w:tcW w:w="996" w:type="dxa"/>
            <w:tcBorders/>
            <w:shd w:fill="auto" w:val="clear"/>
            <w:vAlign w:val="bottom"/>
          </w:tcPr>
          <w:p>
            <w:pPr>
              <w:pStyle w:val="TableContents"/>
              <w:spacing w:before="0" w:after="283"/>
              <w:jc w:val="right"/>
              <w:rPr>
                <w:rFonts w:ascii="times" w:hAnsi="times"/>
                <w:sz w:val="14"/>
              </w:rPr>
            </w:pPr>
            <w:r>
              <w:rPr>
                <w:rFonts w:ascii="times" w:hAnsi="times"/>
                <w:sz w:val="14"/>
              </w:rPr>
              <w:t></w:t>
            </w:r>
          </w:p>
        </w:tc>
        <w:tc>
          <w:tcPr>
            <w:tcW w:w="218" w:type="dxa"/>
            <w:tcBorders/>
            <w:shd w:fill="auto" w:val="clear"/>
            <w:vAlign w:val="bottom"/>
          </w:tcPr>
          <w:p>
            <w:pPr>
              <w:pStyle w:val="TableContents"/>
              <w:spacing w:before="0" w:after="283"/>
              <w:rPr/>
            </w:pPr>
            <w:r>
              <w:rPr/>
              <w:t> </w:t>
            </w:r>
          </w:p>
        </w:tc>
      </w:tr>
      <w:tr>
        <w:trPr/>
        <w:tc>
          <w:tcPr>
            <w:tcW w:w="253" w:type="dxa"/>
            <w:tcBorders/>
            <w:shd w:fill="auto" w:val="clear"/>
          </w:tcPr>
          <w:p>
            <w:pPr>
              <w:pStyle w:val="TableContents"/>
              <w:spacing w:before="0" w:after="283"/>
              <w:rPr>
                <w:rFonts w:ascii="times" w:hAnsi="times"/>
                <w:b/>
                <w:sz w:val="14"/>
              </w:rPr>
            </w:pPr>
            <w:r>
              <w:rPr>
                <w:rFonts w:ascii="times" w:hAnsi="times"/>
                <w:b/>
                <w:sz w:val="14"/>
              </w:rPr>
              <w:t>4</w:t>
            </w:r>
          </w:p>
        </w:tc>
        <w:tc>
          <w:tcPr>
            <w:tcW w:w="217" w:type="dxa"/>
            <w:tcBorders/>
            <w:shd w:fill="auto" w:val="clear"/>
          </w:tcPr>
          <w:p>
            <w:pPr>
              <w:pStyle w:val="TableContents"/>
              <w:spacing w:before="0" w:after="283"/>
              <w:rPr/>
            </w:pPr>
            <w:r>
              <w:rPr/>
              <w:t> </w:t>
            </w:r>
          </w:p>
        </w:tc>
        <w:tc>
          <w:tcPr>
            <w:tcW w:w="1872" w:type="dxa"/>
            <w:tcBorders/>
            <w:shd w:fill="auto" w:val="clear"/>
          </w:tcPr>
          <w:p>
            <w:pPr>
              <w:pStyle w:val="TableContents"/>
              <w:spacing w:before="0" w:after="283"/>
              <w:rPr>
                <w:rFonts w:ascii="times" w:hAnsi="times"/>
                <w:i/>
                <w:sz w:val="14"/>
              </w:rPr>
            </w:pPr>
            <w:r>
              <w:rPr>
                <w:rFonts w:ascii="times" w:hAnsi="times"/>
                <w:i/>
                <w:sz w:val="14"/>
              </w:rPr>
              <w:t>GasLog Seattle</w:t>
            </w:r>
          </w:p>
        </w:tc>
        <w:tc>
          <w:tcPr>
            <w:tcW w:w="218" w:type="dxa"/>
            <w:tcBorders/>
            <w:shd w:fill="auto" w:val="clear"/>
          </w:tcPr>
          <w:p>
            <w:pPr>
              <w:pStyle w:val="TableContents"/>
              <w:spacing w:before="0" w:after="283"/>
              <w:rPr/>
            </w:pPr>
            <w:r>
              <w:rPr/>
              <w:t> </w:t>
            </w:r>
          </w:p>
        </w:tc>
        <w:tc>
          <w:tcPr>
            <w:tcW w:w="108" w:type="dxa"/>
            <w:tcBorders/>
            <w:shd w:fill="auto" w:val="clear"/>
            <w:vAlign w:val="bottom"/>
          </w:tcPr>
          <w:p>
            <w:pPr>
              <w:pStyle w:val="TableContents"/>
              <w:spacing w:before="0" w:after="283"/>
              <w:rPr/>
            </w:pPr>
            <w:r>
              <w:rPr/>
              <w:t> </w:t>
            </w:r>
          </w:p>
        </w:tc>
        <w:tc>
          <w:tcPr>
            <w:tcW w:w="816" w:type="dxa"/>
            <w:tcBorders/>
            <w:shd w:fill="auto" w:val="clear"/>
            <w:vAlign w:val="bottom"/>
          </w:tcPr>
          <w:p>
            <w:pPr>
              <w:pStyle w:val="TableContents"/>
              <w:spacing w:before="0" w:after="283"/>
              <w:jc w:val="right"/>
              <w:rPr>
                <w:rFonts w:ascii="times" w:hAnsi="times"/>
                <w:sz w:val="14"/>
              </w:rPr>
            </w:pPr>
            <w:r>
              <w:rPr>
                <w:rFonts w:ascii="times" w:hAnsi="times"/>
                <w:sz w:val="14"/>
              </w:rPr>
              <w:t>2013</w:t>
            </w:r>
          </w:p>
        </w:tc>
        <w:tc>
          <w:tcPr>
            <w:tcW w:w="217" w:type="dxa"/>
            <w:tcBorders/>
            <w:shd w:fill="auto" w:val="clear"/>
            <w:vAlign w:val="bottom"/>
          </w:tcPr>
          <w:p>
            <w:pPr>
              <w:pStyle w:val="TableContents"/>
              <w:spacing w:before="0" w:after="283"/>
              <w:rPr/>
            </w:pPr>
            <w:r>
              <w:rPr/>
              <w:t> </w:t>
            </w:r>
          </w:p>
        </w:tc>
        <w:tc>
          <w:tcPr>
            <w:tcW w:w="109" w:type="dxa"/>
            <w:tcBorders/>
            <w:shd w:fill="auto" w:val="clear"/>
            <w:vAlign w:val="bottom"/>
          </w:tcPr>
          <w:p>
            <w:pPr>
              <w:pStyle w:val="TableContents"/>
              <w:spacing w:before="0" w:after="283"/>
              <w:rPr/>
            </w:pPr>
            <w:r>
              <w:rPr/>
              <w:t> </w:t>
            </w:r>
          </w:p>
        </w:tc>
        <w:tc>
          <w:tcPr>
            <w:tcW w:w="670" w:type="dxa"/>
            <w:tcBorders/>
            <w:shd w:fill="auto" w:val="clear"/>
            <w:vAlign w:val="bottom"/>
          </w:tcPr>
          <w:p>
            <w:pPr>
              <w:pStyle w:val="TableContents"/>
              <w:spacing w:before="0" w:after="283"/>
              <w:jc w:val="right"/>
              <w:rPr>
                <w:rFonts w:ascii="times" w:hAnsi="times"/>
                <w:sz w:val="14"/>
              </w:rPr>
            </w:pPr>
            <w:r>
              <w:rPr>
                <w:rFonts w:ascii="times" w:hAnsi="times"/>
                <w:sz w:val="14"/>
              </w:rPr>
              <w:t>155,000</w:t>
            </w:r>
          </w:p>
        </w:tc>
        <w:tc>
          <w:tcPr>
            <w:tcW w:w="217" w:type="dxa"/>
            <w:tcBorders/>
            <w:shd w:fill="auto" w:val="clear"/>
            <w:vAlign w:val="bottom"/>
          </w:tcPr>
          <w:p>
            <w:pPr>
              <w:pStyle w:val="TableContents"/>
              <w:spacing w:before="0" w:after="283"/>
              <w:rPr/>
            </w:pPr>
            <w:r>
              <w:rPr/>
              <w:t> </w:t>
            </w:r>
          </w:p>
        </w:tc>
        <w:tc>
          <w:tcPr>
            <w:tcW w:w="1359" w:type="dxa"/>
            <w:tcBorders/>
            <w:shd w:fill="auto" w:val="clear"/>
            <w:vAlign w:val="bottom"/>
          </w:tcPr>
          <w:p>
            <w:pPr>
              <w:pStyle w:val="TableContents"/>
              <w:spacing w:before="0" w:after="283"/>
              <w:jc w:val="right"/>
              <w:rPr>
                <w:rFonts w:ascii="times" w:hAnsi="times"/>
                <w:sz w:val="14"/>
              </w:rPr>
            </w:pPr>
            <w:r>
              <w:rPr>
                <w:rFonts w:ascii="times" w:hAnsi="times"/>
                <w:sz w:val="14"/>
              </w:rPr>
              <w:t>Shell</w:t>
            </w:r>
          </w:p>
        </w:tc>
        <w:tc>
          <w:tcPr>
            <w:tcW w:w="218" w:type="dxa"/>
            <w:tcBorders/>
            <w:shd w:fill="auto" w:val="clear"/>
            <w:vAlign w:val="bottom"/>
          </w:tcPr>
          <w:p>
            <w:pPr>
              <w:pStyle w:val="TableContents"/>
              <w:spacing w:before="0" w:after="283"/>
              <w:rPr/>
            </w:pPr>
            <w:r>
              <w:rPr/>
              <w:t> </w:t>
            </w:r>
          </w:p>
        </w:tc>
        <w:tc>
          <w:tcPr>
            <w:tcW w:w="833" w:type="dxa"/>
            <w:tcBorders/>
            <w:shd w:fill="auto" w:val="clear"/>
            <w:vAlign w:val="bottom"/>
          </w:tcPr>
          <w:p>
            <w:pPr>
              <w:pStyle w:val="TableContents"/>
              <w:spacing w:before="0" w:after="283"/>
              <w:jc w:val="right"/>
              <w:rPr>
                <w:rFonts w:ascii="times" w:hAnsi="times"/>
                <w:sz w:val="14"/>
              </w:rPr>
            </w:pPr>
            <w:r>
              <w:rPr>
                <w:rFonts w:ascii="times" w:hAnsi="times"/>
                <w:sz w:val="14"/>
              </w:rPr>
              <w:t>TFDE</w:t>
            </w:r>
          </w:p>
        </w:tc>
        <w:tc>
          <w:tcPr>
            <w:tcW w:w="217" w:type="dxa"/>
            <w:tcBorders/>
            <w:shd w:fill="auto" w:val="clear"/>
            <w:vAlign w:val="bottom"/>
          </w:tcPr>
          <w:p>
            <w:pPr>
              <w:pStyle w:val="TableContents"/>
              <w:spacing w:before="0" w:after="283"/>
              <w:rPr/>
            </w:pPr>
            <w:r>
              <w:rPr/>
              <w:t> </w:t>
            </w:r>
          </w:p>
        </w:tc>
        <w:tc>
          <w:tcPr>
            <w:tcW w:w="1341" w:type="dxa"/>
            <w:tcBorders/>
            <w:shd w:fill="auto" w:val="clear"/>
            <w:vAlign w:val="bottom"/>
          </w:tcPr>
          <w:p>
            <w:pPr>
              <w:pStyle w:val="TableContents"/>
              <w:spacing w:before="0" w:after="283"/>
              <w:jc w:val="right"/>
              <w:rPr>
                <w:rFonts w:ascii="times" w:hAnsi="times"/>
                <w:sz w:val="14"/>
              </w:rPr>
            </w:pPr>
            <w:r>
              <w:rPr>
                <w:rFonts w:ascii="times" w:hAnsi="times"/>
                <w:sz w:val="14"/>
              </w:rPr>
              <w:t>June 2021</w:t>
            </w:r>
          </w:p>
        </w:tc>
        <w:tc>
          <w:tcPr>
            <w:tcW w:w="217" w:type="dxa"/>
            <w:tcBorders/>
            <w:shd w:fill="auto" w:val="clear"/>
            <w:vAlign w:val="bottom"/>
          </w:tcPr>
          <w:p>
            <w:pPr>
              <w:pStyle w:val="TableContents"/>
              <w:spacing w:before="0" w:after="283"/>
              <w:rPr/>
            </w:pPr>
            <w:r>
              <w:rPr/>
              <w:t> </w:t>
            </w:r>
          </w:p>
        </w:tc>
        <w:tc>
          <w:tcPr>
            <w:tcW w:w="109" w:type="dxa"/>
            <w:tcBorders/>
            <w:shd w:fill="auto" w:val="clear"/>
            <w:vAlign w:val="bottom"/>
          </w:tcPr>
          <w:p>
            <w:pPr>
              <w:pStyle w:val="TableContents"/>
              <w:spacing w:before="0" w:after="283"/>
              <w:rPr/>
            </w:pPr>
            <w:r>
              <w:rPr/>
              <w:t> </w:t>
            </w:r>
          </w:p>
        </w:tc>
        <w:tc>
          <w:tcPr>
            <w:tcW w:w="996" w:type="dxa"/>
            <w:tcBorders/>
            <w:shd w:fill="auto" w:val="clear"/>
            <w:vAlign w:val="bottom"/>
          </w:tcPr>
          <w:p>
            <w:pPr>
              <w:pStyle w:val="TableContents"/>
              <w:spacing w:before="0" w:after="283"/>
              <w:jc w:val="right"/>
              <w:rPr>
                <w:rFonts w:ascii="times" w:hAnsi="times"/>
                <w:sz w:val="14"/>
              </w:rPr>
            </w:pPr>
            <w:r>
              <w:rPr>
                <w:rFonts w:ascii="times" w:hAnsi="times"/>
                <w:sz w:val="14"/>
              </w:rPr>
              <w:t></w:t>
            </w:r>
          </w:p>
        </w:tc>
        <w:tc>
          <w:tcPr>
            <w:tcW w:w="218" w:type="dxa"/>
            <w:tcBorders/>
            <w:shd w:fill="auto" w:val="clear"/>
            <w:vAlign w:val="bottom"/>
          </w:tcPr>
          <w:p>
            <w:pPr>
              <w:pStyle w:val="TableContents"/>
              <w:spacing w:before="0" w:after="283"/>
              <w:rPr/>
            </w:pPr>
            <w:r>
              <w:rPr/>
              <w:t> </w:t>
            </w:r>
          </w:p>
        </w:tc>
      </w:tr>
      <w:tr>
        <w:trPr/>
        <w:tc>
          <w:tcPr>
            <w:tcW w:w="253" w:type="dxa"/>
            <w:tcBorders/>
            <w:shd w:fill="auto" w:val="clear"/>
          </w:tcPr>
          <w:p>
            <w:pPr>
              <w:pStyle w:val="TableContents"/>
              <w:spacing w:before="0" w:after="283"/>
              <w:rPr>
                <w:rFonts w:ascii="times" w:hAnsi="times"/>
                <w:b/>
                <w:sz w:val="14"/>
              </w:rPr>
            </w:pPr>
            <w:r>
              <w:rPr>
                <w:rFonts w:ascii="times" w:hAnsi="times"/>
                <w:b/>
                <w:sz w:val="14"/>
              </w:rPr>
              <w:t>5</w:t>
            </w:r>
          </w:p>
        </w:tc>
        <w:tc>
          <w:tcPr>
            <w:tcW w:w="217" w:type="dxa"/>
            <w:tcBorders/>
            <w:shd w:fill="auto" w:val="clear"/>
          </w:tcPr>
          <w:p>
            <w:pPr>
              <w:pStyle w:val="TableContents"/>
              <w:spacing w:before="0" w:after="283"/>
              <w:rPr/>
            </w:pPr>
            <w:r>
              <w:rPr/>
              <w:t> </w:t>
            </w:r>
          </w:p>
        </w:tc>
        <w:tc>
          <w:tcPr>
            <w:tcW w:w="1872" w:type="dxa"/>
            <w:tcBorders/>
            <w:shd w:fill="auto" w:val="clear"/>
          </w:tcPr>
          <w:p>
            <w:pPr>
              <w:pStyle w:val="TableContents"/>
              <w:spacing w:before="0" w:after="283"/>
              <w:rPr/>
            </w:pPr>
            <w:r>
              <w:rPr/>
              <w:t>            </w:t>
            </w:r>
            <w:r>
              <w:rPr>
                <w:rFonts w:ascii="times" w:hAnsi="times"/>
                <w:i/>
                <w:sz w:val="14"/>
              </w:rPr>
              <w:t>Solaris</w:t>
            </w:r>
          </w:p>
        </w:tc>
        <w:tc>
          <w:tcPr>
            <w:tcW w:w="218" w:type="dxa"/>
            <w:tcBorders/>
            <w:shd w:fill="auto" w:val="clear"/>
          </w:tcPr>
          <w:p>
            <w:pPr>
              <w:pStyle w:val="TableContents"/>
              <w:spacing w:before="0" w:after="283"/>
              <w:rPr/>
            </w:pPr>
            <w:r>
              <w:rPr/>
              <w:t> </w:t>
            </w:r>
          </w:p>
        </w:tc>
        <w:tc>
          <w:tcPr>
            <w:tcW w:w="108" w:type="dxa"/>
            <w:tcBorders/>
            <w:shd w:fill="auto" w:val="clear"/>
            <w:vAlign w:val="bottom"/>
          </w:tcPr>
          <w:p>
            <w:pPr>
              <w:pStyle w:val="TableContents"/>
              <w:spacing w:before="0" w:after="283"/>
              <w:rPr/>
            </w:pPr>
            <w:r>
              <w:rPr/>
              <w:t> </w:t>
            </w:r>
          </w:p>
        </w:tc>
        <w:tc>
          <w:tcPr>
            <w:tcW w:w="816" w:type="dxa"/>
            <w:tcBorders/>
            <w:shd w:fill="auto" w:val="clear"/>
            <w:vAlign w:val="bottom"/>
          </w:tcPr>
          <w:p>
            <w:pPr>
              <w:pStyle w:val="TableContents"/>
              <w:spacing w:before="0" w:after="283"/>
              <w:jc w:val="right"/>
              <w:rPr>
                <w:rFonts w:ascii="times" w:hAnsi="times"/>
                <w:sz w:val="14"/>
              </w:rPr>
            </w:pPr>
            <w:r>
              <w:rPr>
                <w:rFonts w:ascii="times" w:hAnsi="times"/>
                <w:sz w:val="14"/>
              </w:rPr>
              <w:t>2014</w:t>
            </w:r>
          </w:p>
        </w:tc>
        <w:tc>
          <w:tcPr>
            <w:tcW w:w="217" w:type="dxa"/>
            <w:tcBorders/>
            <w:shd w:fill="auto" w:val="clear"/>
            <w:vAlign w:val="bottom"/>
          </w:tcPr>
          <w:p>
            <w:pPr>
              <w:pStyle w:val="TableContents"/>
              <w:spacing w:before="0" w:after="283"/>
              <w:rPr/>
            </w:pPr>
            <w:r>
              <w:rPr/>
              <w:t> </w:t>
            </w:r>
          </w:p>
        </w:tc>
        <w:tc>
          <w:tcPr>
            <w:tcW w:w="109" w:type="dxa"/>
            <w:tcBorders/>
            <w:shd w:fill="auto" w:val="clear"/>
            <w:vAlign w:val="bottom"/>
          </w:tcPr>
          <w:p>
            <w:pPr>
              <w:pStyle w:val="TableContents"/>
              <w:spacing w:before="0" w:after="283"/>
              <w:rPr/>
            </w:pPr>
            <w:r>
              <w:rPr/>
              <w:t> </w:t>
            </w:r>
          </w:p>
        </w:tc>
        <w:tc>
          <w:tcPr>
            <w:tcW w:w="670" w:type="dxa"/>
            <w:tcBorders/>
            <w:shd w:fill="auto" w:val="clear"/>
            <w:vAlign w:val="bottom"/>
          </w:tcPr>
          <w:p>
            <w:pPr>
              <w:pStyle w:val="TableContents"/>
              <w:spacing w:before="0" w:after="283"/>
              <w:jc w:val="right"/>
              <w:rPr>
                <w:rFonts w:ascii="times" w:hAnsi="times"/>
                <w:sz w:val="14"/>
              </w:rPr>
            </w:pPr>
            <w:r>
              <w:rPr>
                <w:rFonts w:ascii="times" w:hAnsi="times"/>
                <w:sz w:val="14"/>
              </w:rPr>
              <w:t>155,000</w:t>
            </w:r>
          </w:p>
        </w:tc>
        <w:tc>
          <w:tcPr>
            <w:tcW w:w="217" w:type="dxa"/>
            <w:tcBorders/>
            <w:shd w:fill="auto" w:val="clear"/>
            <w:vAlign w:val="bottom"/>
          </w:tcPr>
          <w:p>
            <w:pPr>
              <w:pStyle w:val="TableContents"/>
              <w:spacing w:before="0" w:after="283"/>
              <w:rPr/>
            </w:pPr>
            <w:r>
              <w:rPr/>
              <w:t> </w:t>
            </w:r>
          </w:p>
        </w:tc>
        <w:tc>
          <w:tcPr>
            <w:tcW w:w="1359" w:type="dxa"/>
            <w:tcBorders/>
            <w:shd w:fill="auto" w:val="clear"/>
            <w:vAlign w:val="bottom"/>
          </w:tcPr>
          <w:p>
            <w:pPr>
              <w:pStyle w:val="TableContents"/>
              <w:spacing w:before="0" w:after="283"/>
              <w:jc w:val="right"/>
              <w:rPr>
                <w:rFonts w:ascii="times" w:hAnsi="times"/>
                <w:sz w:val="14"/>
              </w:rPr>
            </w:pPr>
            <w:r>
              <w:rPr>
                <w:rFonts w:ascii="times" w:hAnsi="times"/>
                <w:sz w:val="14"/>
              </w:rPr>
              <w:t>Shell</w:t>
            </w:r>
          </w:p>
        </w:tc>
        <w:tc>
          <w:tcPr>
            <w:tcW w:w="218" w:type="dxa"/>
            <w:tcBorders/>
            <w:shd w:fill="auto" w:val="clear"/>
            <w:vAlign w:val="bottom"/>
          </w:tcPr>
          <w:p>
            <w:pPr>
              <w:pStyle w:val="TableContents"/>
              <w:spacing w:before="0" w:after="283"/>
              <w:rPr/>
            </w:pPr>
            <w:r>
              <w:rPr/>
              <w:t> </w:t>
            </w:r>
          </w:p>
        </w:tc>
        <w:tc>
          <w:tcPr>
            <w:tcW w:w="833" w:type="dxa"/>
            <w:tcBorders/>
            <w:shd w:fill="auto" w:val="clear"/>
            <w:vAlign w:val="bottom"/>
          </w:tcPr>
          <w:p>
            <w:pPr>
              <w:pStyle w:val="TableContents"/>
              <w:spacing w:before="0" w:after="283"/>
              <w:jc w:val="right"/>
              <w:rPr>
                <w:rFonts w:ascii="times" w:hAnsi="times"/>
                <w:sz w:val="14"/>
              </w:rPr>
            </w:pPr>
            <w:r>
              <w:rPr>
                <w:rFonts w:ascii="times" w:hAnsi="times"/>
                <w:sz w:val="14"/>
              </w:rPr>
              <w:t>TFDE</w:t>
            </w:r>
          </w:p>
        </w:tc>
        <w:tc>
          <w:tcPr>
            <w:tcW w:w="217" w:type="dxa"/>
            <w:tcBorders/>
            <w:shd w:fill="auto" w:val="clear"/>
            <w:vAlign w:val="bottom"/>
          </w:tcPr>
          <w:p>
            <w:pPr>
              <w:pStyle w:val="TableContents"/>
              <w:spacing w:before="0" w:after="283"/>
              <w:rPr/>
            </w:pPr>
            <w:r>
              <w:rPr/>
              <w:t> </w:t>
            </w:r>
          </w:p>
        </w:tc>
        <w:tc>
          <w:tcPr>
            <w:tcW w:w="1341" w:type="dxa"/>
            <w:tcBorders/>
            <w:shd w:fill="auto" w:val="clear"/>
            <w:vAlign w:val="bottom"/>
          </w:tcPr>
          <w:p>
            <w:pPr>
              <w:pStyle w:val="TableContents"/>
              <w:spacing w:before="0" w:after="283"/>
              <w:jc w:val="right"/>
              <w:rPr>
                <w:rFonts w:ascii="times" w:hAnsi="times"/>
                <w:sz w:val="14"/>
              </w:rPr>
            </w:pPr>
            <w:r>
              <w:rPr>
                <w:rFonts w:ascii="times" w:hAnsi="times"/>
                <w:sz w:val="14"/>
              </w:rPr>
              <w:t>August 2021</w:t>
            </w:r>
          </w:p>
        </w:tc>
        <w:tc>
          <w:tcPr>
            <w:tcW w:w="217" w:type="dxa"/>
            <w:tcBorders/>
            <w:shd w:fill="auto" w:val="clear"/>
            <w:vAlign w:val="bottom"/>
          </w:tcPr>
          <w:p>
            <w:pPr>
              <w:pStyle w:val="TableContents"/>
              <w:spacing w:before="0" w:after="283"/>
              <w:rPr/>
            </w:pPr>
            <w:r>
              <w:rPr/>
              <w:t> </w:t>
            </w:r>
          </w:p>
        </w:tc>
        <w:tc>
          <w:tcPr>
            <w:tcW w:w="109" w:type="dxa"/>
            <w:tcBorders/>
            <w:shd w:fill="auto" w:val="clear"/>
            <w:vAlign w:val="bottom"/>
          </w:tcPr>
          <w:p>
            <w:pPr>
              <w:pStyle w:val="TableContents"/>
              <w:spacing w:before="0" w:after="283"/>
              <w:rPr/>
            </w:pPr>
            <w:r>
              <w:rPr/>
              <w:t> </w:t>
            </w:r>
          </w:p>
        </w:tc>
        <w:tc>
          <w:tcPr>
            <w:tcW w:w="996" w:type="dxa"/>
            <w:tcBorders/>
            <w:shd w:fill="auto" w:val="clear"/>
            <w:vAlign w:val="bottom"/>
          </w:tcPr>
          <w:p>
            <w:pPr>
              <w:pStyle w:val="TableContents"/>
              <w:spacing w:before="0" w:after="283"/>
              <w:jc w:val="right"/>
              <w:rPr>
                <w:rFonts w:ascii="times" w:hAnsi="times"/>
                <w:sz w:val="14"/>
              </w:rPr>
            </w:pPr>
            <w:r>
              <w:rPr>
                <w:rFonts w:ascii="times" w:hAnsi="times"/>
                <w:sz w:val="14"/>
              </w:rPr>
              <w:t></w:t>
            </w:r>
          </w:p>
        </w:tc>
        <w:tc>
          <w:tcPr>
            <w:tcW w:w="218" w:type="dxa"/>
            <w:tcBorders/>
            <w:shd w:fill="auto" w:val="clear"/>
            <w:vAlign w:val="bottom"/>
          </w:tcPr>
          <w:p>
            <w:pPr>
              <w:pStyle w:val="TableContents"/>
              <w:spacing w:before="0" w:after="283"/>
              <w:rPr/>
            </w:pPr>
            <w:r>
              <w:rPr/>
              <w:t> </w:t>
            </w:r>
          </w:p>
        </w:tc>
      </w:tr>
      <w:tr>
        <w:trPr/>
        <w:tc>
          <w:tcPr>
            <w:tcW w:w="253" w:type="dxa"/>
            <w:tcBorders/>
            <w:shd w:fill="auto" w:val="clear"/>
          </w:tcPr>
          <w:p>
            <w:pPr>
              <w:pStyle w:val="TableContents"/>
              <w:spacing w:before="0" w:after="283"/>
              <w:rPr>
                <w:rFonts w:ascii="times" w:hAnsi="times"/>
                <w:b/>
                <w:sz w:val="14"/>
              </w:rPr>
            </w:pPr>
            <w:r>
              <w:rPr>
                <w:rFonts w:ascii="times" w:hAnsi="times"/>
                <w:b/>
                <w:sz w:val="14"/>
              </w:rPr>
              <w:t>6</w:t>
            </w:r>
          </w:p>
        </w:tc>
        <w:tc>
          <w:tcPr>
            <w:tcW w:w="217" w:type="dxa"/>
            <w:tcBorders/>
            <w:shd w:fill="auto" w:val="clear"/>
          </w:tcPr>
          <w:p>
            <w:pPr>
              <w:pStyle w:val="TableContents"/>
              <w:spacing w:before="0" w:after="283"/>
              <w:rPr/>
            </w:pPr>
            <w:r>
              <w:rPr/>
              <w:t> </w:t>
            </w:r>
          </w:p>
        </w:tc>
        <w:tc>
          <w:tcPr>
            <w:tcW w:w="1872" w:type="dxa"/>
            <w:tcBorders/>
            <w:shd w:fill="auto" w:val="clear"/>
          </w:tcPr>
          <w:p>
            <w:pPr>
              <w:pStyle w:val="TableContents"/>
              <w:spacing w:before="0" w:after="283"/>
              <w:rPr>
                <w:rFonts w:ascii="times" w:hAnsi="times"/>
                <w:i/>
                <w:sz w:val="14"/>
              </w:rPr>
            </w:pPr>
            <w:r>
              <w:rPr>
                <w:rFonts w:ascii="times" w:hAnsi="times"/>
                <w:i/>
                <w:sz w:val="14"/>
              </w:rPr>
              <w:t>GasLog Santiago</w:t>
            </w:r>
          </w:p>
        </w:tc>
        <w:tc>
          <w:tcPr>
            <w:tcW w:w="218" w:type="dxa"/>
            <w:tcBorders/>
            <w:shd w:fill="auto" w:val="clear"/>
          </w:tcPr>
          <w:p>
            <w:pPr>
              <w:pStyle w:val="TableContents"/>
              <w:spacing w:before="0" w:after="283"/>
              <w:rPr/>
            </w:pPr>
            <w:r>
              <w:rPr/>
              <w:t> </w:t>
            </w:r>
          </w:p>
        </w:tc>
        <w:tc>
          <w:tcPr>
            <w:tcW w:w="108" w:type="dxa"/>
            <w:tcBorders/>
            <w:shd w:fill="auto" w:val="clear"/>
            <w:vAlign w:val="bottom"/>
          </w:tcPr>
          <w:p>
            <w:pPr>
              <w:pStyle w:val="TableContents"/>
              <w:spacing w:before="0" w:after="283"/>
              <w:rPr/>
            </w:pPr>
            <w:r>
              <w:rPr/>
              <w:t> </w:t>
            </w:r>
          </w:p>
        </w:tc>
        <w:tc>
          <w:tcPr>
            <w:tcW w:w="816" w:type="dxa"/>
            <w:tcBorders/>
            <w:shd w:fill="auto" w:val="clear"/>
            <w:vAlign w:val="bottom"/>
          </w:tcPr>
          <w:p>
            <w:pPr>
              <w:pStyle w:val="TableContents"/>
              <w:spacing w:before="0" w:after="283"/>
              <w:jc w:val="right"/>
              <w:rPr>
                <w:rFonts w:ascii="times" w:hAnsi="times"/>
                <w:sz w:val="14"/>
              </w:rPr>
            </w:pPr>
            <w:r>
              <w:rPr>
                <w:rFonts w:ascii="times" w:hAnsi="times"/>
                <w:sz w:val="14"/>
              </w:rPr>
              <w:t>2013</w:t>
            </w:r>
          </w:p>
        </w:tc>
        <w:tc>
          <w:tcPr>
            <w:tcW w:w="217" w:type="dxa"/>
            <w:tcBorders/>
            <w:shd w:fill="auto" w:val="clear"/>
            <w:vAlign w:val="bottom"/>
          </w:tcPr>
          <w:p>
            <w:pPr>
              <w:pStyle w:val="TableContents"/>
              <w:spacing w:before="0" w:after="283"/>
              <w:rPr/>
            </w:pPr>
            <w:r>
              <w:rPr/>
              <w:t> </w:t>
            </w:r>
          </w:p>
        </w:tc>
        <w:tc>
          <w:tcPr>
            <w:tcW w:w="109" w:type="dxa"/>
            <w:tcBorders/>
            <w:shd w:fill="auto" w:val="clear"/>
            <w:vAlign w:val="bottom"/>
          </w:tcPr>
          <w:p>
            <w:pPr>
              <w:pStyle w:val="TableContents"/>
              <w:spacing w:before="0" w:after="283"/>
              <w:rPr/>
            </w:pPr>
            <w:r>
              <w:rPr/>
              <w:t> </w:t>
            </w:r>
          </w:p>
        </w:tc>
        <w:tc>
          <w:tcPr>
            <w:tcW w:w="670" w:type="dxa"/>
            <w:tcBorders/>
            <w:shd w:fill="auto" w:val="clear"/>
            <w:vAlign w:val="bottom"/>
          </w:tcPr>
          <w:p>
            <w:pPr>
              <w:pStyle w:val="TableContents"/>
              <w:spacing w:before="0" w:after="283"/>
              <w:jc w:val="right"/>
              <w:rPr>
                <w:rFonts w:ascii="times" w:hAnsi="times"/>
                <w:sz w:val="14"/>
              </w:rPr>
            </w:pPr>
            <w:r>
              <w:rPr>
                <w:rFonts w:ascii="times" w:hAnsi="times"/>
                <w:sz w:val="14"/>
              </w:rPr>
              <w:t>155,000</w:t>
            </w:r>
          </w:p>
        </w:tc>
        <w:tc>
          <w:tcPr>
            <w:tcW w:w="217" w:type="dxa"/>
            <w:tcBorders/>
            <w:shd w:fill="auto" w:val="clear"/>
            <w:vAlign w:val="bottom"/>
          </w:tcPr>
          <w:p>
            <w:pPr>
              <w:pStyle w:val="TableContents"/>
              <w:spacing w:before="0" w:after="283"/>
              <w:rPr/>
            </w:pPr>
            <w:r>
              <w:rPr/>
              <w:t> </w:t>
            </w:r>
          </w:p>
        </w:tc>
        <w:tc>
          <w:tcPr>
            <w:tcW w:w="1359" w:type="dxa"/>
            <w:tcBorders/>
            <w:shd w:fill="auto" w:val="clear"/>
            <w:vAlign w:val="bottom"/>
          </w:tcPr>
          <w:p>
            <w:pPr>
              <w:pStyle w:val="TableContents"/>
              <w:spacing w:before="0" w:after="283"/>
              <w:jc w:val="right"/>
              <w:rPr>
                <w:rFonts w:ascii="times" w:hAnsi="times"/>
                <w:sz w:val="14"/>
              </w:rPr>
            </w:pPr>
            <w:r>
              <w:rPr>
                <w:rFonts w:ascii="times" w:hAnsi="times"/>
                <w:sz w:val="14"/>
              </w:rPr>
              <w:t>Trafigura</w:t>
            </w:r>
          </w:p>
        </w:tc>
        <w:tc>
          <w:tcPr>
            <w:tcW w:w="218" w:type="dxa"/>
            <w:tcBorders/>
            <w:shd w:fill="auto" w:val="clear"/>
            <w:vAlign w:val="bottom"/>
          </w:tcPr>
          <w:p>
            <w:pPr>
              <w:pStyle w:val="TableContents"/>
              <w:spacing w:before="0" w:after="283"/>
              <w:rPr/>
            </w:pPr>
            <w:r>
              <w:rPr/>
              <w:t> </w:t>
            </w:r>
          </w:p>
        </w:tc>
        <w:tc>
          <w:tcPr>
            <w:tcW w:w="833" w:type="dxa"/>
            <w:tcBorders/>
            <w:shd w:fill="auto" w:val="clear"/>
            <w:vAlign w:val="bottom"/>
          </w:tcPr>
          <w:p>
            <w:pPr>
              <w:pStyle w:val="TableContents"/>
              <w:spacing w:before="0" w:after="283"/>
              <w:jc w:val="right"/>
              <w:rPr>
                <w:rFonts w:ascii="times" w:hAnsi="times"/>
                <w:sz w:val="14"/>
              </w:rPr>
            </w:pPr>
            <w:r>
              <w:rPr>
                <w:rFonts w:ascii="times" w:hAnsi="times"/>
                <w:sz w:val="14"/>
              </w:rPr>
              <w:t>TFDE</w:t>
            </w:r>
          </w:p>
        </w:tc>
        <w:tc>
          <w:tcPr>
            <w:tcW w:w="217" w:type="dxa"/>
            <w:tcBorders/>
            <w:shd w:fill="auto" w:val="clear"/>
            <w:vAlign w:val="bottom"/>
          </w:tcPr>
          <w:p>
            <w:pPr>
              <w:pStyle w:val="TableContents"/>
              <w:spacing w:before="0" w:after="283"/>
              <w:rPr/>
            </w:pPr>
            <w:r>
              <w:rPr/>
              <w:t> </w:t>
            </w:r>
          </w:p>
        </w:tc>
        <w:tc>
          <w:tcPr>
            <w:tcW w:w="1341" w:type="dxa"/>
            <w:tcBorders/>
            <w:shd w:fill="auto" w:val="clear"/>
            <w:vAlign w:val="bottom"/>
          </w:tcPr>
          <w:p>
            <w:pPr>
              <w:pStyle w:val="TableContents"/>
              <w:spacing w:before="0" w:after="283"/>
              <w:jc w:val="right"/>
              <w:rPr>
                <w:rFonts w:ascii="times" w:hAnsi="times"/>
                <w:sz w:val="14"/>
              </w:rPr>
            </w:pPr>
            <w:r>
              <w:rPr>
                <w:rFonts w:ascii="times" w:hAnsi="times"/>
                <w:sz w:val="14"/>
              </w:rPr>
              <w:t>December 2021</w:t>
            </w:r>
          </w:p>
        </w:tc>
        <w:tc>
          <w:tcPr>
            <w:tcW w:w="217" w:type="dxa"/>
            <w:tcBorders/>
            <w:shd w:fill="auto" w:val="clear"/>
            <w:vAlign w:val="bottom"/>
          </w:tcPr>
          <w:p>
            <w:pPr>
              <w:pStyle w:val="TableContents"/>
              <w:spacing w:before="0" w:after="283"/>
              <w:rPr/>
            </w:pPr>
            <w:r>
              <w:rPr/>
              <w:t> </w:t>
            </w:r>
          </w:p>
        </w:tc>
        <w:tc>
          <w:tcPr>
            <w:tcW w:w="109" w:type="dxa"/>
            <w:tcBorders/>
            <w:shd w:fill="auto" w:val="clear"/>
            <w:vAlign w:val="bottom"/>
          </w:tcPr>
          <w:p>
            <w:pPr>
              <w:pStyle w:val="TableContents"/>
              <w:spacing w:before="0" w:after="283"/>
              <w:rPr/>
            </w:pPr>
            <w:r>
              <w:rPr/>
              <w:t> </w:t>
            </w:r>
          </w:p>
        </w:tc>
        <w:tc>
          <w:tcPr>
            <w:tcW w:w="996" w:type="dxa"/>
            <w:tcBorders/>
            <w:shd w:fill="auto" w:val="clear"/>
            <w:vAlign w:val="bottom"/>
          </w:tcPr>
          <w:p>
            <w:pPr>
              <w:pStyle w:val="TableContents"/>
              <w:spacing w:before="0" w:after="283"/>
              <w:jc w:val="right"/>
              <w:rPr>
                <w:rFonts w:ascii="times" w:hAnsi="times"/>
                <w:sz w:val="14"/>
              </w:rPr>
            </w:pPr>
            <w:r>
              <w:rPr>
                <w:rFonts w:ascii="times" w:hAnsi="times"/>
                <w:sz w:val="14"/>
              </w:rPr>
              <w:t>2022 - 2028</w:t>
            </w:r>
          </w:p>
        </w:tc>
        <w:tc>
          <w:tcPr>
            <w:tcW w:w="218" w:type="dxa"/>
            <w:tcBorders/>
            <w:shd w:fill="auto" w:val="clear"/>
            <w:vAlign w:val="bottom"/>
          </w:tcPr>
          <w:p>
            <w:pPr>
              <w:pStyle w:val="TableContents"/>
              <w:spacing w:before="0" w:after="283"/>
              <w:rPr>
                <w:rFonts w:ascii="times" w:hAnsi="times"/>
                <w:position w:val="5"/>
                <w:sz w:val="11"/>
                <w:sz w:val="14"/>
              </w:rPr>
            </w:pPr>
            <w:r>
              <w:rPr>
                <w:rFonts w:ascii="times" w:hAnsi="times"/>
                <w:position w:val="5"/>
                <w:sz w:val="11"/>
                <w:sz w:val="14"/>
              </w:rPr>
              <w:t>(1)</w:t>
            </w:r>
          </w:p>
        </w:tc>
      </w:tr>
      <w:tr>
        <w:trPr/>
        <w:tc>
          <w:tcPr>
            <w:tcW w:w="253" w:type="dxa"/>
            <w:tcBorders/>
            <w:shd w:fill="auto" w:val="clear"/>
          </w:tcPr>
          <w:p>
            <w:pPr>
              <w:pStyle w:val="TableContents"/>
              <w:spacing w:before="0" w:after="283"/>
              <w:rPr>
                <w:rFonts w:ascii="times" w:hAnsi="times"/>
                <w:b/>
                <w:sz w:val="14"/>
              </w:rPr>
            </w:pPr>
            <w:r>
              <w:rPr>
                <w:rFonts w:ascii="times" w:hAnsi="times"/>
                <w:b/>
                <w:sz w:val="14"/>
              </w:rPr>
              <w:t>7</w:t>
            </w:r>
          </w:p>
        </w:tc>
        <w:tc>
          <w:tcPr>
            <w:tcW w:w="217" w:type="dxa"/>
            <w:tcBorders/>
            <w:shd w:fill="auto" w:val="clear"/>
          </w:tcPr>
          <w:p>
            <w:pPr>
              <w:pStyle w:val="TableContents"/>
              <w:spacing w:before="0" w:after="283"/>
              <w:rPr/>
            </w:pPr>
            <w:r>
              <w:rPr/>
              <w:t> </w:t>
            </w:r>
          </w:p>
        </w:tc>
        <w:tc>
          <w:tcPr>
            <w:tcW w:w="1872" w:type="dxa"/>
            <w:tcBorders/>
            <w:shd w:fill="auto" w:val="clear"/>
          </w:tcPr>
          <w:p>
            <w:pPr>
              <w:pStyle w:val="TableContents"/>
              <w:spacing w:before="0" w:after="283"/>
              <w:rPr>
                <w:rFonts w:ascii="times" w:hAnsi="times"/>
                <w:i/>
                <w:sz w:val="14"/>
              </w:rPr>
            </w:pPr>
            <w:r>
              <w:rPr>
                <w:rFonts w:ascii="times" w:hAnsi="times"/>
                <w:i/>
                <w:sz w:val="14"/>
              </w:rPr>
              <w:t>Methane Shirley Elisabeth</w:t>
            </w:r>
          </w:p>
        </w:tc>
        <w:tc>
          <w:tcPr>
            <w:tcW w:w="218" w:type="dxa"/>
            <w:tcBorders/>
            <w:shd w:fill="auto" w:val="clear"/>
          </w:tcPr>
          <w:p>
            <w:pPr>
              <w:pStyle w:val="TableContents"/>
              <w:spacing w:before="0" w:after="283"/>
              <w:rPr/>
            </w:pPr>
            <w:r>
              <w:rPr/>
              <w:t> </w:t>
            </w:r>
          </w:p>
        </w:tc>
        <w:tc>
          <w:tcPr>
            <w:tcW w:w="108" w:type="dxa"/>
            <w:tcBorders/>
            <w:shd w:fill="auto" w:val="clear"/>
            <w:vAlign w:val="bottom"/>
          </w:tcPr>
          <w:p>
            <w:pPr>
              <w:pStyle w:val="TableContents"/>
              <w:spacing w:before="0" w:after="283"/>
              <w:rPr/>
            </w:pPr>
            <w:r>
              <w:rPr/>
              <w:t> </w:t>
            </w:r>
          </w:p>
        </w:tc>
        <w:tc>
          <w:tcPr>
            <w:tcW w:w="816" w:type="dxa"/>
            <w:tcBorders/>
            <w:shd w:fill="auto" w:val="clear"/>
            <w:vAlign w:val="bottom"/>
          </w:tcPr>
          <w:p>
            <w:pPr>
              <w:pStyle w:val="TableContents"/>
              <w:spacing w:before="0" w:after="283"/>
              <w:jc w:val="right"/>
              <w:rPr>
                <w:rFonts w:ascii="times" w:hAnsi="times"/>
                <w:sz w:val="14"/>
              </w:rPr>
            </w:pPr>
            <w:r>
              <w:rPr>
                <w:rFonts w:ascii="times" w:hAnsi="times"/>
                <w:sz w:val="14"/>
              </w:rPr>
              <w:t>2007</w:t>
            </w:r>
          </w:p>
        </w:tc>
        <w:tc>
          <w:tcPr>
            <w:tcW w:w="217" w:type="dxa"/>
            <w:tcBorders/>
            <w:shd w:fill="auto" w:val="clear"/>
            <w:vAlign w:val="bottom"/>
          </w:tcPr>
          <w:p>
            <w:pPr>
              <w:pStyle w:val="TableContents"/>
              <w:spacing w:before="0" w:after="283"/>
              <w:rPr/>
            </w:pPr>
            <w:r>
              <w:rPr/>
              <w:t> </w:t>
            </w:r>
          </w:p>
        </w:tc>
        <w:tc>
          <w:tcPr>
            <w:tcW w:w="109" w:type="dxa"/>
            <w:tcBorders/>
            <w:shd w:fill="auto" w:val="clear"/>
            <w:vAlign w:val="bottom"/>
          </w:tcPr>
          <w:p>
            <w:pPr>
              <w:pStyle w:val="TableContents"/>
              <w:spacing w:before="0" w:after="283"/>
              <w:rPr/>
            </w:pPr>
            <w:r>
              <w:rPr/>
              <w:t> </w:t>
            </w:r>
          </w:p>
        </w:tc>
        <w:tc>
          <w:tcPr>
            <w:tcW w:w="670" w:type="dxa"/>
            <w:tcBorders/>
            <w:shd w:fill="auto" w:val="clear"/>
            <w:vAlign w:val="bottom"/>
          </w:tcPr>
          <w:p>
            <w:pPr>
              <w:pStyle w:val="TableContents"/>
              <w:spacing w:before="0" w:after="283"/>
              <w:jc w:val="right"/>
              <w:rPr>
                <w:rFonts w:ascii="times" w:hAnsi="times"/>
                <w:sz w:val="14"/>
              </w:rPr>
            </w:pPr>
            <w:r>
              <w:rPr>
                <w:rFonts w:ascii="times" w:hAnsi="times"/>
                <w:sz w:val="14"/>
              </w:rPr>
              <w:t>145,000</w:t>
            </w:r>
          </w:p>
        </w:tc>
        <w:tc>
          <w:tcPr>
            <w:tcW w:w="217" w:type="dxa"/>
            <w:tcBorders/>
            <w:shd w:fill="auto" w:val="clear"/>
            <w:vAlign w:val="bottom"/>
          </w:tcPr>
          <w:p>
            <w:pPr>
              <w:pStyle w:val="TableContents"/>
              <w:spacing w:before="0" w:after="283"/>
              <w:rPr/>
            </w:pPr>
            <w:r>
              <w:rPr/>
              <w:t> </w:t>
            </w:r>
          </w:p>
        </w:tc>
        <w:tc>
          <w:tcPr>
            <w:tcW w:w="1359" w:type="dxa"/>
            <w:tcBorders/>
            <w:shd w:fill="auto" w:val="clear"/>
            <w:vAlign w:val="bottom"/>
          </w:tcPr>
          <w:p>
            <w:pPr>
              <w:pStyle w:val="TableContents"/>
              <w:spacing w:before="0" w:after="283"/>
              <w:jc w:val="right"/>
              <w:rPr>
                <w:rFonts w:ascii="times" w:hAnsi="times"/>
                <w:sz w:val="14"/>
              </w:rPr>
            </w:pPr>
            <w:r>
              <w:rPr>
                <w:rFonts w:ascii="times" w:hAnsi="times"/>
                <w:sz w:val="14"/>
              </w:rPr>
              <w:t>JOVO</w:t>
            </w:r>
          </w:p>
        </w:tc>
        <w:tc>
          <w:tcPr>
            <w:tcW w:w="218" w:type="dxa"/>
            <w:tcBorders/>
            <w:shd w:fill="auto" w:val="clear"/>
            <w:vAlign w:val="bottom"/>
          </w:tcPr>
          <w:p>
            <w:pPr>
              <w:pStyle w:val="TableContents"/>
              <w:spacing w:before="0" w:after="283"/>
              <w:rPr/>
            </w:pPr>
            <w:r>
              <w:rPr/>
              <w:t> </w:t>
            </w:r>
          </w:p>
        </w:tc>
        <w:tc>
          <w:tcPr>
            <w:tcW w:w="833" w:type="dxa"/>
            <w:tcBorders/>
            <w:shd w:fill="auto" w:val="clear"/>
            <w:vAlign w:val="bottom"/>
          </w:tcPr>
          <w:p>
            <w:pPr>
              <w:pStyle w:val="TableContents"/>
              <w:spacing w:before="0" w:after="283"/>
              <w:jc w:val="right"/>
              <w:rPr>
                <w:rFonts w:ascii="times" w:hAnsi="times"/>
                <w:sz w:val="14"/>
              </w:rPr>
            </w:pPr>
            <w:r>
              <w:rPr>
                <w:rFonts w:ascii="times" w:hAnsi="times"/>
                <w:sz w:val="14"/>
              </w:rPr>
              <w:t>Steam</w:t>
            </w:r>
          </w:p>
        </w:tc>
        <w:tc>
          <w:tcPr>
            <w:tcW w:w="217" w:type="dxa"/>
            <w:tcBorders/>
            <w:shd w:fill="auto" w:val="clear"/>
            <w:vAlign w:val="bottom"/>
          </w:tcPr>
          <w:p>
            <w:pPr>
              <w:pStyle w:val="TableContents"/>
              <w:spacing w:before="0" w:after="283"/>
              <w:rPr/>
            </w:pPr>
            <w:r>
              <w:rPr/>
              <w:t> </w:t>
            </w:r>
          </w:p>
        </w:tc>
        <w:tc>
          <w:tcPr>
            <w:tcW w:w="1341" w:type="dxa"/>
            <w:tcBorders/>
            <w:shd w:fill="auto" w:val="clear"/>
            <w:vAlign w:val="bottom"/>
          </w:tcPr>
          <w:p>
            <w:pPr>
              <w:pStyle w:val="TableContents"/>
              <w:spacing w:before="0" w:after="283"/>
              <w:jc w:val="right"/>
              <w:rPr>
                <w:rFonts w:ascii="times" w:hAnsi="times"/>
                <w:sz w:val="14"/>
              </w:rPr>
            </w:pPr>
            <w:r>
              <w:rPr>
                <w:rFonts w:ascii="times" w:hAnsi="times"/>
                <w:sz w:val="14"/>
              </w:rPr>
              <w:t>August 2022</w:t>
            </w:r>
          </w:p>
        </w:tc>
        <w:tc>
          <w:tcPr>
            <w:tcW w:w="217" w:type="dxa"/>
            <w:tcBorders/>
            <w:shd w:fill="auto" w:val="clear"/>
            <w:vAlign w:val="bottom"/>
          </w:tcPr>
          <w:p>
            <w:pPr>
              <w:pStyle w:val="TableContents"/>
              <w:spacing w:before="0" w:after="283"/>
              <w:rPr/>
            </w:pPr>
            <w:r>
              <w:rPr/>
              <w:t> </w:t>
            </w:r>
          </w:p>
        </w:tc>
        <w:tc>
          <w:tcPr>
            <w:tcW w:w="109" w:type="dxa"/>
            <w:tcBorders/>
            <w:shd w:fill="auto" w:val="clear"/>
            <w:vAlign w:val="bottom"/>
          </w:tcPr>
          <w:p>
            <w:pPr>
              <w:pStyle w:val="TableContents"/>
              <w:spacing w:before="0" w:after="283"/>
              <w:rPr/>
            </w:pPr>
            <w:r>
              <w:rPr/>
              <w:t> </w:t>
            </w:r>
          </w:p>
        </w:tc>
        <w:tc>
          <w:tcPr>
            <w:tcW w:w="996" w:type="dxa"/>
            <w:tcBorders/>
            <w:shd w:fill="auto" w:val="clear"/>
            <w:vAlign w:val="bottom"/>
          </w:tcPr>
          <w:p>
            <w:pPr>
              <w:pStyle w:val="TableContents"/>
              <w:spacing w:before="0" w:after="283"/>
              <w:jc w:val="right"/>
              <w:rPr>
                <w:rFonts w:ascii="times" w:hAnsi="times"/>
                <w:sz w:val="14"/>
              </w:rPr>
            </w:pPr>
            <w:r>
              <w:rPr>
                <w:rFonts w:ascii="times" w:hAnsi="times"/>
                <w:sz w:val="14"/>
              </w:rPr>
              <w:t></w:t>
            </w:r>
          </w:p>
        </w:tc>
        <w:tc>
          <w:tcPr>
            <w:tcW w:w="218" w:type="dxa"/>
            <w:tcBorders/>
            <w:shd w:fill="auto" w:val="clear"/>
            <w:vAlign w:val="bottom"/>
          </w:tcPr>
          <w:p>
            <w:pPr>
              <w:pStyle w:val="TableContents"/>
              <w:spacing w:before="0" w:after="283"/>
              <w:rPr/>
            </w:pPr>
            <w:r>
              <w:rPr/>
              <w:t> </w:t>
            </w:r>
          </w:p>
        </w:tc>
      </w:tr>
      <w:tr>
        <w:trPr/>
        <w:tc>
          <w:tcPr>
            <w:tcW w:w="253" w:type="dxa"/>
            <w:tcBorders/>
            <w:shd w:fill="auto" w:val="clear"/>
          </w:tcPr>
          <w:p>
            <w:pPr>
              <w:pStyle w:val="TableContents"/>
              <w:spacing w:before="0" w:after="283"/>
              <w:rPr>
                <w:rFonts w:ascii="times" w:hAnsi="times"/>
                <w:b/>
                <w:sz w:val="14"/>
              </w:rPr>
            </w:pPr>
            <w:r>
              <w:rPr>
                <w:rFonts w:ascii="times" w:hAnsi="times"/>
                <w:b/>
                <w:sz w:val="14"/>
              </w:rPr>
              <w:t>8</w:t>
            </w:r>
          </w:p>
        </w:tc>
        <w:tc>
          <w:tcPr>
            <w:tcW w:w="217" w:type="dxa"/>
            <w:tcBorders/>
            <w:shd w:fill="auto" w:val="clear"/>
          </w:tcPr>
          <w:p>
            <w:pPr>
              <w:pStyle w:val="TableContents"/>
              <w:spacing w:before="0" w:after="283"/>
              <w:rPr/>
            </w:pPr>
            <w:r>
              <w:rPr/>
              <w:t> </w:t>
            </w:r>
          </w:p>
        </w:tc>
        <w:tc>
          <w:tcPr>
            <w:tcW w:w="1872" w:type="dxa"/>
            <w:tcBorders/>
            <w:shd w:fill="auto" w:val="clear"/>
          </w:tcPr>
          <w:p>
            <w:pPr>
              <w:pStyle w:val="TableContents"/>
              <w:spacing w:before="0" w:after="283"/>
              <w:rPr>
                <w:rFonts w:ascii="times" w:hAnsi="times"/>
                <w:i/>
                <w:sz w:val="14"/>
              </w:rPr>
            </w:pPr>
            <w:r>
              <w:rPr>
                <w:rFonts w:ascii="times" w:hAnsi="times"/>
                <w:i/>
                <w:sz w:val="14"/>
              </w:rPr>
              <w:t>GasLog Shanghai</w:t>
            </w:r>
          </w:p>
        </w:tc>
        <w:tc>
          <w:tcPr>
            <w:tcW w:w="218" w:type="dxa"/>
            <w:tcBorders/>
            <w:shd w:fill="auto" w:val="clear"/>
          </w:tcPr>
          <w:p>
            <w:pPr>
              <w:pStyle w:val="TableContents"/>
              <w:spacing w:before="0" w:after="283"/>
              <w:rPr/>
            </w:pPr>
            <w:r>
              <w:rPr/>
              <w:t> </w:t>
            </w:r>
          </w:p>
        </w:tc>
        <w:tc>
          <w:tcPr>
            <w:tcW w:w="108" w:type="dxa"/>
            <w:tcBorders/>
            <w:shd w:fill="auto" w:val="clear"/>
            <w:vAlign w:val="bottom"/>
          </w:tcPr>
          <w:p>
            <w:pPr>
              <w:pStyle w:val="TableContents"/>
              <w:spacing w:before="0" w:after="283"/>
              <w:rPr/>
            </w:pPr>
            <w:r>
              <w:rPr/>
              <w:t> </w:t>
            </w:r>
          </w:p>
        </w:tc>
        <w:tc>
          <w:tcPr>
            <w:tcW w:w="816" w:type="dxa"/>
            <w:tcBorders/>
            <w:shd w:fill="auto" w:val="clear"/>
            <w:vAlign w:val="bottom"/>
          </w:tcPr>
          <w:p>
            <w:pPr>
              <w:pStyle w:val="TableContents"/>
              <w:spacing w:before="0" w:after="283"/>
              <w:jc w:val="right"/>
              <w:rPr>
                <w:rFonts w:ascii="times" w:hAnsi="times"/>
                <w:sz w:val="14"/>
              </w:rPr>
            </w:pPr>
            <w:r>
              <w:rPr>
                <w:rFonts w:ascii="times" w:hAnsi="times"/>
                <w:sz w:val="14"/>
              </w:rPr>
              <w:t>2013</w:t>
            </w:r>
          </w:p>
        </w:tc>
        <w:tc>
          <w:tcPr>
            <w:tcW w:w="217" w:type="dxa"/>
            <w:tcBorders/>
            <w:shd w:fill="auto" w:val="clear"/>
            <w:vAlign w:val="bottom"/>
          </w:tcPr>
          <w:p>
            <w:pPr>
              <w:pStyle w:val="TableContents"/>
              <w:spacing w:before="0" w:after="283"/>
              <w:rPr/>
            </w:pPr>
            <w:r>
              <w:rPr/>
              <w:t> </w:t>
            </w:r>
          </w:p>
        </w:tc>
        <w:tc>
          <w:tcPr>
            <w:tcW w:w="109" w:type="dxa"/>
            <w:tcBorders/>
            <w:shd w:fill="auto" w:val="clear"/>
            <w:vAlign w:val="bottom"/>
          </w:tcPr>
          <w:p>
            <w:pPr>
              <w:pStyle w:val="TableContents"/>
              <w:spacing w:before="0" w:after="283"/>
              <w:rPr/>
            </w:pPr>
            <w:r>
              <w:rPr/>
              <w:t> </w:t>
            </w:r>
          </w:p>
        </w:tc>
        <w:tc>
          <w:tcPr>
            <w:tcW w:w="670" w:type="dxa"/>
            <w:tcBorders/>
            <w:shd w:fill="auto" w:val="clear"/>
            <w:vAlign w:val="bottom"/>
          </w:tcPr>
          <w:p>
            <w:pPr>
              <w:pStyle w:val="TableContents"/>
              <w:spacing w:before="0" w:after="283"/>
              <w:jc w:val="right"/>
              <w:rPr>
                <w:rFonts w:ascii="times" w:hAnsi="times"/>
                <w:sz w:val="14"/>
              </w:rPr>
            </w:pPr>
            <w:r>
              <w:rPr>
                <w:rFonts w:ascii="times" w:hAnsi="times"/>
                <w:sz w:val="14"/>
              </w:rPr>
              <w:t>155,000</w:t>
            </w:r>
          </w:p>
        </w:tc>
        <w:tc>
          <w:tcPr>
            <w:tcW w:w="217" w:type="dxa"/>
            <w:tcBorders/>
            <w:shd w:fill="auto" w:val="clear"/>
            <w:vAlign w:val="bottom"/>
          </w:tcPr>
          <w:p>
            <w:pPr>
              <w:pStyle w:val="TableContents"/>
              <w:spacing w:before="0" w:after="283"/>
              <w:rPr/>
            </w:pPr>
            <w:r>
              <w:rPr/>
              <w:t> </w:t>
            </w:r>
          </w:p>
        </w:tc>
        <w:tc>
          <w:tcPr>
            <w:tcW w:w="1359" w:type="dxa"/>
            <w:tcBorders/>
            <w:shd w:fill="auto" w:val="clear"/>
            <w:vAlign w:val="bottom"/>
          </w:tcPr>
          <w:p>
            <w:pPr>
              <w:pStyle w:val="TableContents"/>
              <w:spacing w:before="0" w:after="283"/>
              <w:jc w:val="right"/>
              <w:rPr>
                <w:rFonts w:ascii="times" w:hAnsi="times"/>
                <w:sz w:val="14"/>
              </w:rPr>
            </w:pPr>
            <w:r>
              <w:rPr>
                <w:rFonts w:ascii="times" w:hAnsi="times"/>
                <w:sz w:val="14"/>
              </w:rPr>
              <w:t>Gunvor</w:t>
            </w:r>
          </w:p>
        </w:tc>
        <w:tc>
          <w:tcPr>
            <w:tcW w:w="218" w:type="dxa"/>
            <w:tcBorders/>
            <w:shd w:fill="auto" w:val="clear"/>
            <w:vAlign w:val="bottom"/>
          </w:tcPr>
          <w:p>
            <w:pPr>
              <w:pStyle w:val="TableContents"/>
              <w:spacing w:before="0" w:after="283"/>
              <w:rPr/>
            </w:pPr>
            <w:r>
              <w:rPr/>
              <w:t> </w:t>
            </w:r>
          </w:p>
        </w:tc>
        <w:tc>
          <w:tcPr>
            <w:tcW w:w="833" w:type="dxa"/>
            <w:tcBorders/>
            <w:shd w:fill="auto" w:val="clear"/>
            <w:vAlign w:val="bottom"/>
          </w:tcPr>
          <w:p>
            <w:pPr>
              <w:pStyle w:val="TableContents"/>
              <w:spacing w:before="0" w:after="283"/>
              <w:jc w:val="right"/>
              <w:rPr>
                <w:rFonts w:ascii="times" w:hAnsi="times"/>
                <w:sz w:val="14"/>
              </w:rPr>
            </w:pPr>
            <w:r>
              <w:rPr>
                <w:rFonts w:ascii="times" w:hAnsi="times"/>
                <w:sz w:val="14"/>
              </w:rPr>
              <w:t>TFDE</w:t>
            </w:r>
          </w:p>
        </w:tc>
        <w:tc>
          <w:tcPr>
            <w:tcW w:w="217" w:type="dxa"/>
            <w:tcBorders/>
            <w:shd w:fill="auto" w:val="clear"/>
            <w:vAlign w:val="bottom"/>
          </w:tcPr>
          <w:p>
            <w:pPr>
              <w:pStyle w:val="TableContents"/>
              <w:spacing w:before="0" w:after="283"/>
              <w:rPr/>
            </w:pPr>
            <w:r>
              <w:rPr/>
              <w:t> </w:t>
            </w:r>
          </w:p>
        </w:tc>
        <w:tc>
          <w:tcPr>
            <w:tcW w:w="1341" w:type="dxa"/>
            <w:tcBorders/>
            <w:shd w:fill="auto" w:val="clear"/>
            <w:vAlign w:val="bottom"/>
          </w:tcPr>
          <w:p>
            <w:pPr>
              <w:pStyle w:val="TableContents"/>
              <w:spacing w:before="0" w:after="283"/>
              <w:jc w:val="right"/>
              <w:rPr>
                <w:rFonts w:ascii="times" w:hAnsi="times"/>
                <w:sz w:val="14"/>
              </w:rPr>
            </w:pPr>
            <w:r>
              <w:rPr>
                <w:rFonts w:ascii="times" w:hAnsi="times"/>
                <w:sz w:val="14"/>
              </w:rPr>
              <w:t>November 2022</w:t>
            </w:r>
          </w:p>
        </w:tc>
        <w:tc>
          <w:tcPr>
            <w:tcW w:w="217" w:type="dxa"/>
            <w:tcBorders/>
            <w:shd w:fill="auto" w:val="clear"/>
            <w:vAlign w:val="bottom"/>
          </w:tcPr>
          <w:p>
            <w:pPr>
              <w:pStyle w:val="TableContents"/>
              <w:spacing w:before="0" w:after="283"/>
              <w:rPr/>
            </w:pPr>
            <w:r>
              <w:rPr/>
              <w:t> </w:t>
            </w:r>
          </w:p>
        </w:tc>
        <w:tc>
          <w:tcPr>
            <w:tcW w:w="109" w:type="dxa"/>
            <w:tcBorders/>
            <w:shd w:fill="auto" w:val="clear"/>
            <w:vAlign w:val="bottom"/>
          </w:tcPr>
          <w:p>
            <w:pPr>
              <w:pStyle w:val="TableContents"/>
              <w:spacing w:before="0" w:after="283"/>
              <w:rPr/>
            </w:pPr>
            <w:r>
              <w:rPr/>
              <w:t> </w:t>
            </w:r>
          </w:p>
        </w:tc>
        <w:tc>
          <w:tcPr>
            <w:tcW w:w="996" w:type="dxa"/>
            <w:tcBorders/>
            <w:shd w:fill="auto" w:val="clear"/>
            <w:vAlign w:val="bottom"/>
          </w:tcPr>
          <w:p>
            <w:pPr>
              <w:pStyle w:val="TableContents"/>
              <w:spacing w:before="0" w:after="283"/>
              <w:jc w:val="right"/>
              <w:rPr>
                <w:rFonts w:ascii="times" w:hAnsi="times"/>
                <w:sz w:val="14"/>
              </w:rPr>
            </w:pPr>
            <w:r>
              <w:rPr>
                <w:rFonts w:ascii="times" w:hAnsi="times"/>
                <w:sz w:val="14"/>
              </w:rPr>
              <w:t></w:t>
            </w:r>
          </w:p>
        </w:tc>
        <w:tc>
          <w:tcPr>
            <w:tcW w:w="218" w:type="dxa"/>
            <w:tcBorders/>
            <w:shd w:fill="auto" w:val="clear"/>
            <w:vAlign w:val="bottom"/>
          </w:tcPr>
          <w:p>
            <w:pPr>
              <w:pStyle w:val="TableContents"/>
              <w:spacing w:before="0" w:after="283"/>
              <w:rPr/>
            </w:pPr>
            <w:r>
              <w:rPr/>
              <w:t> </w:t>
            </w:r>
          </w:p>
        </w:tc>
      </w:tr>
      <w:tr>
        <w:trPr/>
        <w:tc>
          <w:tcPr>
            <w:tcW w:w="253" w:type="dxa"/>
            <w:tcBorders/>
            <w:shd w:fill="auto" w:val="clear"/>
          </w:tcPr>
          <w:p>
            <w:pPr>
              <w:pStyle w:val="TableContents"/>
              <w:spacing w:before="0" w:after="283"/>
              <w:rPr>
                <w:rFonts w:ascii="times" w:hAnsi="times"/>
                <w:b/>
                <w:sz w:val="14"/>
              </w:rPr>
            </w:pPr>
            <w:r>
              <w:rPr>
                <w:rFonts w:ascii="times" w:hAnsi="times"/>
                <w:b/>
                <w:sz w:val="14"/>
              </w:rPr>
              <w:t>9</w:t>
            </w:r>
          </w:p>
        </w:tc>
        <w:tc>
          <w:tcPr>
            <w:tcW w:w="217" w:type="dxa"/>
            <w:tcBorders/>
            <w:shd w:fill="auto" w:val="clear"/>
          </w:tcPr>
          <w:p>
            <w:pPr>
              <w:pStyle w:val="TableContents"/>
              <w:spacing w:before="0" w:after="283"/>
              <w:rPr/>
            </w:pPr>
            <w:r>
              <w:rPr/>
              <w:t> </w:t>
            </w:r>
          </w:p>
        </w:tc>
        <w:tc>
          <w:tcPr>
            <w:tcW w:w="1872" w:type="dxa"/>
            <w:tcBorders/>
            <w:shd w:fill="auto" w:val="clear"/>
          </w:tcPr>
          <w:p>
            <w:pPr>
              <w:pStyle w:val="TableContents"/>
              <w:spacing w:before="0" w:after="283"/>
              <w:rPr>
                <w:rFonts w:ascii="times" w:hAnsi="times"/>
                <w:i/>
                <w:sz w:val="14"/>
              </w:rPr>
            </w:pPr>
            <w:r>
              <w:rPr>
                <w:rFonts w:ascii="times" w:hAnsi="times"/>
                <w:i/>
                <w:sz w:val="14"/>
              </w:rPr>
              <w:t>Methane Jane Elizabeth</w:t>
            </w:r>
          </w:p>
        </w:tc>
        <w:tc>
          <w:tcPr>
            <w:tcW w:w="218" w:type="dxa"/>
            <w:tcBorders/>
            <w:shd w:fill="auto" w:val="clear"/>
          </w:tcPr>
          <w:p>
            <w:pPr>
              <w:pStyle w:val="TableContents"/>
              <w:spacing w:before="0" w:after="283"/>
              <w:rPr/>
            </w:pPr>
            <w:r>
              <w:rPr/>
              <w:t> </w:t>
            </w:r>
          </w:p>
        </w:tc>
        <w:tc>
          <w:tcPr>
            <w:tcW w:w="108" w:type="dxa"/>
            <w:tcBorders/>
            <w:shd w:fill="auto" w:val="clear"/>
            <w:vAlign w:val="bottom"/>
          </w:tcPr>
          <w:p>
            <w:pPr>
              <w:pStyle w:val="TableContents"/>
              <w:spacing w:before="0" w:after="283"/>
              <w:rPr/>
            </w:pPr>
            <w:r>
              <w:rPr/>
              <w:t> </w:t>
            </w:r>
          </w:p>
        </w:tc>
        <w:tc>
          <w:tcPr>
            <w:tcW w:w="816" w:type="dxa"/>
            <w:tcBorders/>
            <w:shd w:fill="auto" w:val="clear"/>
            <w:vAlign w:val="bottom"/>
          </w:tcPr>
          <w:p>
            <w:pPr>
              <w:pStyle w:val="TableContents"/>
              <w:spacing w:before="0" w:after="283"/>
              <w:jc w:val="right"/>
              <w:rPr>
                <w:rFonts w:ascii="times" w:hAnsi="times"/>
                <w:sz w:val="14"/>
              </w:rPr>
            </w:pPr>
            <w:r>
              <w:rPr>
                <w:rFonts w:ascii="times" w:hAnsi="times"/>
                <w:sz w:val="14"/>
              </w:rPr>
              <w:t>2006</w:t>
            </w:r>
          </w:p>
        </w:tc>
        <w:tc>
          <w:tcPr>
            <w:tcW w:w="217" w:type="dxa"/>
            <w:tcBorders/>
            <w:shd w:fill="auto" w:val="clear"/>
            <w:vAlign w:val="bottom"/>
          </w:tcPr>
          <w:p>
            <w:pPr>
              <w:pStyle w:val="TableContents"/>
              <w:spacing w:before="0" w:after="283"/>
              <w:rPr/>
            </w:pPr>
            <w:r>
              <w:rPr/>
              <w:t> </w:t>
            </w:r>
          </w:p>
        </w:tc>
        <w:tc>
          <w:tcPr>
            <w:tcW w:w="109" w:type="dxa"/>
            <w:tcBorders/>
            <w:shd w:fill="auto" w:val="clear"/>
            <w:vAlign w:val="bottom"/>
          </w:tcPr>
          <w:p>
            <w:pPr>
              <w:pStyle w:val="TableContents"/>
              <w:spacing w:before="0" w:after="283"/>
              <w:rPr/>
            </w:pPr>
            <w:r>
              <w:rPr/>
              <w:t> </w:t>
            </w:r>
          </w:p>
        </w:tc>
        <w:tc>
          <w:tcPr>
            <w:tcW w:w="670" w:type="dxa"/>
            <w:tcBorders/>
            <w:shd w:fill="auto" w:val="clear"/>
            <w:vAlign w:val="bottom"/>
          </w:tcPr>
          <w:p>
            <w:pPr>
              <w:pStyle w:val="TableContents"/>
              <w:spacing w:before="0" w:after="283"/>
              <w:jc w:val="right"/>
              <w:rPr>
                <w:rFonts w:ascii="times" w:hAnsi="times"/>
                <w:sz w:val="14"/>
              </w:rPr>
            </w:pPr>
            <w:r>
              <w:rPr>
                <w:rFonts w:ascii="times" w:hAnsi="times"/>
                <w:sz w:val="14"/>
              </w:rPr>
              <w:t>145,000</w:t>
            </w:r>
          </w:p>
        </w:tc>
        <w:tc>
          <w:tcPr>
            <w:tcW w:w="217" w:type="dxa"/>
            <w:tcBorders/>
            <w:shd w:fill="auto" w:val="clear"/>
            <w:vAlign w:val="bottom"/>
          </w:tcPr>
          <w:p>
            <w:pPr>
              <w:pStyle w:val="TableContents"/>
              <w:spacing w:before="0" w:after="283"/>
              <w:rPr/>
            </w:pPr>
            <w:r>
              <w:rPr/>
              <w:t> </w:t>
            </w:r>
          </w:p>
        </w:tc>
        <w:tc>
          <w:tcPr>
            <w:tcW w:w="1359" w:type="dxa"/>
            <w:tcBorders/>
            <w:shd w:fill="auto" w:val="clear"/>
            <w:vAlign w:val="bottom"/>
          </w:tcPr>
          <w:p>
            <w:pPr>
              <w:pStyle w:val="TableContents"/>
              <w:spacing w:before="0" w:after="283"/>
              <w:jc w:val="right"/>
              <w:rPr>
                <w:rFonts w:ascii="times" w:hAnsi="times"/>
                <w:sz w:val="14"/>
              </w:rPr>
            </w:pPr>
            <w:r>
              <w:rPr>
                <w:rFonts w:ascii="times" w:hAnsi="times"/>
                <w:sz w:val="14"/>
              </w:rPr>
              <w:t>Cheniere</w:t>
            </w:r>
          </w:p>
        </w:tc>
        <w:tc>
          <w:tcPr>
            <w:tcW w:w="218" w:type="dxa"/>
            <w:tcBorders/>
            <w:shd w:fill="auto" w:val="clear"/>
            <w:vAlign w:val="bottom"/>
          </w:tcPr>
          <w:p>
            <w:pPr>
              <w:pStyle w:val="TableContents"/>
              <w:spacing w:before="0" w:after="283"/>
              <w:rPr/>
            </w:pPr>
            <w:r>
              <w:rPr/>
              <w:t> </w:t>
            </w:r>
          </w:p>
        </w:tc>
        <w:tc>
          <w:tcPr>
            <w:tcW w:w="833" w:type="dxa"/>
            <w:tcBorders/>
            <w:shd w:fill="auto" w:val="clear"/>
            <w:vAlign w:val="bottom"/>
          </w:tcPr>
          <w:p>
            <w:pPr>
              <w:pStyle w:val="TableContents"/>
              <w:spacing w:before="0" w:after="283"/>
              <w:jc w:val="right"/>
              <w:rPr>
                <w:rFonts w:ascii="times" w:hAnsi="times"/>
                <w:sz w:val="14"/>
              </w:rPr>
            </w:pPr>
            <w:r>
              <w:rPr>
                <w:rFonts w:ascii="times" w:hAnsi="times"/>
                <w:sz w:val="14"/>
              </w:rPr>
              <w:t>Steam</w:t>
            </w:r>
          </w:p>
        </w:tc>
        <w:tc>
          <w:tcPr>
            <w:tcW w:w="217" w:type="dxa"/>
            <w:tcBorders/>
            <w:shd w:fill="auto" w:val="clear"/>
            <w:vAlign w:val="bottom"/>
          </w:tcPr>
          <w:p>
            <w:pPr>
              <w:pStyle w:val="TableContents"/>
              <w:spacing w:before="0" w:after="283"/>
              <w:rPr/>
            </w:pPr>
            <w:r>
              <w:rPr/>
              <w:t> </w:t>
            </w:r>
          </w:p>
        </w:tc>
        <w:tc>
          <w:tcPr>
            <w:tcW w:w="1341" w:type="dxa"/>
            <w:tcBorders/>
            <w:shd w:fill="auto" w:val="clear"/>
            <w:vAlign w:val="bottom"/>
          </w:tcPr>
          <w:p>
            <w:pPr>
              <w:pStyle w:val="TableContents"/>
              <w:spacing w:before="0" w:after="283"/>
              <w:jc w:val="right"/>
              <w:rPr>
                <w:rFonts w:ascii="times" w:hAnsi="times"/>
                <w:sz w:val="14"/>
              </w:rPr>
            </w:pPr>
            <w:r>
              <w:rPr>
                <w:rFonts w:ascii="times" w:hAnsi="times"/>
                <w:sz w:val="14"/>
              </w:rPr>
              <w:t>March 2023</w:t>
            </w:r>
          </w:p>
        </w:tc>
        <w:tc>
          <w:tcPr>
            <w:tcW w:w="217" w:type="dxa"/>
            <w:tcBorders/>
            <w:shd w:fill="auto" w:val="clear"/>
            <w:vAlign w:val="bottom"/>
          </w:tcPr>
          <w:p>
            <w:pPr>
              <w:pStyle w:val="TableContents"/>
              <w:spacing w:before="0" w:after="283"/>
              <w:rPr/>
            </w:pPr>
            <w:r>
              <w:rPr/>
              <w:t> </w:t>
            </w:r>
          </w:p>
        </w:tc>
        <w:tc>
          <w:tcPr>
            <w:tcW w:w="109" w:type="dxa"/>
            <w:tcBorders/>
            <w:shd w:fill="auto" w:val="clear"/>
            <w:vAlign w:val="bottom"/>
          </w:tcPr>
          <w:p>
            <w:pPr>
              <w:pStyle w:val="TableContents"/>
              <w:spacing w:before="0" w:after="283"/>
              <w:rPr/>
            </w:pPr>
            <w:r>
              <w:rPr/>
              <w:t> </w:t>
            </w:r>
          </w:p>
        </w:tc>
        <w:tc>
          <w:tcPr>
            <w:tcW w:w="996" w:type="dxa"/>
            <w:tcBorders/>
            <w:shd w:fill="auto" w:val="clear"/>
            <w:vAlign w:val="bottom"/>
          </w:tcPr>
          <w:p>
            <w:pPr>
              <w:pStyle w:val="TableContents"/>
              <w:spacing w:before="0" w:after="283"/>
              <w:jc w:val="right"/>
              <w:rPr>
                <w:rFonts w:ascii="times" w:hAnsi="times"/>
                <w:sz w:val="14"/>
              </w:rPr>
            </w:pPr>
            <w:r>
              <w:rPr>
                <w:rFonts w:ascii="times" w:hAnsi="times"/>
                <w:sz w:val="14"/>
              </w:rPr>
              <w:t>2024 - 2025</w:t>
            </w:r>
          </w:p>
        </w:tc>
        <w:tc>
          <w:tcPr>
            <w:tcW w:w="218" w:type="dxa"/>
            <w:tcBorders/>
            <w:shd w:fill="auto" w:val="clear"/>
            <w:vAlign w:val="bottom"/>
          </w:tcPr>
          <w:p>
            <w:pPr>
              <w:pStyle w:val="TableContents"/>
              <w:spacing w:before="0" w:after="283"/>
              <w:rPr>
                <w:rFonts w:ascii="times" w:hAnsi="times"/>
                <w:position w:val="5"/>
                <w:sz w:val="11"/>
                <w:sz w:val="14"/>
              </w:rPr>
            </w:pPr>
            <w:r>
              <w:rPr>
                <w:rFonts w:ascii="times" w:hAnsi="times"/>
                <w:position w:val="5"/>
                <w:sz w:val="11"/>
                <w:sz w:val="14"/>
              </w:rPr>
              <w:t>(2)</w:t>
            </w:r>
          </w:p>
        </w:tc>
      </w:tr>
      <w:tr>
        <w:trPr/>
        <w:tc>
          <w:tcPr>
            <w:tcW w:w="253" w:type="dxa"/>
            <w:tcBorders/>
            <w:shd w:fill="auto" w:val="clear"/>
          </w:tcPr>
          <w:p>
            <w:pPr>
              <w:pStyle w:val="TableContents"/>
              <w:spacing w:before="0" w:after="283"/>
              <w:rPr>
                <w:rFonts w:ascii="times" w:hAnsi="times"/>
                <w:b/>
                <w:sz w:val="14"/>
              </w:rPr>
            </w:pPr>
            <w:r>
              <w:rPr>
                <w:rFonts w:ascii="times" w:hAnsi="times"/>
                <w:b/>
                <w:sz w:val="14"/>
              </w:rPr>
              <w:t>10</w:t>
            </w:r>
          </w:p>
        </w:tc>
        <w:tc>
          <w:tcPr>
            <w:tcW w:w="217" w:type="dxa"/>
            <w:tcBorders/>
            <w:shd w:fill="auto" w:val="clear"/>
          </w:tcPr>
          <w:p>
            <w:pPr>
              <w:pStyle w:val="TableContents"/>
              <w:spacing w:before="0" w:after="283"/>
              <w:rPr/>
            </w:pPr>
            <w:r>
              <w:rPr/>
              <w:t> </w:t>
            </w:r>
          </w:p>
        </w:tc>
        <w:tc>
          <w:tcPr>
            <w:tcW w:w="1872" w:type="dxa"/>
            <w:tcBorders/>
            <w:shd w:fill="auto" w:val="clear"/>
          </w:tcPr>
          <w:p>
            <w:pPr>
              <w:pStyle w:val="TableContents"/>
              <w:spacing w:before="0" w:after="283"/>
              <w:rPr>
                <w:rFonts w:ascii="times" w:hAnsi="times"/>
                <w:i/>
                <w:sz w:val="14"/>
              </w:rPr>
            </w:pPr>
            <w:r>
              <w:rPr>
                <w:rFonts w:ascii="times" w:hAnsi="times"/>
                <w:i/>
                <w:sz w:val="14"/>
              </w:rPr>
              <w:t>GasLog Geneva</w:t>
            </w:r>
          </w:p>
        </w:tc>
        <w:tc>
          <w:tcPr>
            <w:tcW w:w="218" w:type="dxa"/>
            <w:tcBorders/>
            <w:shd w:fill="auto" w:val="clear"/>
          </w:tcPr>
          <w:p>
            <w:pPr>
              <w:pStyle w:val="TableContents"/>
              <w:spacing w:before="0" w:after="283"/>
              <w:rPr/>
            </w:pPr>
            <w:r>
              <w:rPr/>
              <w:t> </w:t>
            </w:r>
          </w:p>
        </w:tc>
        <w:tc>
          <w:tcPr>
            <w:tcW w:w="108" w:type="dxa"/>
            <w:tcBorders/>
            <w:shd w:fill="auto" w:val="clear"/>
            <w:vAlign w:val="bottom"/>
          </w:tcPr>
          <w:p>
            <w:pPr>
              <w:pStyle w:val="TableContents"/>
              <w:spacing w:before="0" w:after="283"/>
              <w:rPr/>
            </w:pPr>
            <w:r>
              <w:rPr/>
              <w:t> </w:t>
            </w:r>
          </w:p>
        </w:tc>
        <w:tc>
          <w:tcPr>
            <w:tcW w:w="816" w:type="dxa"/>
            <w:tcBorders/>
            <w:shd w:fill="auto" w:val="clear"/>
            <w:vAlign w:val="bottom"/>
          </w:tcPr>
          <w:p>
            <w:pPr>
              <w:pStyle w:val="TableContents"/>
              <w:spacing w:before="0" w:after="283"/>
              <w:jc w:val="right"/>
              <w:rPr>
                <w:rFonts w:ascii="times" w:hAnsi="times"/>
                <w:sz w:val="14"/>
              </w:rPr>
            </w:pPr>
            <w:r>
              <w:rPr>
                <w:rFonts w:ascii="times" w:hAnsi="times"/>
                <w:sz w:val="14"/>
              </w:rPr>
              <w:t>2016</w:t>
            </w:r>
          </w:p>
        </w:tc>
        <w:tc>
          <w:tcPr>
            <w:tcW w:w="217" w:type="dxa"/>
            <w:tcBorders/>
            <w:shd w:fill="auto" w:val="clear"/>
            <w:vAlign w:val="bottom"/>
          </w:tcPr>
          <w:p>
            <w:pPr>
              <w:pStyle w:val="TableContents"/>
              <w:spacing w:before="0" w:after="283"/>
              <w:rPr/>
            </w:pPr>
            <w:r>
              <w:rPr/>
              <w:t> </w:t>
            </w:r>
          </w:p>
        </w:tc>
        <w:tc>
          <w:tcPr>
            <w:tcW w:w="109" w:type="dxa"/>
            <w:tcBorders/>
            <w:shd w:fill="auto" w:val="clear"/>
            <w:vAlign w:val="bottom"/>
          </w:tcPr>
          <w:p>
            <w:pPr>
              <w:pStyle w:val="TableContents"/>
              <w:spacing w:before="0" w:after="283"/>
              <w:rPr/>
            </w:pPr>
            <w:r>
              <w:rPr/>
              <w:t> </w:t>
            </w:r>
          </w:p>
        </w:tc>
        <w:tc>
          <w:tcPr>
            <w:tcW w:w="670" w:type="dxa"/>
            <w:tcBorders/>
            <w:shd w:fill="auto" w:val="clear"/>
            <w:vAlign w:val="bottom"/>
          </w:tcPr>
          <w:p>
            <w:pPr>
              <w:pStyle w:val="TableContents"/>
              <w:spacing w:before="0" w:after="283"/>
              <w:jc w:val="right"/>
              <w:rPr>
                <w:rFonts w:ascii="times" w:hAnsi="times"/>
                <w:sz w:val="14"/>
              </w:rPr>
            </w:pPr>
            <w:r>
              <w:rPr>
                <w:rFonts w:ascii="times" w:hAnsi="times"/>
                <w:sz w:val="14"/>
              </w:rPr>
              <w:t>174,000</w:t>
            </w:r>
          </w:p>
        </w:tc>
        <w:tc>
          <w:tcPr>
            <w:tcW w:w="217" w:type="dxa"/>
            <w:tcBorders/>
            <w:shd w:fill="auto" w:val="clear"/>
            <w:vAlign w:val="bottom"/>
          </w:tcPr>
          <w:p>
            <w:pPr>
              <w:pStyle w:val="TableContents"/>
              <w:spacing w:before="0" w:after="283"/>
              <w:rPr/>
            </w:pPr>
            <w:r>
              <w:rPr/>
              <w:t> </w:t>
            </w:r>
          </w:p>
        </w:tc>
        <w:tc>
          <w:tcPr>
            <w:tcW w:w="1359" w:type="dxa"/>
            <w:tcBorders/>
            <w:shd w:fill="auto" w:val="clear"/>
            <w:vAlign w:val="bottom"/>
          </w:tcPr>
          <w:p>
            <w:pPr>
              <w:pStyle w:val="TableContents"/>
              <w:spacing w:before="0" w:after="283"/>
              <w:jc w:val="right"/>
              <w:rPr>
                <w:rFonts w:ascii="times" w:hAnsi="times"/>
                <w:sz w:val="14"/>
              </w:rPr>
            </w:pPr>
            <w:r>
              <w:rPr>
                <w:rFonts w:ascii="times" w:hAnsi="times"/>
                <w:sz w:val="14"/>
              </w:rPr>
              <w:t>Shell</w:t>
            </w:r>
          </w:p>
        </w:tc>
        <w:tc>
          <w:tcPr>
            <w:tcW w:w="218" w:type="dxa"/>
            <w:tcBorders/>
            <w:shd w:fill="auto" w:val="clear"/>
            <w:vAlign w:val="bottom"/>
          </w:tcPr>
          <w:p>
            <w:pPr>
              <w:pStyle w:val="TableContents"/>
              <w:spacing w:before="0" w:after="283"/>
              <w:rPr/>
            </w:pPr>
            <w:r>
              <w:rPr/>
              <w:t> </w:t>
            </w:r>
          </w:p>
        </w:tc>
        <w:tc>
          <w:tcPr>
            <w:tcW w:w="833" w:type="dxa"/>
            <w:tcBorders/>
            <w:shd w:fill="auto" w:val="clear"/>
            <w:vAlign w:val="bottom"/>
          </w:tcPr>
          <w:p>
            <w:pPr>
              <w:pStyle w:val="TableContents"/>
              <w:spacing w:before="0" w:after="283"/>
              <w:jc w:val="right"/>
              <w:rPr>
                <w:rFonts w:ascii="times" w:hAnsi="times"/>
                <w:sz w:val="14"/>
              </w:rPr>
            </w:pPr>
            <w:r>
              <w:rPr>
                <w:rFonts w:ascii="times" w:hAnsi="times"/>
                <w:sz w:val="14"/>
              </w:rPr>
              <w:t>TFDE</w:t>
            </w:r>
          </w:p>
        </w:tc>
        <w:tc>
          <w:tcPr>
            <w:tcW w:w="217" w:type="dxa"/>
            <w:tcBorders/>
            <w:shd w:fill="auto" w:val="clear"/>
            <w:vAlign w:val="bottom"/>
          </w:tcPr>
          <w:p>
            <w:pPr>
              <w:pStyle w:val="TableContents"/>
              <w:spacing w:before="0" w:after="283"/>
              <w:rPr/>
            </w:pPr>
            <w:r>
              <w:rPr/>
              <w:t> </w:t>
            </w:r>
          </w:p>
        </w:tc>
        <w:tc>
          <w:tcPr>
            <w:tcW w:w="1341" w:type="dxa"/>
            <w:tcBorders/>
            <w:shd w:fill="auto" w:val="clear"/>
            <w:vAlign w:val="bottom"/>
          </w:tcPr>
          <w:p>
            <w:pPr>
              <w:pStyle w:val="TableContents"/>
              <w:spacing w:before="0" w:after="283"/>
              <w:jc w:val="right"/>
              <w:rPr>
                <w:rFonts w:ascii="times" w:hAnsi="times"/>
                <w:sz w:val="14"/>
              </w:rPr>
            </w:pPr>
            <w:r>
              <w:rPr>
                <w:rFonts w:ascii="times" w:hAnsi="times"/>
                <w:sz w:val="14"/>
              </w:rPr>
              <w:t>September 2023</w:t>
            </w:r>
          </w:p>
        </w:tc>
        <w:tc>
          <w:tcPr>
            <w:tcW w:w="217" w:type="dxa"/>
            <w:tcBorders/>
            <w:shd w:fill="auto" w:val="clear"/>
            <w:vAlign w:val="bottom"/>
          </w:tcPr>
          <w:p>
            <w:pPr>
              <w:pStyle w:val="TableContents"/>
              <w:spacing w:before="0" w:after="283"/>
              <w:rPr/>
            </w:pPr>
            <w:r>
              <w:rPr/>
              <w:t> </w:t>
            </w:r>
          </w:p>
        </w:tc>
        <w:tc>
          <w:tcPr>
            <w:tcW w:w="109" w:type="dxa"/>
            <w:tcBorders/>
            <w:shd w:fill="auto" w:val="clear"/>
            <w:vAlign w:val="bottom"/>
          </w:tcPr>
          <w:p>
            <w:pPr>
              <w:pStyle w:val="TableContents"/>
              <w:spacing w:before="0" w:after="283"/>
              <w:rPr/>
            </w:pPr>
            <w:r>
              <w:rPr/>
              <w:t> </w:t>
            </w:r>
          </w:p>
        </w:tc>
        <w:tc>
          <w:tcPr>
            <w:tcW w:w="996" w:type="dxa"/>
            <w:tcBorders/>
            <w:shd w:fill="auto" w:val="clear"/>
            <w:vAlign w:val="bottom"/>
          </w:tcPr>
          <w:p>
            <w:pPr>
              <w:pStyle w:val="TableContents"/>
              <w:spacing w:before="0" w:after="283"/>
              <w:jc w:val="right"/>
              <w:rPr>
                <w:rFonts w:ascii="times" w:hAnsi="times"/>
                <w:sz w:val="14"/>
              </w:rPr>
            </w:pPr>
            <w:r>
              <w:rPr>
                <w:rFonts w:ascii="times" w:hAnsi="times"/>
                <w:sz w:val="14"/>
              </w:rPr>
              <w:t>2028 - 2031</w:t>
            </w:r>
          </w:p>
        </w:tc>
        <w:tc>
          <w:tcPr>
            <w:tcW w:w="218" w:type="dxa"/>
            <w:tcBorders/>
            <w:shd w:fill="auto" w:val="clear"/>
            <w:vAlign w:val="bottom"/>
          </w:tcPr>
          <w:p>
            <w:pPr>
              <w:pStyle w:val="TableContents"/>
              <w:spacing w:before="0" w:after="283"/>
              <w:rPr>
                <w:rFonts w:ascii="times" w:hAnsi="times"/>
                <w:position w:val="5"/>
                <w:sz w:val="11"/>
                <w:sz w:val="14"/>
              </w:rPr>
            </w:pPr>
            <w:r>
              <w:rPr>
                <w:rFonts w:ascii="times" w:hAnsi="times"/>
                <w:position w:val="5"/>
                <w:sz w:val="11"/>
                <w:sz w:val="14"/>
              </w:rPr>
              <w:t>(3)</w:t>
            </w:r>
          </w:p>
        </w:tc>
      </w:tr>
      <w:tr>
        <w:trPr/>
        <w:tc>
          <w:tcPr>
            <w:tcW w:w="253" w:type="dxa"/>
            <w:tcBorders/>
            <w:shd w:fill="auto" w:val="clear"/>
          </w:tcPr>
          <w:p>
            <w:pPr>
              <w:pStyle w:val="TableContents"/>
              <w:spacing w:before="0" w:after="283"/>
              <w:rPr>
                <w:rFonts w:ascii="times" w:hAnsi="times"/>
                <w:b/>
                <w:sz w:val="14"/>
              </w:rPr>
            </w:pPr>
            <w:r>
              <w:rPr>
                <w:rFonts w:ascii="times" w:hAnsi="times"/>
                <w:b/>
                <w:sz w:val="14"/>
              </w:rPr>
              <w:t>11</w:t>
            </w:r>
          </w:p>
        </w:tc>
        <w:tc>
          <w:tcPr>
            <w:tcW w:w="217" w:type="dxa"/>
            <w:tcBorders/>
            <w:shd w:fill="auto" w:val="clear"/>
          </w:tcPr>
          <w:p>
            <w:pPr>
              <w:pStyle w:val="TableContents"/>
              <w:spacing w:before="0" w:after="283"/>
              <w:rPr/>
            </w:pPr>
            <w:r>
              <w:rPr/>
              <w:t> </w:t>
            </w:r>
          </w:p>
        </w:tc>
        <w:tc>
          <w:tcPr>
            <w:tcW w:w="1872" w:type="dxa"/>
            <w:tcBorders/>
            <w:shd w:fill="auto" w:val="clear"/>
          </w:tcPr>
          <w:p>
            <w:pPr>
              <w:pStyle w:val="TableContents"/>
              <w:spacing w:before="0" w:after="283"/>
              <w:rPr>
                <w:rFonts w:ascii="times" w:hAnsi="times"/>
                <w:i/>
                <w:sz w:val="14"/>
              </w:rPr>
            </w:pPr>
            <w:r>
              <w:rPr>
                <w:rFonts w:ascii="times" w:hAnsi="times"/>
                <w:i/>
                <w:sz w:val="14"/>
              </w:rPr>
              <w:t>Methane Alison Victoria</w:t>
            </w:r>
          </w:p>
        </w:tc>
        <w:tc>
          <w:tcPr>
            <w:tcW w:w="218" w:type="dxa"/>
            <w:tcBorders/>
            <w:shd w:fill="auto" w:val="clear"/>
          </w:tcPr>
          <w:p>
            <w:pPr>
              <w:pStyle w:val="TableContents"/>
              <w:spacing w:before="0" w:after="283"/>
              <w:rPr/>
            </w:pPr>
            <w:r>
              <w:rPr/>
              <w:t> </w:t>
            </w:r>
          </w:p>
        </w:tc>
        <w:tc>
          <w:tcPr>
            <w:tcW w:w="108" w:type="dxa"/>
            <w:tcBorders/>
            <w:shd w:fill="auto" w:val="clear"/>
            <w:vAlign w:val="bottom"/>
          </w:tcPr>
          <w:p>
            <w:pPr>
              <w:pStyle w:val="TableContents"/>
              <w:spacing w:before="0" w:after="283"/>
              <w:rPr/>
            </w:pPr>
            <w:r>
              <w:rPr/>
              <w:t> </w:t>
            </w:r>
          </w:p>
        </w:tc>
        <w:tc>
          <w:tcPr>
            <w:tcW w:w="816" w:type="dxa"/>
            <w:tcBorders/>
            <w:shd w:fill="auto" w:val="clear"/>
            <w:vAlign w:val="bottom"/>
          </w:tcPr>
          <w:p>
            <w:pPr>
              <w:pStyle w:val="TableContents"/>
              <w:spacing w:before="0" w:after="283"/>
              <w:jc w:val="right"/>
              <w:rPr>
                <w:rFonts w:ascii="times" w:hAnsi="times"/>
                <w:sz w:val="14"/>
              </w:rPr>
            </w:pPr>
            <w:r>
              <w:rPr>
                <w:rFonts w:ascii="times" w:hAnsi="times"/>
                <w:sz w:val="14"/>
              </w:rPr>
              <w:t>2007</w:t>
            </w:r>
          </w:p>
        </w:tc>
        <w:tc>
          <w:tcPr>
            <w:tcW w:w="217" w:type="dxa"/>
            <w:tcBorders/>
            <w:shd w:fill="auto" w:val="clear"/>
            <w:vAlign w:val="bottom"/>
          </w:tcPr>
          <w:p>
            <w:pPr>
              <w:pStyle w:val="TableContents"/>
              <w:spacing w:before="0" w:after="283"/>
              <w:rPr/>
            </w:pPr>
            <w:r>
              <w:rPr/>
              <w:t> </w:t>
            </w:r>
          </w:p>
        </w:tc>
        <w:tc>
          <w:tcPr>
            <w:tcW w:w="109" w:type="dxa"/>
            <w:tcBorders/>
            <w:shd w:fill="auto" w:val="clear"/>
            <w:vAlign w:val="bottom"/>
          </w:tcPr>
          <w:p>
            <w:pPr>
              <w:pStyle w:val="TableContents"/>
              <w:spacing w:before="0" w:after="283"/>
              <w:rPr/>
            </w:pPr>
            <w:r>
              <w:rPr/>
              <w:t> </w:t>
            </w:r>
          </w:p>
        </w:tc>
        <w:tc>
          <w:tcPr>
            <w:tcW w:w="670" w:type="dxa"/>
            <w:tcBorders/>
            <w:shd w:fill="auto" w:val="clear"/>
            <w:vAlign w:val="bottom"/>
          </w:tcPr>
          <w:p>
            <w:pPr>
              <w:pStyle w:val="TableContents"/>
              <w:spacing w:before="0" w:after="283"/>
              <w:jc w:val="right"/>
              <w:rPr>
                <w:rFonts w:ascii="times" w:hAnsi="times"/>
                <w:sz w:val="14"/>
              </w:rPr>
            </w:pPr>
            <w:r>
              <w:rPr>
                <w:rFonts w:ascii="times" w:hAnsi="times"/>
                <w:sz w:val="14"/>
              </w:rPr>
              <w:t>145,000</w:t>
            </w:r>
          </w:p>
        </w:tc>
        <w:tc>
          <w:tcPr>
            <w:tcW w:w="217" w:type="dxa"/>
            <w:tcBorders/>
            <w:shd w:fill="auto" w:val="clear"/>
            <w:vAlign w:val="bottom"/>
          </w:tcPr>
          <w:p>
            <w:pPr>
              <w:pStyle w:val="TableContents"/>
              <w:spacing w:before="0" w:after="283"/>
              <w:rPr/>
            </w:pPr>
            <w:r>
              <w:rPr/>
              <w:t> </w:t>
            </w:r>
          </w:p>
        </w:tc>
        <w:tc>
          <w:tcPr>
            <w:tcW w:w="1359" w:type="dxa"/>
            <w:tcBorders/>
            <w:shd w:fill="auto" w:val="clear"/>
            <w:vAlign w:val="bottom"/>
          </w:tcPr>
          <w:p>
            <w:pPr>
              <w:pStyle w:val="TableContents"/>
              <w:spacing w:before="0" w:after="283"/>
              <w:jc w:val="right"/>
              <w:rPr>
                <w:rFonts w:ascii="times" w:hAnsi="times"/>
                <w:sz w:val="14"/>
              </w:rPr>
            </w:pPr>
            <w:r>
              <w:rPr>
                <w:rFonts w:ascii="times" w:hAnsi="times"/>
                <w:sz w:val="14"/>
              </w:rPr>
              <w:t>CNTIC VPower</w:t>
            </w:r>
          </w:p>
        </w:tc>
        <w:tc>
          <w:tcPr>
            <w:tcW w:w="218" w:type="dxa"/>
            <w:tcBorders/>
            <w:shd w:fill="auto" w:val="clear"/>
            <w:vAlign w:val="bottom"/>
          </w:tcPr>
          <w:p>
            <w:pPr>
              <w:pStyle w:val="TableContents"/>
              <w:spacing w:before="0" w:after="283"/>
              <w:rPr/>
            </w:pPr>
            <w:r>
              <w:rPr/>
              <w:t> </w:t>
            </w:r>
          </w:p>
        </w:tc>
        <w:tc>
          <w:tcPr>
            <w:tcW w:w="833" w:type="dxa"/>
            <w:tcBorders/>
            <w:shd w:fill="auto" w:val="clear"/>
            <w:vAlign w:val="bottom"/>
          </w:tcPr>
          <w:p>
            <w:pPr>
              <w:pStyle w:val="TableContents"/>
              <w:spacing w:before="0" w:after="283"/>
              <w:jc w:val="right"/>
              <w:rPr>
                <w:rFonts w:ascii="times" w:hAnsi="times"/>
                <w:sz w:val="14"/>
              </w:rPr>
            </w:pPr>
            <w:r>
              <w:rPr>
                <w:rFonts w:ascii="times" w:hAnsi="times"/>
                <w:sz w:val="14"/>
              </w:rPr>
              <w:t>Steam</w:t>
            </w:r>
          </w:p>
        </w:tc>
        <w:tc>
          <w:tcPr>
            <w:tcW w:w="217" w:type="dxa"/>
            <w:tcBorders/>
            <w:shd w:fill="auto" w:val="clear"/>
            <w:vAlign w:val="bottom"/>
          </w:tcPr>
          <w:p>
            <w:pPr>
              <w:pStyle w:val="TableContents"/>
              <w:spacing w:before="0" w:after="283"/>
              <w:rPr/>
            </w:pPr>
            <w:r>
              <w:rPr/>
              <w:t> </w:t>
            </w:r>
          </w:p>
        </w:tc>
        <w:tc>
          <w:tcPr>
            <w:tcW w:w="1341" w:type="dxa"/>
            <w:tcBorders/>
            <w:shd w:fill="auto" w:val="clear"/>
            <w:vAlign w:val="bottom"/>
          </w:tcPr>
          <w:p>
            <w:pPr>
              <w:pStyle w:val="TableContents"/>
              <w:spacing w:before="0" w:after="283"/>
              <w:jc w:val="right"/>
              <w:rPr>
                <w:rFonts w:ascii="times" w:hAnsi="times"/>
                <w:sz w:val="14"/>
              </w:rPr>
            </w:pPr>
            <w:r>
              <w:rPr>
                <w:rFonts w:ascii="times" w:hAnsi="times"/>
                <w:sz w:val="14"/>
              </w:rPr>
              <w:t>October 2023</w:t>
            </w:r>
          </w:p>
        </w:tc>
        <w:tc>
          <w:tcPr>
            <w:tcW w:w="217" w:type="dxa"/>
            <w:tcBorders/>
            <w:shd w:fill="auto" w:val="clear"/>
            <w:vAlign w:val="bottom"/>
          </w:tcPr>
          <w:p>
            <w:pPr>
              <w:pStyle w:val="TableContents"/>
              <w:spacing w:before="0" w:after="283"/>
              <w:rPr/>
            </w:pPr>
            <w:r>
              <w:rPr/>
              <w:t> </w:t>
            </w:r>
          </w:p>
        </w:tc>
        <w:tc>
          <w:tcPr>
            <w:tcW w:w="109" w:type="dxa"/>
            <w:tcBorders/>
            <w:shd w:fill="auto" w:val="clear"/>
            <w:vAlign w:val="bottom"/>
          </w:tcPr>
          <w:p>
            <w:pPr>
              <w:pStyle w:val="TableContents"/>
              <w:spacing w:before="0" w:after="283"/>
              <w:rPr/>
            </w:pPr>
            <w:r>
              <w:rPr/>
              <w:t> </w:t>
            </w:r>
          </w:p>
        </w:tc>
        <w:tc>
          <w:tcPr>
            <w:tcW w:w="996" w:type="dxa"/>
            <w:tcBorders/>
            <w:shd w:fill="auto" w:val="clear"/>
            <w:vAlign w:val="bottom"/>
          </w:tcPr>
          <w:p>
            <w:pPr>
              <w:pStyle w:val="TableContents"/>
              <w:spacing w:before="0" w:after="283"/>
              <w:jc w:val="right"/>
              <w:rPr>
                <w:rFonts w:ascii="times" w:hAnsi="times"/>
                <w:sz w:val="14"/>
              </w:rPr>
            </w:pPr>
            <w:r>
              <w:rPr>
                <w:rFonts w:ascii="times" w:hAnsi="times"/>
                <w:sz w:val="14"/>
              </w:rPr>
              <w:t>2024 - 2025</w:t>
            </w:r>
          </w:p>
        </w:tc>
        <w:tc>
          <w:tcPr>
            <w:tcW w:w="218" w:type="dxa"/>
            <w:tcBorders/>
            <w:shd w:fill="auto" w:val="clear"/>
            <w:vAlign w:val="bottom"/>
          </w:tcPr>
          <w:p>
            <w:pPr>
              <w:pStyle w:val="TableContents"/>
              <w:spacing w:before="0" w:after="283"/>
              <w:rPr>
                <w:rFonts w:ascii="times" w:hAnsi="times"/>
                <w:position w:val="5"/>
                <w:sz w:val="11"/>
                <w:sz w:val="14"/>
              </w:rPr>
            </w:pPr>
            <w:r>
              <w:rPr>
                <w:rFonts w:ascii="times" w:hAnsi="times"/>
                <w:position w:val="5"/>
                <w:sz w:val="11"/>
                <w:sz w:val="14"/>
              </w:rPr>
              <w:t>(4)</w:t>
            </w:r>
          </w:p>
        </w:tc>
      </w:tr>
      <w:tr>
        <w:trPr/>
        <w:tc>
          <w:tcPr>
            <w:tcW w:w="253" w:type="dxa"/>
            <w:tcBorders/>
            <w:shd w:fill="auto" w:val="clear"/>
          </w:tcPr>
          <w:p>
            <w:pPr>
              <w:pStyle w:val="TableContents"/>
              <w:spacing w:before="0" w:after="283"/>
              <w:rPr>
                <w:rFonts w:ascii="times" w:hAnsi="times"/>
                <w:b/>
                <w:sz w:val="14"/>
              </w:rPr>
            </w:pPr>
            <w:r>
              <w:rPr>
                <w:rFonts w:ascii="times" w:hAnsi="times"/>
                <w:b/>
                <w:sz w:val="14"/>
              </w:rPr>
              <w:t>12</w:t>
            </w:r>
          </w:p>
        </w:tc>
        <w:tc>
          <w:tcPr>
            <w:tcW w:w="217" w:type="dxa"/>
            <w:tcBorders/>
            <w:shd w:fill="auto" w:val="clear"/>
          </w:tcPr>
          <w:p>
            <w:pPr>
              <w:pStyle w:val="TableContents"/>
              <w:spacing w:before="0" w:after="283"/>
              <w:rPr/>
            </w:pPr>
            <w:r>
              <w:rPr/>
              <w:t> </w:t>
            </w:r>
          </w:p>
        </w:tc>
        <w:tc>
          <w:tcPr>
            <w:tcW w:w="1872" w:type="dxa"/>
            <w:tcBorders/>
            <w:shd w:fill="auto" w:val="clear"/>
          </w:tcPr>
          <w:p>
            <w:pPr>
              <w:pStyle w:val="TableContents"/>
              <w:spacing w:before="0" w:after="283"/>
              <w:rPr>
                <w:rFonts w:ascii="times" w:hAnsi="times"/>
                <w:i/>
                <w:sz w:val="14"/>
              </w:rPr>
            </w:pPr>
            <w:r>
              <w:rPr>
                <w:rFonts w:ascii="times" w:hAnsi="times"/>
                <w:i/>
                <w:sz w:val="14"/>
              </w:rPr>
              <w:t>GasLog Gibraltar</w:t>
            </w:r>
          </w:p>
        </w:tc>
        <w:tc>
          <w:tcPr>
            <w:tcW w:w="218" w:type="dxa"/>
            <w:tcBorders/>
            <w:shd w:fill="auto" w:val="clear"/>
          </w:tcPr>
          <w:p>
            <w:pPr>
              <w:pStyle w:val="TableContents"/>
              <w:spacing w:before="0" w:after="283"/>
              <w:rPr/>
            </w:pPr>
            <w:r>
              <w:rPr/>
              <w:t> </w:t>
            </w:r>
          </w:p>
        </w:tc>
        <w:tc>
          <w:tcPr>
            <w:tcW w:w="108" w:type="dxa"/>
            <w:tcBorders/>
            <w:shd w:fill="auto" w:val="clear"/>
            <w:vAlign w:val="bottom"/>
          </w:tcPr>
          <w:p>
            <w:pPr>
              <w:pStyle w:val="TableContents"/>
              <w:spacing w:before="0" w:after="283"/>
              <w:rPr/>
            </w:pPr>
            <w:r>
              <w:rPr/>
              <w:t> </w:t>
            </w:r>
          </w:p>
        </w:tc>
        <w:tc>
          <w:tcPr>
            <w:tcW w:w="816" w:type="dxa"/>
            <w:tcBorders/>
            <w:shd w:fill="auto" w:val="clear"/>
            <w:vAlign w:val="bottom"/>
          </w:tcPr>
          <w:p>
            <w:pPr>
              <w:pStyle w:val="TableContents"/>
              <w:spacing w:before="0" w:after="283"/>
              <w:jc w:val="right"/>
              <w:rPr>
                <w:rFonts w:ascii="times" w:hAnsi="times"/>
                <w:sz w:val="14"/>
              </w:rPr>
            </w:pPr>
            <w:r>
              <w:rPr>
                <w:rFonts w:ascii="times" w:hAnsi="times"/>
                <w:sz w:val="14"/>
              </w:rPr>
              <w:t>2016</w:t>
            </w:r>
          </w:p>
        </w:tc>
        <w:tc>
          <w:tcPr>
            <w:tcW w:w="217" w:type="dxa"/>
            <w:tcBorders/>
            <w:shd w:fill="auto" w:val="clear"/>
            <w:vAlign w:val="bottom"/>
          </w:tcPr>
          <w:p>
            <w:pPr>
              <w:pStyle w:val="TableContents"/>
              <w:spacing w:before="0" w:after="283"/>
              <w:rPr/>
            </w:pPr>
            <w:r>
              <w:rPr/>
              <w:t> </w:t>
            </w:r>
          </w:p>
        </w:tc>
        <w:tc>
          <w:tcPr>
            <w:tcW w:w="109" w:type="dxa"/>
            <w:tcBorders/>
            <w:shd w:fill="auto" w:val="clear"/>
            <w:vAlign w:val="bottom"/>
          </w:tcPr>
          <w:p>
            <w:pPr>
              <w:pStyle w:val="TableContents"/>
              <w:spacing w:before="0" w:after="283"/>
              <w:rPr/>
            </w:pPr>
            <w:r>
              <w:rPr/>
              <w:t> </w:t>
            </w:r>
          </w:p>
        </w:tc>
        <w:tc>
          <w:tcPr>
            <w:tcW w:w="670" w:type="dxa"/>
            <w:tcBorders/>
            <w:shd w:fill="auto" w:val="clear"/>
            <w:vAlign w:val="bottom"/>
          </w:tcPr>
          <w:p>
            <w:pPr>
              <w:pStyle w:val="TableContents"/>
              <w:spacing w:before="0" w:after="283"/>
              <w:jc w:val="right"/>
              <w:rPr>
                <w:rFonts w:ascii="times" w:hAnsi="times"/>
                <w:sz w:val="14"/>
              </w:rPr>
            </w:pPr>
            <w:r>
              <w:rPr>
                <w:rFonts w:ascii="times" w:hAnsi="times"/>
                <w:sz w:val="14"/>
              </w:rPr>
              <w:t>174,000</w:t>
            </w:r>
          </w:p>
        </w:tc>
        <w:tc>
          <w:tcPr>
            <w:tcW w:w="217" w:type="dxa"/>
            <w:tcBorders/>
            <w:shd w:fill="auto" w:val="clear"/>
            <w:vAlign w:val="bottom"/>
          </w:tcPr>
          <w:p>
            <w:pPr>
              <w:pStyle w:val="TableContents"/>
              <w:spacing w:before="0" w:after="283"/>
              <w:rPr/>
            </w:pPr>
            <w:r>
              <w:rPr/>
              <w:t> </w:t>
            </w:r>
          </w:p>
        </w:tc>
        <w:tc>
          <w:tcPr>
            <w:tcW w:w="1359" w:type="dxa"/>
            <w:tcBorders/>
            <w:shd w:fill="auto" w:val="clear"/>
            <w:vAlign w:val="bottom"/>
          </w:tcPr>
          <w:p>
            <w:pPr>
              <w:pStyle w:val="TableContents"/>
              <w:spacing w:before="0" w:after="283"/>
              <w:jc w:val="right"/>
              <w:rPr>
                <w:rFonts w:ascii="times" w:hAnsi="times"/>
                <w:sz w:val="14"/>
              </w:rPr>
            </w:pPr>
            <w:r>
              <w:rPr>
                <w:rFonts w:ascii="times" w:hAnsi="times"/>
                <w:sz w:val="14"/>
              </w:rPr>
              <w:t>Shell</w:t>
            </w:r>
          </w:p>
        </w:tc>
        <w:tc>
          <w:tcPr>
            <w:tcW w:w="218" w:type="dxa"/>
            <w:tcBorders/>
            <w:shd w:fill="auto" w:val="clear"/>
            <w:vAlign w:val="bottom"/>
          </w:tcPr>
          <w:p>
            <w:pPr>
              <w:pStyle w:val="TableContents"/>
              <w:spacing w:before="0" w:after="283"/>
              <w:rPr/>
            </w:pPr>
            <w:r>
              <w:rPr/>
              <w:t> </w:t>
            </w:r>
          </w:p>
        </w:tc>
        <w:tc>
          <w:tcPr>
            <w:tcW w:w="833" w:type="dxa"/>
            <w:tcBorders/>
            <w:shd w:fill="auto" w:val="clear"/>
            <w:vAlign w:val="bottom"/>
          </w:tcPr>
          <w:p>
            <w:pPr>
              <w:pStyle w:val="TableContents"/>
              <w:spacing w:before="0" w:after="283"/>
              <w:jc w:val="right"/>
              <w:rPr>
                <w:rFonts w:ascii="times" w:hAnsi="times"/>
                <w:sz w:val="14"/>
              </w:rPr>
            </w:pPr>
            <w:r>
              <w:rPr>
                <w:rFonts w:ascii="times" w:hAnsi="times"/>
                <w:sz w:val="14"/>
              </w:rPr>
              <w:t>TFDE</w:t>
            </w:r>
          </w:p>
        </w:tc>
        <w:tc>
          <w:tcPr>
            <w:tcW w:w="217" w:type="dxa"/>
            <w:tcBorders/>
            <w:shd w:fill="auto" w:val="clear"/>
            <w:vAlign w:val="bottom"/>
          </w:tcPr>
          <w:p>
            <w:pPr>
              <w:pStyle w:val="TableContents"/>
              <w:spacing w:before="0" w:after="283"/>
              <w:rPr/>
            </w:pPr>
            <w:r>
              <w:rPr/>
              <w:t> </w:t>
            </w:r>
          </w:p>
        </w:tc>
        <w:tc>
          <w:tcPr>
            <w:tcW w:w="1341" w:type="dxa"/>
            <w:tcBorders/>
            <w:shd w:fill="auto" w:val="clear"/>
            <w:vAlign w:val="bottom"/>
          </w:tcPr>
          <w:p>
            <w:pPr>
              <w:pStyle w:val="TableContents"/>
              <w:spacing w:before="0" w:after="283"/>
              <w:jc w:val="right"/>
              <w:rPr>
                <w:rFonts w:ascii="times" w:hAnsi="times"/>
                <w:sz w:val="14"/>
              </w:rPr>
            </w:pPr>
            <w:r>
              <w:rPr>
                <w:rFonts w:ascii="times" w:hAnsi="times"/>
                <w:sz w:val="14"/>
              </w:rPr>
              <w:t>October 2023</w:t>
            </w:r>
          </w:p>
        </w:tc>
        <w:tc>
          <w:tcPr>
            <w:tcW w:w="217" w:type="dxa"/>
            <w:tcBorders/>
            <w:shd w:fill="auto" w:val="clear"/>
            <w:vAlign w:val="bottom"/>
          </w:tcPr>
          <w:p>
            <w:pPr>
              <w:pStyle w:val="TableContents"/>
              <w:spacing w:before="0" w:after="283"/>
              <w:rPr/>
            </w:pPr>
            <w:r>
              <w:rPr/>
              <w:t> </w:t>
            </w:r>
          </w:p>
        </w:tc>
        <w:tc>
          <w:tcPr>
            <w:tcW w:w="109" w:type="dxa"/>
            <w:tcBorders/>
            <w:shd w:fill="auto" w:val="clear"/>
            <w:vAlign w:val="bottom"/>
          </w:tcPr>
          <w:p>
            <w:pPr>
              <w:pStyle w:val="TableContents"/>
              <w:spacing w:before="0" w:after="283"/>
              <w:rPr/>
            </w:pPr>
            <w:r>
              <w:rPr/>
              <w:t> </w:t>
            </w:r>
          </w:p>
        </w:tc>
        <w:tc>
          <w:tcPr>
            <w:tcW w:w="996" w:type="dxa"/>
            <w:tcBorders/>
            <w:shd w:fill="auto" w:val="clear"/>
            <w:vAlign w:val="bottom"/>
          </w:tcPr>
          <w:p>
            <w:pPr>
              <w:pStyle w:val="TableContents"/>
              <w:spacing w:before="0" w:after="283"/>
              <w:jc w:val="right"/>
              <w:rPr>
                <w:rFonts w:ascii="times" w:hAnsi="times"/>
                <w:sz w:val="14"/>
              </w:rPr>
            </w:pPr>
            <w:r>
              <w:rPr>
                <w:rFonts w:ascii="times" w:hAnsi="times"/>
                <w:sz w:val="14"/>
              </w:rPr>
              <w:t>2028 - 2031</w:t>
            </w:r>
          </w:p>
        </w:tc>
        <w:tc>
          <w:tcPr>
            <w:tcW w:w="218" w:type="dxa"/>
            <w:tcBorders/>
            <w:shd w:fill="auto" w:val="clear"/>
            <w:vAlign w:val="bottom"/>
          </w:tcPr>
          <w:p>
            <w:pPr>
              <w:pStyle w:val="TableContents"/>
              <w:spacing w:before="0" w:after="283"/>
              <w:rPr>
                <w:rFonts w:ascii="times" w:hAnsi="times"/>
                <w:position w:val="5"/>
                <w:sz w:val="11"/>
                <w:sz w:val="14"/>
              </w:rPr>
            </w:pPr>
            <w:r>
              <w:rPr>
                <w:rFonts w:ascii="times" w:hAnsi="times"/>
                <w:position w:val="5"/>
                <w:sz w:val="11"/>
                <w:sz w:val="14"/>
              </w:rPr>
              <w:t>(3)</w:t>
            </w:r>
          </w:p>
        </w:tc>
      </w:tr>
      <w:tr>
        <w:trPr/>
        <w:tc>
          <w:tcPr>
            <w:tcW w:w="253" w:type="dxa"/>
            <w:tcBorders/>
            <w:shd w:fill="auto" w:val="clear"/>
          </w:tcPr>
          <w:p>
            <w:pPr>
              <w:pStyle w:val="TableContents"/>
              <w:spacing w:before="0" w:after="283"/>
              <w:rPr>
                <w:rFonts w:ascii="times" w:hAnsi="times"/>
                <w:b/>
                <w:sz w:val="14"/>
              </w:rPr>
            </w:pPr>
            <w:r>
              <w:rPr>
                <w:rFonts w:ascii="times" w:hAnsi="times"/>
                <w:b/>
                <w:sz w:val="14"/>
              </w:rPr>
              <w:t>13</w:t>
            </w:r>
          </w:p>
        </w:tc>
        <w:tc>
          <w:tcPr>
            <w:tcW w:w="217" w:type="dxa"/>
            <w:tcBorders/>
            <w:shd w:fill="auto" w:val="clear"/>
          </w:tcPr>
          <w:p>
            <w:pPr>
              <w:pStyle w:val="TableContents"/>
              <w:spacing w:before="0" w:after="283"/>
              <w:rPr/>
            </w:pPr>
            <w:r>
              <w:rPr/>
              <w:t> </w:t>
            </w:r>
          </w:p>
        </w:tc>
        <w:tc>
          <w:tcPr>
            <w:tcW w:w="1872" w:type="dxa"/>
            <w:tcBorders/>
            <w:shd w:fill="auto" w:val="clear"/>
          </w:tcPr>
          <w:p>
            <w:pPr>
              <w:pStyle w:val="TableContents"/>
              <w:spacing w:before="0" w:after="283"/>
              <w:rPr>
                <w:rFonts w:ascii="times" w:hAnsi="times"/>
                <w:i/>
                <w:sz w:val="14"/>
              </w:rPr>
            </w:pPr>
            <w:r>
              <w:rPr>
                <w:rFonts w:ascii="times" w:hAnsi="times"/>
                <w:i/>
                <w:sz w:val="14"/>
              </w:rPr>
              <w:t>Methane Becki Anne</w:t>
            </w:r>
          </w:p>
        </w:tc>
        <w:tc>
          <w:tcPr>
            <w:tcW w:w="218" w:type="dxa"/>
            <w:tcBorders/>
            <w:shd w:fill="auto" w:val="clear"/>
          </w:tcPr>
          <w:p>
            <w:pPr>
              <w:pStyle w:val="TableContents"/>
              <w:spacing w:before="0" w:after="283"/>
              <w:rPr/>
            </w:pPr>
            <w:r>
              <w:rPr/>
              <w:t> </w:t>
            </w:r>
          </w:p>
        </w:tc>
        <w:tc>
          <w:tcPr>
            <w:tcW w:w="108" w:type="dxa"/>
            <w:tcBorders/>
            <w:shd w:fill="auto" w:val="clear"/>
            <w:vAlign w:val="bottom"/>
          </w:tcPr>
          <w:p>
            <w:pPr>
              <w:pStyle w:val="TableContents"/>
              <w:spacing w:before="0" w:after="283"/>
              <w:rPr/>
            </w:pPr>
            <w:r>
              <w:rPr/>
              <w:t> </w:t>
            </w:r>
          </w:p>
        </w:tc>
        <w:tc>
          <w:tcPr>
            <w:tcW w:w="816" w:type="dxa"/>
            <w:tcBorders/>
            <w:shd w:fill="auto" w:val="clear"/>
            <w:vAlign w:val="bottom"/>
          </w:tcPr>
          <w:p>
            <w:pPr>
              <w:pStyle w:val="TableContents"/>
              <w:spacing w:before="0" w:after="283"/>
              <w:jc w:val="right"/>
              <w:rPr>
                <w:rFonts w:ascii="times" w:hAnsi="times"/>
                <w:sz w:val="14"/>
              </w:rPr>
            </w:pPr>
            <w:r>
              <w:rPr>
                <w:rFonts w:ascii="times" w:hAnsi="times"/>
                <w:sz w:val="14"/>
              </w:rPr>
              <w:t>2010</w:t>
            </w:r>
          </w:p>
        </w:tc>
        <w:tc>
          <w:tcPr>
            <w:tcW w:w="217" w:type="dxa"/>
            <w:tcBorders/>
            <w:shd w:fill="auto" w:val="clear"/>
            <w:vAlign w:val="bottom"/>
          </w:tcPr>
          <w:p>
            <w:pPr>
              <w:pStyle w:val="TableContents"/>
              <w:spacing w:before="0" w:after="283"/>
              <w:rPr/>
            </w:pPr>
            <w:r>
              <w:rPr/>
              <w:t> </w:t>
            </w:r>
          </w:p>
        </w:tc>
        <w:tc>
          <w:tcPr>
            <w:tcW w:w="109" w:type="dxa"/>
            <w:tcBorders/>
            <w:shd w:fill="auto" w:val="clear"/>
            <w:vAlign w:val="bottom"/>
          </w:tcPr>
          <w:p>
            <w:pPr>
              <w:pStyle w:val="TableContents"/>
              <w:spacing w:before="0" w:after="283"/>
              <w:rPr/>
            </w:pPr>
            <w:r>
              <w:rPr/>
              <w:t> </w:t>
            </w:r>
          </w:p>
        </w:tc>
        <w:tc>
          <w:tcPr>
            <w:tcW w:w="670" w:type="dxa"/>
            <w:tcBorders/>
            <w:shd w:fill="auto" w:val="clear"/>
            <w:vAlign w:val="bottom"/>
          </w:tcPr>
          <w:p>
            <w:pPr>
              <w:pStyle w:val="TableContents"/>
              <w:spacing w:before="0" w:after="283"/>
              <w:jc w:val="right"/>
              <w:rPr>
                <w:rFonts w:ascii="times" w:hAnsi="times"/>
                <w:sz w:val="14"/>
              </w:rPr>
            </w:pPr>
            <w:r>
              <w:rPr>
                <w:rFonts w:ascii="times" w:hAnsi="times"/>
                <w:sz w:val="14"/>
              </w:rPr>
              <w:t>170,000</w:t>
            </w:r>
          </w:p>
        </w:tc>
        <w:tc>
          <w:tcPr>
            <w:tcW w:w="217" w:type="dxa"/>
            <w:tcBorders/>
            <w:shd w:fill="auto" w:val="clear"/>
            <w:vAlign w:val="bottom"/>
          </w:tcPr>
          <w:p>
            <w:pPr>
              <w:pStyle w:val="TableContents"/>
              <w:spacing w:before="0" w:after="283"/>
              <w:rPr/>
            </w:pPr>
            <w:r>
              <w:rPr/>
              <w:t> </w:t>
            </w:r>
          </w:p>
        </w:tc>
        <w:tc>
          <w:tcPr>
            <w:tcW w:w="1359" w:type="dxa"/>
            <w:tcBorders/>
            <w:shd w:fill="auto" w:val="clear"/>
            <w:vAlign w:val="bottom"/>
          </w:tcPr>
          <w:p>
            <w:pPr>
              <w:pStyle w:val="TableContents"/>
              <w:spacing w:before="0" w:after="283"/>
              <w:jc w:val="right"/>
              <w:rPr>
                <w:rFonts w:ascii="times" w:hAnsi="times"/>
                <w:sz w:val="14"/>
              </w:rPr>
            </w:pPr>
            <w:r>
              <w:rPr>
                <w:rFonts w:ascii="times" w:hAnsi="times"/>
                <w:sz w:val="14"/>
              </w:rPr>
              <w:t>Shell</w:t>
            </w:r>
          </w:p>
        </w:tc>
        <w:tc>
          <w:tcPr>
            <w:tcW w:w="218" w:type="dxa"/>
            <w:tcBorders/>
            <w:shd w:fill="auto" w:val="clear"/>
            <w:vAlign w:val="bottom"/>
          </w:tcPr>
          <w:p>
            <w:pPr>
              <w:pStyle w:val="TableContents"/>
              <w:spacing w:before="0" w:after="283"/>
              <w:rPr/>
            </w:pPr>
            <w:r>
              <w:rPr/>
              <w:t> </w:t>
            </w:r>
          </w:p>
        </w:tc>
        <w:tc>
          <w:tcPr>
            <w:tcW w:w="833" w:type="dxa"/>
            <w:tcBorders/>
            <w:shd w:fill="auto" w:val="clear"/>
            <w:vAlign w:val="bottom"/>
          </w:tcPr>
          <w:p>
            <w:pPr>
              <w:pStyle w:val="TableContents"/>
              <w:spacing w:before="0" w:after="283"/>
              <w:jc w:val="right"/>
              <w:rPr>
                <w:rFonts w:ascii="times" w:hAnsi="times"/>
                <w:sz w:val="14"/>
              </w:rPr>
            </w:pPr>
            <w:r>
              <w:rPr>
                <w:rFonts w:ascii="times" w:hAnsi="times"/>
                <w:sz w:val="14"/>
              </w:rPr>
              <w:t>TFDE</w:t>
            </w:r>
          </w:p>
        </w:tc>
        <w:tc>
          <w:tcPr>
            <w:tcW w:w="217" w:type="dxa"/>
            <w:tcBorders/>
            <w:shd w:fill="auto" w:val="clear"/>
            <w:vAlign w:val="bottom"/>
          </w:tcPr>
          <w:p>
            <w:pPr>
              <w:pStyle w:val="TableContents"/>
              <w:spacing w:before="0" w:after="283"/>
              <w:rPr/>
            </w:pPr>
            <w:r>
              <w:rPr/>
              <w:t> </w:t>
            </w:r>
          </w:p>
        </w:tc>
        <w:tc>
          <w:tcPr>
            <w:tcW w:w="1341" w:type="dxa"/>
            <w:tcBorders/>
            <w:shd w:fill="auto" w:val="clear"/>
            <w:vAlign w:val="bottom"/>
          </w:tcPr>
          <w:p>
            <w:pPr>
              <w:pStyle w:val="TableContents"/>
              <w:spacing w:before="0" w:after="283"/>
              <w:jc w:val="right"/>
              <w:rPr>
                <w:rFonts w:ascii="times" w:hAnsi="times"/>
                <w:sz w:val="14"/>
              </w:rPr>
            </w:pPr>
            <w:r>
              <w:rPr>
                <w:rFonts w:ascii="times" w:hAnsi="times"/>
                <w:sz w:val="14"/>
              </w:rPr>
              <w:t>March 2024</w:t>
            </w:r>
          </w:p>
        </w:tc>
        <w:tc>
          <w:tcPr>
            <w:tcW w:w="217" w:type="dxa"/>
            <w:tcBorders/>
            <w:shd w:fill="auto" w:val="clear"/>
            <w:vAlign w:val="bottom"/>
          </w:tcPr>
          <w:p>
            <w:pPr>
              <w:pStyle w:val="TableContents"/>
              <w:spacing w:before="0" w:after="283"/>
              <w:rPr/>
            </w:pPr>
            <w:r>
              <w:rPr/>
              <w:t> </w:t>
            </w:r>
          </w:p>
        </w:tc>
        <w:tc>
          <w:tcPr>
            <w:tcW w:w="109" w:type="dxa"/>
            <w:tcBorders/>
            <w:shd w:fill="auto" w:val="clear"/>
            <w:vAlign w:val="bottom"/>
          </w:tcPr>
          <w:p>
            <w:pPr>
              <w:pStyle w:val="TableContents"/>
              <w:spacing w:before="0" w:after="283"/>
              <w:rPr/>
            </w:pPr>
            <w:r>
              <w:rPr/>
              <w:t> </w:t>
            </w:r>
          </w:p>
        </w:tc>
        <w:tc>
          <w:tcPr>
            <w:tcW w:w="996" w:type="dxa"/>
            <w:tcBorders/>
            <w:shd w:fill="auto" w:val="clear"/>
            <w:vAlign w:val="bottom"/>
          </w:tcPr>
          <w:p>
            <w:pPr>
              <w:pStyle w:val="TableContents"/>
              <w:spacing w:before="0" w:after="283"/>
              <w:jc w:val="right"/>
              <w:rPr>
                <w:rFonts w:ascii="times" w:hAnsi="times"/>
                <w:sz w:val="14"/>
              </w:rPr>
            </w:pPr>
            <w:r>
              <w:rPr>
                <w:rFonts w:ascii="times" w:hAnsi="times"/>
                <w:sz w:val="14"/>
              </w:rPr>
              <w:t>2027 - 2029</w:t>
            </w:r>
          </w:p>
        </w:tc>
        <w:tc>
          <w:tcPr>
            <w:tcW w:w="218" w:type="dxa"/>
            <w:tcBorders/>
            <w:shd w:fill="auto" w:val="clear"/>
            <w:vAlign w:val="bottom"/>
          </w:tcPr>
          <w:p>
            <w:pPr>
              <w:pStyle w:val="TableContents"/>
              <w:spacing w:before="0" w:after="283"/>
              <w:rPr>
                <w:rFonts w:ascii="times" w:hAnsi="times"/>
                <w:position w:val="5"/>
                <w:sz w:val="11"/>
                <w:sz w:val="14"/>
              </w:rPr>
            </w:pPr>
            <w:r>
              <w:rPr>
                <w:rFonts w:ascii="times" w:hAnsi="times"/>
                <w:position w:val="5"/>
                <w:sz w:val="11"/>
                <w:sz w:val="14"/>
              </w:rPr>
              <w:t>(5)</w:t>
            </w:r>
          </w:p>
        </w:tc>
      </w:tr>
      <w:tr>
        <w:trPr/>
        <w:tc>
          <w:tcPr>
            <w:tcW w:w="253" w:type="dxa"/>
            <w:tcBorders/>
            <w:shd w:fill="auto" w:val="clear"/>
          </w:tcPr>
          <w:p>
            <w:pPr>
              <w:pStyle w:val="TableContents"/>
              <w:spacing w:before="0" w:after="283"/>
              <w:rPr>
                <w:rFonts w:ascii="times" w:hAnsi="times"/>
                <w:b/>
                <w:sz w:val="14"/>
              </w:rPr>
            </w:pPr>
            <w:r>
              <w:rPr>
                <w:rFonts w:ascii="times" w:hAnsi="times"/>
                <w:b/>
                <w:sz w:val="14"/>
              </w:rPr>
              <w:t>14</w:t>
            </w:r>
          </w:p>
        </w:tc>
        <w:tc>
          <w:tcPr>
            <w:tcW w:w="217" w:type="dxa"/>
            <w:tcBorders/>
            <w:shd w:fill="auto" w:val="clear"/>
          </w:tcPr>
          <w:p>
            <w:pPr>
              <w:pStyle w:val="TableContents"/>
              <w:spacing w:before="0" w:after="283"/>
              <w:rPr/>
            </w:pPr>
            <w:r>
              <w:rPr/>
              <w:t> </w:t>
            </w:r>
          </w:p>
        </w:tc>
        <w:tc>
          <w:tcPr>
            <w:tcW w:w="1872" w:type="dxa"/>
            <w:tcBorders/>
            <w:shd w:fill="auto" w:val="clear"/>
          </w:tcPr>
          <w:p>
            <w:pPr>
              <w:pStyle w:val="TableContents"/>
              <w:spacing w:before="0" w:after="283"/>
              <w:rPr>
                <w:rFonts w:ascii="times" w:hAnsi="times"/>
                <w:i/>
                <w:sz w:val="14"/>
              </w:rPr>
            </w:pPr>
            <w:r>
              <w:rPr>
                <w:rFonts w:ascii="times" w:hAnsi="times"/>
                <w:i/>
                <w:sz w:val="14"/>
              </w:rPr>
              <w:t>GasLog Greece</w:t>
            </w:r>
          </w:p>
        </w:tc>
        <w:tc>
          <w:tcPr>
            <w:tcW w:w="218" w:type="dxa"/>
            <w:tcBorders/>
            <w:shd w:fill="auto" w:val="clear"/>
          </w:tcPr>
          <w:p>
            <w:pPr>
              <w:pStyle w:val="TableContents"/>
              <w:spacing w:before="0" w:after="283"/>
              <w:rPr/>
            </w:pPr>
            <w:r>
              <w:rPr/>
              <w:t> </w:t>
            </w:r>
          </w:p>
        </w:tc>
        <w:tc>
          <w:tcPr>
            <w:tcW w:w="108" w:type="dxa"/>
            <w:tcBorders/>
            <w:shd w:fill="auto" w:val="clear"/>
            <w:vAlign w:val="bottom"/>
          </w:tcPr>
          <w:p>
            <w:pPr>
              <w:pStyle w:val="TableContents"/>
              <w:spacing w:before="0" w:after="283"/>
              <w:rPr/>
            </w:pPr>
            <w:r>
              <w:rPr/>
              <w:t> </w:t>
            </w:r>
          </w:p>
        </w:tc>
        <w:tc>
          <w:tcPr>
            <w:tcW w:w="816" w:type="dxa"/>
            <w:tcBorders/>
            <w:shd w:fill="auto" w:val="clear"/>
            <w:vAlign w:val="bottom"/>
          </w:tcPr>
          <w:p>
            <w:pPr>
              <w:pStyle w:val="TableContents"/>
              <w:spacing w:before="0" w:after="283"/>
              <w:jc w:val="right"/>
              <w:rPr>
                <w:rFonts w:ascii="times" w:hAnsi="times"/>
                <w:sz w:val="14"/>
              </w:rPr>
            </w:pPr>
            <w:r>
              <w:rPr>
                <w:rFonts w:ascii="times" w:hAnsi="times"/>
                <w:sz w:val="14"/>
              </w:rPr>
              <w:t>2016</w:t>
            </w:r>
          </w:p>
        </w:tc>
        <w:tc>
          <w:tcPr>
            <w:tcW w:w="217" w:type="dxa"/>
            <w:tcBorders/>
            <w:shd w:fill="auto" w:val="clear"/>
            <w:vAlign w:val="bottom"/>
          </w:tcPr>
          <w:p>
            <w:pPr>
              <w:pStyle w:val="TableContents"/>
              <w:spacing w:before="0" w:after="283"/>
              <w:rPr/>
            </w:pPr>
            <w:r>
              <w:rPr/>
              <w:t> </w:t>
            </w:r>
          </w:p>
        </w:tc>
        <w:tc>
          <w:tcPr>
            <w:tcW w:w="109" w:type="dxa"/>
            <w:tcBorders/>
            <w:shd w:fill="auto" w:val="clear"/>
            <w:vAlign w:val="bottom"/>
          </w:tcPr>
          <w:p>
            <w:pPr>
              <w:pStyle w:val="TableContents"/>
              <w:spacing w:before="0" w:after="283"/>
              <w:rPr/>
            </w:pPr>
            <w:r>
              <w:rPr/>
              <w:t> </w:t>
            </w:r>
          </w:p>
        </w:tc>
        <w:tc>
          <w:tcPr>
            <w:tcW w:w="670" w:type="dxa"/>
            <w:tcBorders/>
            <w:shd w:fill="auto" w:val="clear"/>
            <w:vAlign w:val="bottom"/>
          </w:tcPr>
          <w:p>
            <w:pPr>
              <w:pStyle w:val="TableContents"/>
              <w:spacing w:before="0" w:after="283"/>
              <w:jc w:val="right"/>
              <w:rPr>
                <w:rFonts w:ascii="times" w:hAnsi="times"/>
                <w:sz w:val="14"/>
              </w:rPr>
            </w:pPr>
            <w:r>
              <w:rPr>
                <w:rFonts w:ascii="times" w:hAnsi="times"/>
                <w:sz w:val="14"/>
              </w:rPr>
              <w:t>174,000</w:t>
            </w:r>
          </w:p>
        </w:tc>
        <w:tc>
          <w:tcPr>
            <w:tcW w:w="217" w:type="dxa"/>
            <w:tcBorders/>
            <w:shd w:fill="auto" w:val="clear"/>
            <w:vAlign w:val="bottom"/>
          </w:tcPr>
          <w:p>
            <w:pPr>
              <w:pStyle w:val="TableContents"/>
              <w:spacing w:before="0" w:after="283"/>
              <w:rPr/>
            </w:pPr>
            <w:r>
              <w:rPr/>
              <w:t> </w:t>
            </w:r>
          </w:p>
        </w:tc>
        <w:tc>
          <w:tcPr>
            <w:tcW w:w="1359" w:type="dxa"/>
            <w:tcBorders/>
            <w:shd w:fill="auto" w:val="clear"/>
            <w:vAlign w:val="bottom"/>
          </w:tcPr>
          <w:p>
            <w:pPr>
              <w:pStyle w:val="TableContents"/>
              <w:spacing w:before="0" w:after="283"/>
              <w:jc w:val="right"/>
              <w:rPr>
                <w:rFonts w:ascii="times" w:hAnsi="times"/>
                <w:sz w:val="14"/>
              </w:rPr>
            </w:pPr>
            <w:r>
              <w:rPr>
                <w:rFonts w:ascii="times" w:hAnsi="times"/>
                <w:sz w:val="14"/>
              </w:rPr>
              <w:t>Shell</w:t>
            </w:r>
          </w:p>
        </w:tc>
        <w:tc>
          <w:tcPr>
            <w:tcW w:w="218" w:type="dxa"/>
            <w:tcBorders/>
            <w:shd w:fill="auto" w:val="clear"/>
            <w:vAlign w:val="bottom"/>
          </w:tcPr>
          <w:p>
            <w:pPr>
              <w:pStyle w:val="TableContents"/>
              <w:spacing w:before="0" w:after="283"/>
              <w:rPr/>
            </w:pPr>
            <w:r>
              <w:rPr/>
              <w:t> </w:t>
            </w:r>
          </w:p>
        </w:tc>
        <w:tc>
          <w:tcPr>
            <w:tcW w:w="833" w:type="dxa"/>
            <w:tcBorders/>
            <w:shd w:fill="auto" w:val="clear"/>
            <w:vAlign w:val="bottom"/>
          </w:tcPr>
          <w:p>
            <w:pPr>
              <w:pStyle w:val="TableContents"/>
              <w:spacing w:before="0" w:after="283"/>
              <w:jc w:val="right"/>
              <w:rPr>
                <w:rFonts w:ascii="times" w:hAnsi="times"/>
                <w:sz w:val="14"/>
              </w:rPr>
            </w:pPr>
            <w:r>
              <w:rPr>
                <w:rFonts w:ascii="times" w:hAnsi="times"/>
                <w:sz w:val="14"/>
              </w:rPr>
              <w:t>TFDE</w:t>
            </w:r>
          </w:p>
        </w:tc>
        <w:tc>
          <w:tcPr>
            <w:tcW w:w="217" w:type="dxa"/>
            <w:tcBorders/>
            <w:shd w:fill="auto" w:val="clear"/>
            <w:vAlign w:val="bottom"/>
          </w:tcPr>
          <w:p>
            <w:pPr>
              <w:pStyle w:val="TableContents"/>
              <w:spacing w:before="0" w:after="283"/>
              <w:rPr/>
            </w:pPr>
            <w:r>
              <w:rPr/>
              <w:t> </w:t>
            </w:r>
          </w:p>
        </w:tc>
        <w:tc>
          <w:tcPr>
            <w:tcW w:w="1341" w:type="dxa"/>
            <w:tcBorders/>
            <w:shd w:fill="auto" w:val="clear"/>
            <w:vAlign w:val="bottom"/>
          </w:tcPr>
          <w:p>
            <w:pPr>
              <w:pStyle w:val="TableContents"/>
              <w:spacing w:before="0" w:after="283"/>
              <w:jc w:val="right"/>
              <w:rPr>
                <w:rFonts w:ascii="times" w:hAnsi="times"/>
                <w:sz w:val="14"/>
              </w:rPr>
            </w:pPr>
            <w:r>
              <w:rPr>
                <w:rFonts w:ascii="times" w:hAnsi="times"/>
                <w:sz w:val="14"/>
              </w:rPr>
              <w:t>March 2026</w:t>
            </w:r>
          </w:p>
        </w:tc>
        <w:tc>
          <w:tcPr>
            <w:tcW w:w="217" w:type="dxa"/>
            <w:tcBorders/>
            <w:shd w:fill="auto" w:val="clear"/>
            <w:vAlign w:val="bottom"/>
          </w:tcPr>
          <w:p>
            <w:pPr>
              <w:pStyle w:val="TableContents"/>
              <w:spacing w:before="0" w:after="283"/>
              <w:rPr/>
            </w:pPr>
            <w:r>
              <w:rPr/>
              <w:t> </w:t>
            </w:r>
          </w:p>
        </w:tc>
        <w:tc>
          <w:tcPr>
            <w:tcW w:w="109" w:type="dxa"/>
            <w:tcBorders/>
            <w:shd w:fill="auto" w:val="clear"/>
            <w:vAlign w:val="bottom"/>
          </w:tcPr>
          <w:p>
            <w:pPr>
              <w:pStyle w:val="TableContents"/>
              <w:spacing w:before="0" w:after="283"/>
              <w:rPr/>
            </w:pPr>
            <w:r>
              <w:rPr/>
              <w:t> </w:t>
            </w:r>
          </w:p>
        </w:tc>
        <w:tc>
          <w:tcPr>
            <w:tcW w:w="996" w:type="dxa"/>
            <w:tcBorders/>
            <w:shd w:fill="auto" w:val="clear"/>
            <w:vAlign w:val="bottom"/>
          </w:tcPr>
          <w:p>
            <w:pPr>
              <w:pStyle w:val="TableContents"/>
              <w:spacing w:before="0" w:after="283"/>
              <w:jc w:val="right"/>
              <w:rPr>
                <w:rFonts w:ascii="times" w:hAnsi="times"/>
                <w:sz w:val="14"/>
              </w:rPr>
            </w:pPr>
            <w:r>
              <w:rPr>
                <w:rFonts w:ascii="times" w:hAnsi="times"/>
                <w:sz w:val="14"/>
              </w:rPr>
              <w:t>2031</w:t>
            </w:r>
          </w:p>
        </w:tc>
        <w:tc>
          <w:tcPr>
            <w:tcW w:w="218" w:type="dxa"/>
            <w:tcBorders/>
            <w:shd w:fill="auto" w:val="clear"/>
            <w:vAlign w:val="bottom"/>
          </w:tcPr>
          <w:p>
            <w:pPr>
              <w:pStyle w:val="TableContents"/>
              <w:spacing w:before="0" w:after="283"/>
              <w:rPr>
                <w:rFonts w:ascii="times" w:hAnsi="times"/>
                <w:position w:val="5"/>
                <w:sz w:val="11"/>
                <w:sz w:val="14"/>
              </w:rPr>
            </w:pPr>
            <w:r>
              <w:rPr>
                <w:rFonts w:ascii="times" w:hAnsi="times"/>
                <w:position w:val="5"/>
                <w:sz w:val="11"/>
                <w:sz w:val="14"/>
              </w:rPr>
              <w:t>(6)</w:t>
            </w:r>
          </w:p>
        </w:tc>
      </w:tr>
      <w:tr>
        <w:trPr/>
        <w:tc>
          <w:tcPr>
            <w:tcW w:w="253" w:type="dxa"/>
            <w:tcBorders/>
            <w:shd w:fill="auto" w:val="clear"/>
          </w:tcPr>
          <w:p>
            <w:pPr>
              <w:pStyle w:val="TableContents"/>
              <w:spacing w:before="0" w:after="283"/>
              <w:rPr>
                <w:rFonts w:ascii="times" w:hAnsi="times"/>
                <w:b/>
                <w:sz w:val="14"/>
              </w:rPr>
            </w:pPr>
            <w:r>
              <w:rPr>
                <w:rFonts w:ascii="times" w:hAnsi="times"/>
                <w:b/>
                <w:sz w:val="14"/>
              </w:rPr>
              <w:t>15</w:t>
            </w:r>
          </w:p>
        </w:tc>
        <w:tc>
          <w:tcPr>
            <w:tcW w:w="217" w:type="dxa"/>
            <w:tcBorders/>
            <w:shd w:fill="auto" w:val="clear"/>
          </w:tcPr>
          <w:p>
            <w:pPr>
              <w:pStyle w:val="TableContents"/>
              <w:spacing w:before="0" w:after="283"/>
              <w:rPr/>
            </w:pPr>
            <w:r>
              <w:rPr/>
              <w:t> </w:t>
            </w:r>
          </w:p>
        </w:tc>
        <w:tc>
          <w:tcPr>
            <w:tcW w:w="1872" w:type="dxa"/>
            <w:tcBorders/>
            <w:shd w:fill="auto" w:val="clear"/>
          </w:tcPr>
          <w:p>
            <w:pPr>
              <w:pStyle w:val="TableContents"/>
              <w:spacing w:before="0" w:after="283"/>
              <w:rPr>
                <w:rFonts w:ascii="times" w:hAnsi="times"/>
                <w:i/>
                <w:sz w:val="14"/>
              </w:rPr>
            </w:pPr>
            <w:r>
              <w:rPr>
                <w:rFonts w:ascii="times" w:hAnsi="times"/>
                <w:i/>
                <w:sz w:val="14"/>
              </w:rPr>
              <w:t>GasLog Glasgow</w:t>
            </w:r>
          </w:p>
        </w:tc>
        <w:tc>
          <w:tcPr>
            <w:tcW w:w="218" w:type="dxa"/>
            <w:tcBorders/>
            <w:shd w:fill="auto" w:val="clear"/>
          </w:tcPr>
          <w:p>
            <w:pPr>
              <w:pStyle w:val="TableContents"/>
              <w:spacing w:before="0" w:after="283"/>
              <w:rPr/>
            </w:pPr>
            <w:r>
              <w:rPr/>
              <w:t> </w:t>
            </w:r>
          </w:p>
        </w:tc>
        <w:tc>
          <w:tcPr>
            <w:tcW w:w="108" w:type="dxa"/>
            <w:tcBorders/>
            <w:shd w:fill="auto" w:val="clear"/>
            <w:vAlign w:val="bottom"/>
          </w:tcPr>
          <w:p>
            <w:pPr>
              <w:pStyle w:val="TableContents"/>
              <w:spacing w:before="0" w:after="283"/>
              <w:rPr/>
            </w:pPr>
            <w:r>
              <w:rPr/>
              <w:t> </w:t>
            </w:r>
          </w:p>
        </w:tc>
        <w:tc>
          <w:tcPr>
            <w:tcW w:w="816" w:type="dxa"/>
            <w:tcBorders/>
            <w:shd w:fill="auto" w:val="clear"/>
            <w:vAlign w:val="bottom"/>
          </w:tcPr>
          <w:p>
            <w:pPr>
              <w:pStyle w:val="TableContents"/>
              <w:spacing w:before="0" w:after="283"/>
              <w:jc w:val="right"/>
              <w:rPr>
                <w:rFonts w:ascii="times" w:hAnsi="times"/>
                <w:sz w:val="14"/>
              </w:rPr>
            </w:pPr>
            <w:r>
              <w:rPr>
                <w:rFonts w:ascii="times" w:hAnsi="times"/>
                <w:sz w:val="14"/>
              </w:rPr>
              <w:t>2016</w:t>
            </w:r>
          </w:p>
        </w:tc>
        <w:tc>
          <w:tcPr>
            <w:tcW w:w="217" w:type="dxa"/>
            <w:tcBorders/>
            <w:shd w:fill="auto" w:val="clear"/>
            <w:vAlign w:val="bottom"/>
          </w:tcPr>
          <w:p>
            <w:pPr>
              <w:pStyle w:val="TableContents"/>
              <w:spacing w:before="0" w:after="283"/>
              <w:rPr/>
            </w:pPr>
            <w:r>
              <w:rPr/>
              <w:t> </w:t>
            </w:r>
          </w:p>
        </w:tc>
        <w:tc>
          <w:tcPr>
            <w:tcW w:w="109" w:type="dxa"/>
            <w:tcBorders/>
            <w:shd w:fill="auto" w:val="clear"/>
            <w:vAlign w:val="bottom"/>
          </w:tcPr>
          <w:p>
            <w:pPr>
              <w:pStyle w:val="TableContents"/>
              <w:spacing w:before="0" w:after="283"/>
              <w:rPr/>
            </w:pPr>
            <w:r>
              <w:rPr/>
              <w:t> </w:t>
            </w:r>
          </w:p>
        </w:tc>
        <w:tc>
          <w:tcPr>
            <w:tcW w:w="670" w:type="dxa"/>
            <w:tcBorders/>
            <w:shd w:fill="auto" w:val="clear"/>
            <w:vAlign w:val="bottom"/>
          </w:tcPr>
          <w:p>
            <w:pPr>
              <w:pStyle w:val="TableContents"/>
              <w:spacing w:before="0" w:after="283"/>
              <w:jc w:val="right"/>
              <w:rPr>
                <w:rFonts w:ascii="times" w:hAnsi="times"/>
                <w:sz w:val="14"/>
              </w:rPr>
            </w:pPr>
            <w:r>
              <w:rPr>
                <w:rFonts w:ascii="times" w:hAnsi="times"/>
                <w:sz w:val="14"/>
              </w:rPr>
              <w:t>174,000</w:t>
            </w:r>
          </w:p>
        </w:tc>
        <w:tc>
          <w:tcPr>
            <w:tcW w:w="217" w:type="dxa"/>
            <w:tcBorders/>
            <w:shd w:fill="auto" w:val="clear"/>
            <w:vAlign w:val="bottom"/>
          </w:tcPr>
          <w:p>
            <w:pPr>
              <w:pStyle w:val="TableContents"/>
              <w:spacing w:before="0" w:after="283"/>
              <w:rPr/>
            </w:pPr>
            <w:r>
              <w:rPr/>
              <w:t> </w:t>
            </w:r>
          </w:p>
        </w:tc>
        <w:tc>
          <w:tcPr>
            <w:tcW w:w="1359" w:type="dxa"/>
            <w:tcBorders/>
            <w:shd w:fill="auto" w:val="clear"/>
            <w:vAlign w:val="bottom"/>
          </w:tcPr>
          <w:p>
            <w:pPr>
              <w:pStyle w:val="TableContents"/>
              <w:spacing w:before="0" w:after="283"/>
              <w:jc w:val="right"/>
              <w:rPr>
                <w:rFonts w:ascii="times" w:hAnsi="times"/>
                <w:sz w:val="14"/>
              </w:rPr>
            </w:pPr>
            <w:r>
              <w:rPr>
                <w:rFonts w:ascii="times" w:hAnsi="times"/>
                <w:sz w:val="14"/>
              </w:rPr>
              <w:t>Shell</w:t>
            </w:r>
          </w:p>
        </w:tc>
        <w:tc>
          <w:tcPr>
            <w:tcW w:w="218" w:type="dxa"/>
            <w:tcBorders/>
            <w:shd w:fill="auto" w:val="clear"/>
            <w:vAlign w:val="bottom"/>
          </w:tcPr>
          <w:p>
            <w:pPr>
              <w:pStyle w:val="TableContents"/>
              <w:spacing w:before="0" w:after="283"/>
              <w:rPr/>
            </w:pPr>
            <w:r>
              <w:rPr/>
              <w:t> </w:t>
            </w:r>
          </w:p>
        </w:tc>
        <w:tc>
          <w:tcPr>
            <w:tcW w:w="833" w:type="dxa"/>
            <w:tcBorders/>
            <w:shd w:fill="auto" w:val="clear"/>
            <w:vAlign w:val="bottom"/>
          </w:tcPr>
          <w:p>
            <w:pPr>
              <w:pStyle w:val="TableContents"/>
              <w:spacing w:before="0" w:after="283"/>
              <w:jc w:val="right"/>
              <w:rPr>
                <w:rFonts w:ascii="times" w:hAnsi="times"/>
                <w:sz w:val="14"/>
              </w:rPr>
            </w:pPr>
            <w:r>
              <w:rPr>
                <w:rFonts w:ascii="times" w:hAnsi="times"/>
                <w:sz w:val="14"/>
              </w:rPr>
              <w:t>TFDE</w:t>
            </w:r>
          </w:p>
        </w:tc>
        <w:tc>
          <w:tcPr>
            <w:tcW w:w="217" w:type="dxa"/>
            <w:tcBorders/>
            <w:shd w:fill="auto" w:val="clear"/>
            <w:vAlign w:val="bottom"/>
          </w:tcPr>
          <w:p>
            <w:pPr>
              <w:pStyle w:val="TableContents"/>
              <w:spacing w:before="0" w:after="283"/>
              <w:rPr/>
            </w:pPr>
            <w:r>
              <w:rPr/>
              <w:t> </w:t>
            </w:r>
          </w:p>
        </w:tc>
        <w:tc>
          <w:tcPr>
            <w:tcW w:w="1341" w:type="dxa"/>
            <w:tcBorders/>
            <w:shd w:fill="auto" w:val="clear"/>
            <w:vAlign w:val="bottom"/>
          </w:tcPr>
          <w:p>
            <w:pPr>
              <w:pStyle w:val="TableContents"/>
              <w:spacing w:before="0" w:after="283"/>
              <w:jc w:val="right"/>
              <w:rPr>
                <w:rFonts w:ascii="times" w:hAnsi="times"/>
                <w:sz w:val="14"/>
              </w:rPr>
            </w:pPr>
            <w:r>
              <w:rPr>
                <w:rFonts w:ascii="times" w:hAnsi="times"/>
                <w:sz w:val="14"/>
              </w:rPr>
              <w:t>June 2026</w:t>
            </w:r>
          </w:p>
        </w:tc>
        <w:tc>
          <w:tcPr>
            <w:tcW w:w="217" w:type="dxa"/>
            <w:tcBorders/>
            <w:shd w:fill="auto" w:val="clear"/>
            <w:vAlign w:val="bottom"/>
          </w:tcPr>
          <w:p>
            <w:pPr>
              <w:pStyle w:val="TableContents"/>
              <w:spacing w:before="0" w:after="283"/>
              <w:rPr/>
            </w:pPr>
            <w:r>
              <w:rPr/>
              <w:t> </w:t>
            </w:r>
          </w:p>
        </w:tc>
        <w:tc>
          <w:tcPr>
            <w:tcW w:w="109" w:type="dxa"/>
            <w:tcBorders/>
            <w:shd w:fill="auto" w:val="clear"/>
            <w:vAlign w:val="bottom"/>
          </w:tcPr>
          <w:p>
            <w:pPr>
              <w:pStyle w:val="TableContents"/>
              <w:spacing w:before="0" w:after="283"/>
              <w:rPr/>
            </w:pPr>
            <w:r>
              <w:rPr/>
              <w:t> </w:t>
            </w:r>
          </w:p>
        </w:tc>
        <w:tc>
          <w:tcPr>
            <w:tcW w:w="996" w:type="dxa"/>
            <w:tcBorders/>
            <w:shd w:fill="auto" w:val="clear"/>
            <w:vAlign w:val="bottom"/>
          </w:tcPr>
          <w:p>
            <w:pPr>
              <w:pStyle w:val="TableContents"/>
              <w:spacing w:before="0" w:after="283"/>
              <w:jc w:val="right"/>
              <w:rPr>
                <w:rFonts w:ascii="times" w:hAnsi="times"/>
                <w:sz w:val="14"/>
              </w:rPr>
            </w:pPr>
            <w:r>
              <w:rPr>
                <w:rFonts w:ascii="times" w:hAnsi="times"/>
                <w:sz w:val="14"/>
              </w:rPr>
              <w:t>2031</w:t>
            </w:r>
          </w:p>
        </w:tc>
        <w:tc>
          <w:tcPr>
            <w:tcW w:w="218" w:type="dxa"/>
            <w:tcBorders/>
            <w:shd w:fill="auto" w:val="clear"/>
            <w:vAlign w:val="bottom"/>
          </w:tcPr>
          <w:p>
            <w:pPr>
              <w:pStyle w:val="TableContents"/>
              <w:spacing w:before="0" w:after="283"/>
              <w:rPr>
                <w:rFonts w:ascii="times" w:hAnsi="times"/>
                <w:position w:val="5"/>
                <w:sz w:val="11"/>
                <w:sz w:val="14"/>
              </w:rPr>
            </w:pPr>
            <w:r>
              <w:rPr>
                <w:rFonts w:ascii="times" w:hAnsi="times"/>
                <w:position w:val="5"/>
                <w:sz w:val="11"/>
                <w:sz w:val="14"/>
              </w:rPr>
              <w:t>(6)</w:t>
            </w:r>
          </w:p>
        </w:tc>
      </w:tr>
    </w:tbl>
    <w:p>
      <w:pPr>
        <w:pStyle w:val="HorizontalLine"/>
        <w:pBdr>
          <w:bottom w:val="single" w:sz="6" w:space="0" w:color="000000"/>
        </w:pBdr>
        <w:ind w:left="0" w:right="7042" w:hanging="0"/>
        <w:rPr/>
      </w:pPr>
      <w:r>
        <w:rPr/>
      </w:r>
    </w:p>
    <w:p>
      <w:pPr>
        <w:pStyle w:val="ListHeading"/>
        <w:spacing w:before="0" w:after="0"/>
        <w:jc w:val="left"/>
        <w:rPr>
          <w:rFonts w:ascii="times" w:hAnsi="times"/>
          <w:position w:val="5"/>
          <w:sz w:val="11"/>
          <w:sz w:val="14"/>
        </w:rPr>
      </w:pPr>
      <w:r>
        <w:rPr>
          <w:rFonts w:ascii="times" w:hAnsi="times"/>
          <w:position w:val="5"/>
          <w:sz w:val="11"/>
          <w:sz w:val="14"/>
        </w:rPr>
        <w:t>(1)</w:t>
      </w:r>
    </w:p>
    <w:p>
      <w:pPr>
        <w:pStyle w:val="ListContents"/>
        <w:spacing w:before="0" w:after="283"/>
        <w:jc w:val="left"/>
        <w:rPr>
          <w:rFonts w:ascii="times" w:hAnsi="times"/>
          <w:sz w:val="14"/>
        </w:rPr>
      </w:pPr>
      <w:r>
        <w:rPr>
          <w:rFonts w:ascii="times" w:hAnsi="times"/>
          <w:sz w:val="14"/>
        </w:rPr>
        <w:t xml:space="preserve">Charterer may extend the term of this time charter for a period ranging from one to seven years, provided that the charterer gives us advance notice of declaration. The period shown reflects the expiration of the minimum optional period and the maximum optional period. </w:t>
      </w:r>
    </w:p>
    <w:p>
      <w:pPr>
        <w:pStyle w:val="ListHeading"/>
        <w:spacing w:before="0" w:after="0"/>
        <w:jc w:val="left"/>
        <w:rPr>
          <w:rFonts w:ascii="times" w:hAnsi="times"/>
          <w:position w:val="5"/>
          <w:sz w:val="11"/>
          <w:sz w:val="14"/>
        </w:rPr>
      </w:pPr>
      <w:r>
        <w:rPr>
          <w:rFonts w:ascii="times" w:hAnsi="times"/>
          <w:position w:val="5"/>
          <w:sz w:val="11"/>
          <w:sz w:val="14"/>
        </w:rPr>
        <w:t>(2)</w:t>
      </w:r>
    </w:p>
    <w:p>
      <w:pPr>
        <w:pStyle w:val="ListContents"/>
        <w:spacing w:before="0" w:after="283"/>
        <w:jc w:val="left"/>
        <w:rPr>
          <w:rFonts w:ascii="times" w:hAnsi="times"/>
          <w:sz w:val="14"/>
        </w:rPr>
      </w:pPr>
      <w:r>
        <w:rPr>
          <w:rFonts w:ascii="times" w:hAnsi="times"/>
          <w:sz w:val="14"/>
        </w:rPr>
        <w:t xml:space="preserve">Charterer may extend the term of the time charters by two additional periods of one year, respectively, provided that the charterer gives us advance notice of declaration. The period shown reflects the expiration of the minimum optional period and the maximum optional period. </w:t>
      </w:r>
    </w:p>
    <w:p>
      <w:pPr>
        <w:pStyle w:val="ListHeading"/>
        <w:spacing w:before="0" w:after="0"/>
        <w:jc w:val="left"/>
        <w:rPr>
          <w:rFonts w:ascii="times" w:hAnsi="times"/>
          <w:position w:val="5"/>
          <w:sz w:val="11"/>
          <w:sz w:val="14"/>
        </w:rPr>
      </w:pPr>
      <w:r>
        <w:rPr>
          <w:rFonts w:ascii="times" w:hAnsi="times"/>
          <w:position w:val="5"/>
          <w:sz w:val="11"/>
          <w:sz w:val="14"/>
        </w:rPr>
        <w:t>(3)</w:t>
      </w:r>
    </w:p>
    <w:p>
      <w:pPr>
        <w:pStyle w:val="ListContents"/>
        <w:spacing w:before="0" w:after="283"/>
        <w:jc w:val="left"/>
        <w:rPr>
          <w:rFonts w:ascii="times" w:hAnsi="times"/>
          <w:sz w:val="14"/>
        </w:rPr>
      </w:pPr>
      <w:r>
        <w:rPr>
          <w:rFonts w:ascii="times" w:hAnsi="times"/>
          <w:sz w:val="14"/>
        </w:rPr>
        <w:t xml:space="preserve">Charterer may extend the term of the time charters by two additional periods of five and three years, respectively, provided that the charterer gives us advance notice of declaration. The period shown reflects the expiration of the minimum optional period and the maximum optional period. </w:t>
      </w:r>
    </w:p>
    <w:p>
      <w:pPr>
        <w:pStyle w:val="ListHeading"/>
        <w:spacing w:before="0" w:after="0"/>
        <w:jc w:val="left"/>
        <w:rPr>
          <w:rFonts w:ascii="times" w:hAnsi="times"/>
          <w:position w:val="5"/>
          <w:sz w:val="11"/>
          <w:sz w:val="14"/>
        </w:rPr>
      </w:pPr>
      <w:r>
        <w:rPr>
          <w:rFonts w:ascii="times" w:hAnsi="times"/>
          <w:position w:val="5"/>
          <w:sz w:val="11"/>
          <w:sz w:val="14"/>
        </w:rPr>
        <w:t>(4)</w:t>
      </w:r>
    </w:p>
    <w:p>
      <w:pPr>
        <w:pStyle w:val="ListContents"/>
        <w:spacing w:before="0" w:after="283"/>
        <w:jc w:val="left"/>
        <w:rPr>
          <w:rFonts w:ascii="times" w:hAnsi="times"/>
          <w:sz w:val="14"/>
        </w:rPr>
      </w:pPr>
      <w:r>
        <w:rPr>
          <w:rFonts w:ascii="times" w:hAnsi="times"/>
          <w:sz w:val="14"/>
        </w:rPr>
        <w:t xml:space="preserve">Charterer may extend the term of the related charter by two additional periods of one year, provided that the charterer gives us advance notice of its exercise of any extension option. The period shown reflects the expiration of the minimum optional period and the maximum optional period. </w:t>
      </w:r>
    </w:p>
    <w:p>
      <w:pPr>
        <w:pStyle w:val="ListHeading"/>
        <w:spacing w:before="0" w:after="0"/>
        <w:jc w:val="left"/>
        <w:rPr>
          <w:rFonts w:ascii="times" w:hAnsi="times"/>
          <w:position w:val="5"/>
          <w:sz w:val="11"/>
          <w:sz w:val="14"/>
        </w:rPr>
      </w:pPr>
      <w:r>
        <w:rPr>
          <w:rFonts w:ascii="times" w:hAnsi="times"/>
          <w:position w:val="5"/>
          <w:sz w:val="11"/>
          <w:sz w:val="14"/>
        </w:rPr>
        <w:t>(5)</w:t>
      </w:r>
    </w:p>
    <w:p>
      <w:pPr>
        <w:pStyle w:val="ListContents"/>
        <w:spacing w:before="0" w:after="283"/>
        <w:jc w:val="left"/>
        <w:rPr>
          <w:rFonts w:ascii="times" w:hAnsi="times"/>
          <w:sz w:val="14"/>
        </w:rPr>
      </w:pPr>
      <w:r>
        <w:rPr>
          <w:rFonts w:ascii="times" w:hAnsi="times"/>
          <w:sz w:val="14"/>
        </w:rPr>
        <w:t xml:space="preserve">Charterer may extend the term of the related time charter for one extension period of three or five years, provided that the charterer gives us advance notice of its exercise of any extension option. The period shown reflects the expiration of the minimum optional period and the maximum optional period. </w:t>
      </w:r>
    </w:p>
    <w:p>
      <w:pPr>
        <w:pStyle w:val="ListHeading"/>
        <w:spacing w:before="0" w:after="0"/>
        <w:jc w:val="left"/>
        <w:rPr>
          <w:rFonts w:ascii="times" w:hAnsi="times"/>
          <w:position w:val="5"/>
          <w:sz w:val="11"/>
          <w:sz w:val="14"/>
        </w:rPr>
      </w:pPr>
      <w:r>
        <w:rPr>
          <w:rFonts w:ascii="times" w:hAnsi="times"/>
          <w:position w:val="5"/>
          <w:sz w:val="11"/>
          <w:sz w:val="14"/>
        </w:rPr>
        <w:t>(6)</w:t>
      </w:r>
    </w:p>
    <w:p>
      <w:pPr>
        <w:pStyle w:val="ListContents"/>
        <w:spacing w:before="0" w:after="283"/>
        <w:jc w:val="left"/>
        <w:rPr>
          <w:rFonts w:ascii="times" w:hAnsi="times"/>
          <w:sz w:val="14"/>
        </w:rPr>
      </w:pPr>
      <w:r>
        <w:rPr>
          <w:rFonts w:ascii="times" w:hAnsi="times"/>
          <w:sz w:val="14"/>
        </w:rPr>
        <w:t xml:space="preserve">Charterer may extend the term of these time charters for a period of five years, provided that the charterer gives us advance notice of declaration. </w:t>
      </w:r>
    </w:p>
    <w:p>
      <w:pPr>
        <w:pStyle w:val="TextBody"/>
        <w:ind w:left="200" w:right="0" w:hanging="200"/>
        <w:rPr>
          <w:rFonts w:ascii="times" w:hAnsi="times"/>
          <w:b/>
          <w:i/>
          <w:sz w:val="20"/>
          <w:bdr w:val="single" w:sz="8" w:space="12" w:color="000000"/>
        </w:rPr>
      </w:pPr>
      <w:r>
        <w:rPr>
          <w:rFonts w:ascii="times" w:hAnsi="times"/>
          <w:b/>
          <w:i/>
          <w:sz w:val="20"/>
          <w:bdr w:val="single" w:sz="8" w:space="12" w:color="000000"/>
        </w:rPr>
        <w:t xml:space="preserve">Charter Expirations </w:t>
      </w:r>
    </w:p>
    <w:p>
      <w:pPr>
        <w:pStyle w:val="TextBody"/>
        <w:rPr>
          <w:rFonts w:ascii="times" w:hAnsi="times"/>
          <w:bdr w:val="single" w:sz="8" w:space="12" w:color="000000"/>
        </w:rPr>
      </w:pPr>
      <w:r>
        <w:rPr>
          <w:rFonts w:ascii="times" w:hAnsi="times"/>
          <w:sz w:val="20"/>
          <w:bdr w:val="single" w:sz="8" w:space="12" w:color="000000"/>
        </w:rPr>
        <w:t xml:space="preserve">The </w:t>
      </w:r>
      <w:r>
        <w:rPr>
          <w:rFonts w:ascii="times" w:hAnsi="times"/>
          <w:i/>
          <w:sz w:val="20"/>
          <w:bdr w:val="single" w:sz="8" w:space="12" w:color="000000"/>
        </w:rPr>
        <w:t>GasLog Seattle</w:t>
      </w:r>
      <w:r>
        <w:rPr>
          <w:rFonts w:ascii="times" w:hAnsi="times"/>
          <w:bdr w:val="single" w:sz="8" w:space="12" w:color="000000"/>
        </w:rPr>
        <w:t xml:space="preserve"> </w:t>
      </w:r>
      <w:r>
        <w:rPr>
          <w:rFonts w:ascii="times" w:hAnsi="times"/>
          <w:sz w:val="20"/>
          <w:bdr w:val="single" w:sz="8" w:space="12" w:color="000000"/>
        </w:rPr>
        <w:t xml:space="preserve">and the </w:t>
      </w:r>
      <w:r>
        <w:rPr>
          <w:rFonts w:ascii="times" w:hAnsi="times"/>
          <w:i/>
          <w:sz w:val="20"/>
          <w:bdr w:val="single" w:sz="8" w:space="12" w:color="000000"/>
        </w:rPr>
        <w:t>Solaris</w:t>
      </w:r>
      <w:r>
        <w:rPr>
          <w:rFonts w:ascii="times" w:hAnsi="times"/>
          <w:bdr w:val="single" w:sz="8" w:space="12" w:color="000000"/>
        </w:rPr>
        <w:t xml:space="preserve"> </w:t>
      </w:r>
      <w:r>
        <w:rPr>
          <w:rFonts w:ascii="times" w:hAnsi="times"/>
          <w:sz w:val="20"/>
          <w:bdr w:val="single" w:sz="8" w:space="12" w:color="000000"/>
        </w:rPr>
        <w:t xml:space="preserve">are due to come off their charters in June 2021 and August 2021, respectively, while the </w:t>
      </w:r>
      <w:r>
        <w:rPr>
          <w:rFonts w:ascii="times" w:hAnsi="times"/>
          <w:i/>
          <w:sz w:val="20"/>
          <w:bdr w:val="single" w:sz="8" w:space="12" w:color="000000"/>
        </w:rPr>
        <w:t>GasLog Santiago</w:t>
      </w:r>
      <w:r>
        <w:rPr>
          <w:rFonts w:ascii="times" w:hAnsi="times"/>
          <w:bdr w:val="single" w:sz="8" w:space="12" w:color="000000"/>
        </w:rPr>
        <w:t xml:space="preserve"> </w:t>
      </w:r>
      <w:r>
        <w:rPr>
          <w:rFonts w:ascii="times" w:hAnsi="times"/>
          <w:sz w:val="20"/>
          <w:bdr w:val="single" w:sz="8" w:space="12" w:color="000000"/>
        </w:rPr>
        <w:t xml:space="preserve">is due to come off charter in December 2021. GasLog Partners recently secured a new two-year time charter for the </w:t>
      </w:r>
      <w:r>
        <w:rPr>
          <w:rFonts w:ascii="times" w:hAnsi="times"/>
          <w:i/>
          <w:sz w:val="20"/>
          <w:bdr w:val="single" w:sz="8" w:space="12" w:color="000000"/>
        </w:rPr>
        <w:t>Methane Jane Elizabeth</w:t>
      </w:r>
      <w:r>
        <w:rPr>
          <w:rFonts w:ascii="times" w:hAnsi="times"/>
          <w:bdr w:val="single" w:sz="8" w:space="12" w:color="000000"/>
        </w:rPr>
        <w:t xml:space="preserve"> </w:t>
      </w:r>
      <w:r>
        <w:rPr>
          <w:rFonts w:ascii="times" w:hAnsi="times"/>
          <w:sz w:val="20"/>
          <w:bdr w:val="single" w:sz="8" w:space="12" w:color="000000"/>
        </w:rPr>
        <w:t xml:space="preserve">and continues to pursue opportunities for new term charters with third parties, while trading the vessels in the spot market and pursuing the most advantageous redeployment depending on evolving market conditions. </w:t>
      </w:r>
    </w:p>
    <w:p>
      <w:pPr>
        <w:pStyle w:val="TextBody"/>
        <w:rPr>
          <w:rFonts w:ascii="times" w:hAnsi="times"/>
          <w:sz w:val="20"/>
          <w:bdr w:val="single" w:sz="8" w:space="12" w:color="000000"/>
        </w:rPr>
      </w:pPr>
      <w:r>
        <w:rPr>
          <w:rFonts w:ascii="times" w:hAnsi="times"/>
          <w:sz w:val="20"/>
          <w:bdr w:val="single" w:sz="8" w:space="12" w:color="000000"/>
        </w:rPr>
        <w:t xml:space="preserve">By the end of 2020, all five of the Partnership's Steam vessels had ended their initial multi-year time charters with subsidiaries of Shell, while three additional TFDE vessels will also conclude their multi-year charters during 2021. Although we have been successful in finding longer-term employment for some of our available vessels, this has been concluded at current market rates, which are below those achieved during the initial charters. </w:t>
      </w:r>
    </w:p>
    <w:p>
      <w:pPr>
        <w:pStyle w:val="TextBody"/>
        <w:jc w:val="center"/>
        <w:rPr>
          <w:rFonts w:ascii="times" w:hAnsi="times"/>
          <w:sz w:val="20"/>
        </w:rPr>
      </w:pPr>
      <w:r>
        <w:rPr>
          <w:rFonts w:ascii="times" w:hAnsi="times"/>
          <w:sz w:val="20"/>
        </w:rPr>
        <w:t>S-6</w:t>
      </w:r>
    </w:p>
    <w:p>
      <w:pPr>
        <w:pStyle w:val="HorizontalLine"/>
        <w:pBdr>
          <w:bottom w:val="single" w:sz="20" w:space="0" w:color="808080"/>
        </w:pBdr>
        <w:rPr/>
      </w:pPr>
      <w:r>
        <w:rPr/>
      </w:r>
      <w:r>
        <w:br w:type="page"/>
      </w:r>
    </w:p>
    <w:p>
      <w:pPr>
        <w:pStyle w:val="TextBody"/>
        <w:rPr/>
      </w:pPr>
      <w:hyperlink w:anchor="bE43504A_main_toc">
        <w:bookmarkStart w:id="25" w:name="page_bk43504_1_7"/>
        <w:bookmarkEnd w:id="25"/>
        <w:r>
          <w:rPr>
            <w:rStyle w:val="InternetLink"/>
            <w:rFonts w:ascii="times" w:hAnsi="times"/>
            <w:sz w:val="20"/>
          </w:rPr>
          <w:t>Table of Contents</w:t>
        </w:r>
      </w:hyperlink>
    </w:p>
    <w:p>
      <w:pPr>
        <w:pStyle w:val="TextBody"/>
        <w:ind w:left="200" w:right="0" w:hanging="200"/>
        <w:rPr>
          <w:rFonts w:ascii="times" w:hAnsi="times"/>
          <w:b/>
          <w:sz w:val="20"/>
          <w:bdr w:val="single" w:sz="8" w:space="12" w:color="000000"/>
        </w:rPr>
      </w:pPr>
      <w:bookmarkStart w:id="26" w:name="toc_bk43504_5"/>
      <w:bookmarkStart w:id="27" w:name="bk43504_additional_vessels"/>
      <w:bookmarkEnd w:id="26"/>
      <w:bookmarkEnd w:id="27"/>
      <w:r>
        <w:rPr>
          <w:rFonts w:ascii="times" w:hAnsi="times"/>
          <w:b/>
          <w:sz w:val="20"/>
          <w:bdr w:val="single" w:sz="8" w:space="12" w:color="000000"/>
        </w:rPr>
        <w:t xml:space="preserve">Additional Vessels </w:t>
      </w:r>
    </w:p>
    <w:p>
      <w:pPr>
        <w:pStyle w:val="TextBody"/>
        <w:ind w:left="200" w:right="0" w:hanging="200"/>
        <w:rPr>
          <w:rFonts w:ascii="times" w:hAnsi="times"/>
          <w:i/>
          <w:sz w:val="20"/>
          <w:bdr w:val="single" w:sz="8" w:space="12" w:color="000000"/>
        </w:rPr>
      </w:pPr>
      <w:r>
        <w:rPr>
          <w:rFonts w:ascii="times" w:hAnsi="times"/>
          <w:i/>
          <w:sz w:val="20"/>
          <w:bdr w:val="single" w:sz="8" w:space="12" w:color="000000"/>
        </w:rPr>
        <w:t xml:space="preserve">Five-Year Vessel Business Opportunities </w:t>
      </w:r>
    </w:p>
    <w:p>
      <w:pPr>
        <w:pStyle w:val="TextBody"/>
        <w:rPr>
          <w:rFonts w:ascii="times" w:hAnsi="times"/>
          <w:sz w:val="20"/>
          <w:bdr w:val="single" w:sz="8" w:space="12" w:color="000000"/>
        </w:rPr>
      </w:pPr>
      <w:r>
        <w:rPr>
          <w:rFonts w:ascii="times" w:hAnsi="times"/>
          <w:sz w:val="20"/>
          <w:bdr w:val="single" w:sz="8" w:space="12" w:color="000000"/>
        </w:rPr>
        <w:t xml:space="preserve">GasLog has agreed, and has caused its controlled affiliates (other than us, our general partner and our subsidiaries) to agree, not to acquire, own, operate or charter any LNG carrier with a cargo capacity greater than 75,000 cbm engaged in oceangoing LNG transportation under a charter for five full years or more without, within 30 calendar days after the consummation of the acquisition or the commencement of the operations or charter of such a vessel, notifying us and offering us the opportunity to purchase such vessel at fair market value. We refer to these vessels, together with any related charters, as "Five-Year Vessels". The two newbuildings and seven on-the-water vessels listed below will each qualify as a Five-Year Vessel upon commencement of their respective charters and GasLog will be required to offer to us an opportunity to purchase each vessel at fair market value within 30 days of the commencement of its charter. Generally, we must exercise this right of first offer within 30 days following receipt of notice from GasLog that the vessel has been acquired or has become a Five-Year Vessel. See "Item 7. Major Unitholders and Related Party TransactionsB. Related Party TransactionsOmnibus AgreementNoncompetition" of our Annual Report on Form 20-F for additional information on the LNG carrier purchase options. </w:t>
      </w:r>
    </w:p>
    <w:tbl>
      <w:tblPr>
        <w:tblW w:w="5000" w:type="pct"/>
        <w:jc w:val="center"/>
        <w:tblInd w:w="0" w:type="dxa"/>
        <w:tblCellMar>
          <w:top w:w="0" w:type="dxa"/>
          <w:left w:w="0" w:type="dxa"/>
          <w:bottom w:w="0" w:type="dxa"/>
          <w:right w:w="0" w:type="dxa"/>
        </w:tblCellMar>
      </w:tblPr>
      <w:tblGrid>
        <w:gridCol w:w="210"/>
        <w:gridCol w:w="281"/>
        <w:gridCol w:w="1878"/>
        <w:gridCol w:w="281"/>
        <w:gridCol w:w="1310"/>
        <w:gridCol w:w="280"/>
        <w:gridCol w:w="141"/>
        <w:gridCol w:w="865"/>
        <w:gridCol w:w="281"/>
        <w:gridCol w:w="1239"/>
        <w:gridCol w:w="281"/>
        <w:gridCol w:w="1076"/>
        <w:gridCol w:w="280"/>
        <w:gridCol w:w="1802"/>
      </w:tblGrid>
      <w:tr>
        <w:trPr/>
        <w:tc>
          <w:tcPr>
            <w:tcW w:w="210" w:type="dxa"/>
            <w:tcBorders/>
            <w:shd w:fill="auto" w:val="clear"/>
            <w:vAlign w:val="center"/>
          </w:tcPr>
          <w:p>
            <w:pPr>
              <w:pStyle w:val="TableContents"/>
              <w:spacing w:before="0" w:after="283"/>
              <w:rPr>
                <w:sz w:val="4"/>
                <w:szCs w:val="4"/>
              </w:rPr>
            </w:pPr>
            <w:r>
              <w:rPr>
                <w:sz w:val="4"/>
                <w:szCs w:val="4"/>
              </w:rPr>
            </w:r>
          </w:p>
        </w:tc>
        <w:tc>
          <w:tcPr>
            <w:tcW w:w="281" w:type="dxa"/>
            <w:tcBorders/>
            <w:shd w:fill="auto" w:val="clear"/>
            <w:vAlign w:val="center"/>
          </w:tcPr>
          <w:p>
            <w:pPr>
              <w:pStyle w:val="TableContents"/>
              <w:spacing w:before="0" w:after="283"/>
              <w:rPr>
                <w:sz w:val="4"/>
                <w:szCs w:val="4"/>
              </w:rPr>
            </w:pPr>
            <w:r>
              <w:rPr>
                <w:sz w:val="4"/>
                <w:szCs w:val="4"/>
              </w:rPr>
            </w:r>
          </w:p>
        </w:tc>
        <w:tc>
          <w:tcPr>
            <w:tcW w:w="1878" w:type="dxa"/>
            <w:tcBorders/>
            <w:shd w:fill="auto" w:val="clear"/>
            <w:vAlign w:val="center"/>
          </w:tcPr>
          <w:p>
            <w:pPr>
              <w:pStyle w:val="TableContents"/>
              <w:spacing w:before="0" w:after="283"/>
              <w:rPr>
                <w:sz w:val="4"/>
                <w:szCs w:val="4"/>
              </w:rPr>
            </w:pPr>
            <w:r>
              <w:rPr>
                <w:sz w:val="4"/>
                <w:szCs w:val="4"/>
              </w:rPr>
            </w:r>
          </w:p>
        </w:tc>
        <w:tc>
          <w:tcPr>
            <w:tcW w:w="281" w:type="dxa"/>
            <w:tcBorders/>
            <w:shd w:fill="auto" w:val="clear"/>
            <w:vAlign w:val="center"/>
          </w:tcPr>
          <w:p>
            <w:pPr>
              <w:pStyle w:val="TableContents"/>
              <w:spacing w:before="0" w:after="283"/>
              <w:rPr>
                <w:sz w:val="4"/>
                <w:szCs w:val="4"/>
              </w:rPr>
            </w:pPr>
            <w:r>
              <w:rPr>
                <w:sz w:val="4"/>
                <w:szCs w:val="4"/>
              </w:rPr>
            </w:r>
          </w:p>
        </w:tc>
        <w:tc>
          <w:tcPr>
            <w:tcW w:w="1310" w:type="dxa"/>
            <w:tcBorders/>
            <w:shd w:fill="auto" w:val="clear"/>
            <w:vAlign w:val="center"/>
          </w:tcPr>
          <w:p>
            <w:pPr>
              <w:pStyle w:val="TableContents"/>
              <w:spacing w:before="0" w:after="283"/>
              <w:rPr>
                <w:sz w:val="4"/>
                <w:szCs w:val="4"/>
              </w:rPr>
            </w:pPr>
            <w:r>
              <w:rPr>
                <w:sz w:val="4"/>
                <w:szCs w:val="4"/>
              </w:rPr>
            </w:r>
          </w:p>
        </w:tc>
        <w:tc>
          <w:tcPr>
            <w:tcW w:w="280" w:type="dxa"/>
            <w:tcBorders/>
            <w:shd w:fill="auto" w:val="clear"/>
            <w:vAlign w:val="center"/>
          </w:tcPr>
          <w:p>
            <w:pPr>
              <w:pStyle w:val="TableContents"/>
              <w:spacing w:before="0" w:after="283"/>
              <w:rPr>
                <w:sz w:val="4"/>
                <w:szCs w:val="4"/>
              </w:rPr>
            </w:pPr>
            <w:r>
              <w:rPr>
                <w:sz w:val="4"/>
                <w:szCs w:val="4"/>
              </w:rPr>
            </w:r>
          </w:p>
        </w:tc>
        <w:tc>
          <w:tcPr>
            <w:tcW w:w="141" w:type="dxa"/>
            <w:tcBorders/>
            <w:shd w:fill="auto" w:val="clear"/>
            <w:vAlign w:val="center"/>
          </w:tcPr>
          <w:p>
            <w:pPr>
              <w:pStyle w:val="TableContents"/>
              <w:spacing w:before="0" w:after="283"/>
              <w:rPr>
                <w:sz w:val="4"/>
                <w:szCs w:val="4"/>
              </w:rPr>
            </w:pPr>
            <w:r>
              <w:rPr>
                <w:sz w:val="4"/>
                <w:szCs w:val="4"/>
              </w:rPr>
            </w:r>
          </w:p>
        </w:tc>
        <w:tc>
          <w:tcPr>
            <w:tcW w:w="865" w:type="dxa"/>
            <w:tcBorders/>
            <w:shd w:fill="auto" w:val="clear"/>
            <w:vAlign w:val="center"/>
          </w:tcPr>
          <w:p>
            <w:pPr>
              <w:pStyle w:val="TableContents"/>
              <w:spacing w:before="0" w:after="283"/>
              <w:rPr>
                <w:sz w:val="4"/>
                <w:szCs w:val="4"/>
              </w:rPr>
            </w:pPr>
            <w:r>
              <w:rPr>
                <w:sz w:val="4"/>
                <w:szCs w:val="4"/>
              </w:rPr>
            </w:r>
          </w:p>
        </w:tc>
        <w:tc>
          <w:tcPr>
            <w:tcW w:w="281" w:type="dxa"/>
            <w:tcBorders/>
            <w:shd w:fill="auto" w:val="clear"/>
            <w:vAlign w:val="center"/>
          </w:tcPr>
          <w:p>
            <w:pPr>
              <w:pStyle w:val="TableContents"/>
              <w:spacing w:before="0" w:after="283"/>
              <w:rPr>
                <w:sz w:val="4"/>
                <w:szCs w:val="4"/>
              </w:rPr>
            </w:pPr>
            <w:r>
              <w:rPr>
                <w:sz w:val="4"/>
                <w:szCs w:val="4"/>
              </w:rPr>
            </w:r>
          </w:p>
        </w:tc>
        <w:tc>
          <w:tcPr>
            <w:tcW w:w="1239" w:type="dxa"/>
            <w:tcBorders/>
            <w:shd w:fill="auto" w:val="clear"/>
            <w:vAlign w:val="center"/>
          </w:tcPr>
          <w:p>
            <w:pPr>
              <w:pStyle w:val="TableContents"/>
              <w:spacing w:before="0" w:after="283"/>
              <w:rPr>
                <w:sz w:val="4"/>
                <w:szCs w:val="4"/>
              </w:rPr>
            </w:pPr>
            <w:r>
              <w:rPr>
                <w:sz w:val="4"/>
                <w:szCs w:val="4"/>
              </w:rPr>
            </w:r>
          </w:p>
        </w:tc>
        <w:tc>
          <w:tcPr>
            <w:tcW w:w="281" w:type="dxa"/>
            <w:tcBorders/>
            <w:shd w:fill="auto" w:val="clear"/>
            <w:vAlign w:val="center"/>
          </w:tcPr>
          <w:p>
            <w:pPr>
              <w:pStyle w:val="TableContents"/>
              <w:spacing w:before="0" w:after="283"/>
              <w:rPr>
                <w:sz w:val="4"/>
                <w:szCs w:val="4"/>
              </w:rPr>
            </w:pPr>
            <w:r>
              <w:rPr>
                <w:sz w:val="4"/>
                <w:szCs w:val="4"/>
              </w:rPr>
            </w:r>
          </w:p>
        </w:tc>
        <w:tc>
          <w:tcPr>
            <w:tcW w:w="1076" w:type="dxa"/>
            <w:tcBorders/>
            <w:shd w:fill="auto" w:val="clear"/>
            <w:vAlign w:val="center"/>
          </w:tcPr>
          <w:p>
            <w:pPr>
              <w:pStyle w:val="TableContents"/>
              <w:spacing w:before="0" w:after="283"/>
              <w:rPr>
                <w:sz w:val="4"/>
                <w:szCs w:val="4"/>
              </w:rPr>
            </w:pPr>
            <w:r>
              <w:rPr>
                <w:sz w:val="4"/>
                <w:szCs w:val="4"/>
              </w:rPr>
            </w:r>
          </w:p>
        </w:tc>
        <w:tc>
          <w:tcPr>
            <w:tcW w:w="280" w:type="dxa"/>
            <w:tcBorders/>
            <w:shd w:fill="auto" w:val="clear"/>
            <w:vAlign w:val="center"/>
          </w:tcPr>
          <w:p>
            <w:pPr>
              <w:pStyle w:val="TableContents"/>
              <w:spacing w:before="0" w:after="283"/>
              <w:rPr>
                <w:sz w:val="4"/>
                <w:szCs w:val="4"/>
              </w:rPr>
            </w:pPr>
            <w:r>
              <w:rPr>
                <w:sz w:val="4"/>
                <w:szCs w:val="4"/>
              </w:rPr>
            </w:r>
          </w:p>
        </w:tc>
        <w:tc>
          <w:tcPr>
            <w:tcW w:w="1802" w:type="dxa"/>
            <w:tcBorders/>
            <w:shd w:fill="auto" w:val="clear"/>
            <w:vAlign w:val="center"/>
          </w:tcPr>
          <w:p>
            <w:pPr>
              <w:pStyle w:val="TableContents"/>
              <w:spacing w:before="0" w:after="283"/>
              <w:rPr>
                <w:sz w:val="4"/>
                <w:szCs w:val="4"/>
              </w:rPr>
            </w:pPr>
            <w:r>
              <w:rPr>
                <w:sz w:val="4"/>
                <w:szCs w:val="4"/>
              </w:rPr>
            </w:r>
          </w:p>
        </w:tc>
      </w:tr>
      <w:tr>
        <w:trPr/>
        <w:tc>
          <w:tcPr>
            <w:tcW w:w="210" w:type="dxa"/>
            <w:tcBorders/>
            <w:shd w:fill="auto" w:val="clear"/>
            <w:vAlign w:val="bottom"/>
          </w:tcPr>
          <w:p>
            <w:pPr>
              <w:pStyle w:val="TableHeading"/>
              <w:spacing w:before="0" w:after="283"/>
              <w:jc w:val="center"/>
              <w:rPr/>
            </w:pPr>
            <w:r>
              <w:rPr/>
              <w:t> </w:t>
            </w:r>
          </w:p>
        </w:tc>
        <w:tc>
          <w:tcPr>
            <w:tcW w:w="281" w:type="dxa"/>
            <w:tcBorders/>
            <w:shd w:fill="auto" w:val="clear"/>
            <w:vAlign w:val="bottom"/>
          </w:tcPr>
          <w:p>
            <w:pPr>
              <w:pStyle w:val="TableHeading"/>
              <w:suppressLineNumbers/>
              <w:spacing w:before="0" w:after="283"/>
              <w:jc w:val="center"/>
              <w:rPr/>
            </w:pPr>
            <w:r>
              <w:rPr/>
              <w:t> </w:t>
            </w:r>
          </w:p>
        </w:tc>
        <w:tc>
          <w:tcPr>
            <w:tcW w:w="1878" w:type="dxa"/>
            <w:tcBorders/>
            <w:shd w:fill="auto" w:val="clear"/>
            <w:vAlign w:val="bottom"/>
          </w:tcPr>
          <w:p>
            <w:pPr>
              <w:pStyle w:val="TableHeading"/>
              <w:spacing w:before="0" w:after="283"/>
              <w:jc w:val="center"/>
              <w:rPr>
                <w:rFonts w:ascii="times" w:hAnsi="times"/>
                <w:b/>
                <w:sz w:val="14"/>
                <w:u w:val="single"/>
              </w:rPr>
            </w:pPr>
            <w:r>
              <w:rPr>
                <w:rFonts w:ascii="times" w:hAnsi="times"/>
                <w:b/>
                <w:sz w:val="14"/>
                <w:u w:val="single"/>
              </w:rPr>
              <w:t>LNG Carrier</w:t>
            </w:r>
          </w:p>
        </w:tc>
        <w:tc>
          <w:tcPr>
            <w:tcW w:w="281" w:type="dxa"/>
            <w:tcBorders/>
            <w:shd w:fill="auto" w:val="clear"/>
            <w:vAlign w:val="bottom"/>
          </w:tcPr>
          <w:p>
            <w:pPr>
              <w:pStyle w:val="TableHeading"/>
              <w:suppressLineNumbers/>
              <w:spacing w:before="0" w:after="283"/>
              <w:jc w:val="center"/>
              <w:rPr/>
            </w:pPr>
            <w:r>
              <w:rPr/>
              <w:t> </w:t>
            </w:r>
          </w:p>
        </w:tc>
        <w:tc>
          <w:tcPr>
            <w:tcW w:w="1310" w:type="dxa"/>
            <w:tcBorders/>
            <w:shd w:fill="auto" w:val="clear"/>
            <w:vAlign w:val="bottom"/>
          </w:tcPr>
          <w:p>
            <w:pPr>
              <w:pStyle w:val="TableHeading"/>
              <w:spacing w:before="0" w:after="283"/>
              <w:jc w:val="center"/>
              <w:rPr>
                <w:rFonts w:ascii="times" w:hAnsi="times"/>
                <w:b/>
                <w:sz w:val="14"/>
                <w:u w:val="single"/>
              </w:rPr>
            </w:pPr>
            <w:r>
              <w:rPr>
                <w:rFonts w:ascii="times" w:hAnsi="times"/>
                <w:b/>
                <w:sz w:val="14"/>
                <w:u w:val="single"/>
              </w:rPr>
              <w:t>Year</w:t>
              <w:br/>
              <w:t>Built</w:t>
            </w:r>
          </w:p>
        </w:tc>
        <w:tc>
          <w:tcPr>
            <w:tcW w:w="280" w:type="dxa"/>
            <w:tcBorders/>
            <w:shd w:fill="auto" w:val="clear"/>
            <w:vAlign w:val="bottom"/>
          </w:tcPr>
          <w:p>
            <w:pPr>
              <w:pStyle w:val="TableHeading"/>
              <w:suppressLineNumbers/>
              <w:spacing w:before="0" w:after="283"/>
              <w:jc w:val="center"/>
              <w:rPr/>
            </w:pPr>
            <w:r>
              <w:rPr/>
              <w:t> </w:t>
            </w:r>
          </w:p>
        </w:tc>
        <w:tc>
          <w:tcPr>
            <w:tcW w:w="1006" w:type="dxa"/>
            <w:gridSpan w:val="2"/>
            <w:tcBorders/>
            <w:shd w:fill="auto" w:val="clear"/>
            <w:vAlign w:val="bottom"/>
          </w:tcPr>
          <w:p>
            <w:pPr>
              <w:pStyle w:val="TableHeading"/>
              <w:spacing w:before="0" w:after="283"/>
              <w:jc w:val="center"/>
              <w:rPr>
                <w:rFonts w:ascii="times" w:hAnsi="times"/>
                <w:b/>
                <w:sz w:val="14"/>
                <w:u w:val="single"/>
              </w:rPr>
            </w:pPr>
            <w:r>
              <w:rPr>
                <w:rFonts w:ascii="times" w:hAnsi="times"/>
                <w:b/>
                <w:sz w:val="14"/>
                <w:u w:val="single"/>
              </w:rPr>
              <w:t>Cargo</w:t>
              <w:br/>
              <w:t>Capacity</w:t>
              <w:br/>
              <w:t>(cbm)</w:t>
            </w:r>
          </w:p>
        </w:tc>
        <w:tc>
          <w:tcPr>
            <w:tcW w:w="281" w:type="dxa"/>
            <w:tcBorders/>
            <w:shd w:fill="auto" w:val="clear"/>
            <w:vAlign w:val="bottom"/>
          </w:tcPr>
          <w:p>
            <w:pPr>
              <w:pStyle w:val="TableHeading"/>
              <w:suppressLineNumbers/>
              <w:spacing w:before="0" w:after="283"/>
              <w:jc w:val="center"/>
              <w:rPr/>
            </w:pPr>
            <w:r>
              <w:rPr/>
              <w:t> </w:t>
            </w:r>
          </w:p>
        </w:tc>
        <w:tc>
          <w:tcPr>
            <w:tcW w:w="1239" w:type="dxa"/>
            <w:tcBorders/>
            <w:shd w:fill="auto" w:val="clear"/>
            <w:vAlign w:val="bottom"/>
          </w:tcPr>
          <w:p>
            <w:pPr>
              <w:pStyle w:val="TableHeading"/>
              <w:spacing w:before="0" w:after="283"/>
              <w:jc w:val="center"/>
              <w:rPr>
                <w:rFonts w:ascii="times" w:hAnsi="times"/>
                <w:b/>
                <w:sz w:val="14"/>
                <w:u w:val="single"/>
              </w:rPr>
            </w:pPr>
            <w:r>
              <w:rPr>
                <w:rFonts w:ascii="times" w:hAnsi="times"/>
                <w:b/>
                <w:sz w:val="14"/>
                <w:u w:val="single"/>
              </w:rPr>
              <w:t>Charterer</w:t>
            </w:r>
          </w:p>
        </w:tc>
        <w:tc>
          <w:tcPr>
            <w:tcW w:w="281" w:type="dxa"/>
            <w:tcBorders/>
            <w:shd w:fill="auto" w:val="clear"/>
            <w:vAlign w:val="bottom"/>
          </w:tcPr>
          <w:p>
            <w:pPr>
              <w:pStyle w:val="TableHeading"/>
              <w:suppressLineNumbers/>
              <w:spacing w:before="0" w:after="283"/>
              <w:jc w:val="center"/>
              <w:rPr/>
            </w:pPr>
            <w:r>
              <w:rPr/>
              <w:t> </w:t>
            </w:r>
          </w:p>
        </w:tc>
        <w:tc>
          <w:tcPr>
            <w:tcW w:w="1076" w:type="dxa"/>
            <w:tcBorders/>
            <w:shd w:fill="auto" w:val="clear"/>
            <w:vAlign w:val="bottom"/>
          </w:tcPr>
          <w:p>
            <w:pPr>
              <w:pStyle w:val="TableHeading"/>
              <w:spacing w:before="0" w:after="283"/>
              <w:jc w:val="center"/>
              <w:rPr>
                <w:rFonts w:ascii="times" w:hAnsi="times"/>
                <w:b/>
                <w:sz w:val="14"/>
                <w:u w:val="single"/>
              </w:rPr>
            </w:pPr>
            <w:r>
              <w:rPr>
                <w:rFonts w:ascii="times" w:hAnsi="times"/>
                <w:b/>
                <w:sz w:val="14"/>
                <w:u w:val="single"/>
              </w:rPr>
              <w:t>Propulsion</w:t>
            </w:r>
          </w:p>
        </w:tc>
        <w:tc>
          <w:tcPr>
            <w:tcW w:w="280" w:type="dxa"/>
            <w:tcBorders/>
            <w:shd w:fill="auto" w:val="clear"/>
            <w:vAlign w:val="bottom"/>
          </w:tcPr>
          <w:p>
            <w:pPr>
              <w:pStyle w:val="TableHeading"/>
              <w:suppressLineNumbers/>
              <w:spacing w:before="0" w:after="283"/>
              <w:jc w:val="center"/>
              <w:rPr/>
            </w:pPr>
            <w:r>
              <w:rPr/>
              <w:t> </w:t>
            </w:r>
          </w:p>
        </w:tc>
        <w:tc>
          <w:tcPr>
            <w:tcW w:w="1802" w:type="dxa"/>
            <w:tcBorders/>
            <w:shd w:fill="auto" w:val="clear"/>
            <w:vAlign w:val="bottom"/>
          </w:tcPr>
          <w:p>
            <w:pPr>
              <w:pStyle w:val="TableHeading"/>
              <w:spacing w:before="0" w:after="283"/>
              <w:jc w:val="center"/>
              <w:rPr>
                <w:rFonts w:ascii="times" w:hAnsi="times"/>
                <w:b/>
                <w:sz w:val="14"/>
                <w:u w:val="single"/>
              </w:rPr>
            </w:pPr>
            <w:r>
              <w:rPr>
                <w:rFonts w:ascii="times" w:hAnsi="times"/>
                <w:b/>
                <w:sz w:val="14"/>
                <w:u w:val="single"/>
              </w:rPr>
              <w:t>Estimated Charter</w:t>
              <w:br/>
              <w:t>Expiration</w:t>
            </w:r>
          </w:p>
        </w:tc>
      </w:tr>
      <w:tr>
        <w:trPr/>
        <w:tc>
          <w:tcPr>
            <w:tcW w:w="210" w:type="dxa"/>
            <w:tcBorders/>
            <w:shd w:fill="auto" w:val="clear"/>
          </w:tcPr>
          <w:p>
            <w:pPr>
              <w:pStyle w:val="TableContents"/>
              <w:spacing w:before="0" w:after="283"/>
              <w:rPr>
                <w:rFonts w:ascii="times" w:hAnsi="times"/>
                <w:sz w:val="14"/>
              </w:rPr>
            </w:pPr>
            <w:r>
              <w:rPr>
                <w:rFonts w:ascii="times" w:hAnsi="times"/>
                <w:sz w:val="14"/>
              </w:rPr>
              <w:t>1</w:t>
            </w:r>
          </w:p>
        </w:tc>
        <w:tc>
          <w:tcPr>
            <w:tcW w:w="281" w:type="dxa"/>
            <w:tcBorders/>
            <w:shd w:fill="auto" w:val="clear"/>
          </w:tcPr>
          <w:p>
            <w:pPr>
              <w:pStyle w:val="TableContents"/>
              <w:spacing w:before="0" w:after="283"/>
              <w:rPr/>
            </w:pPr>
            <w:r>
              <w:rPr/>
              <w:t> </w:t>
            </w:r>
          </w:p>
        </w:tc>
        <w:tc>
          <w:tcPr>
            <w:tcW w:w="1878" w:type="dxa"/>
            <w:tcBorders/>
            <w:shd w:fill="auto" w:val="clear"/>
          </w:tcPr>
          <w:p>
            <w:pPr>
              <w:pStyle w:val="TableContents"/>
              <w:spacing w:before="0" w:after="283"/>
              <w:rPr>
                <w:rFonts w:ascii="times" w:hAnsi="times"/>
                <w:i/>
                <w:sz w:val="14"/>
              </w:rPr>
            </w:pPr>
            <w:r>
              <w:rPr>
                <w:rFonts w:ascii="times" w:hAnsi="times"/>
                <w:i/>
                <w:sz w:val="14"/>
              </w:rPr>
              <w:t>GasLog Singapore</w:t>
            </w:r>
          </w:p>
        </w:tc>
        <w:tc>
          <w:tcPr>
            <w:tcW w:w="281" w:type="dxa"/>
            <w:tcBorders/>
            <w:shd w:fill="auto" w:val="clear"/>
          </w:tcPr>
          <w:p>
            <w:pPr>
              <w:pStyle w:val="TableContents"/>
              <w:spacing w:before="0" w:after="283"/>
              <w:rPr/>
            </w:pPr>
            <w:r>
              <w:rPr/>
              <w:t> </w:t>
            </w:r>
          </w:p>
        </w:tc>
        <w:tc>
          <w:tcPr>
            <w:tcW w:w="1310" w:type="dxa"/>
            <w:tcBorders/>
            <w:shd w:fill="auto" w:val="clear"/>
            <w:vAlign w:val="bottom"/>
          </w:tcPr>
          <w:p>
            <w:pPr>
              <w:pStyle w:val="TableContents"/>
              <w:spacing w:before="0" w:after="283"/>
              <w:jc w:val="right"/>
              <w:rPr>
                <w:rFonts w:ascii="times" w:hAnsi="times"/>
                <w:sz w:val="14"/>
              </w:rPr>
            </w:pPr>
            <w:r>
              <w:rPr>
                <w:rFonts w:ascii="times" w:hAnsi="times"/>
                <w:sz w:val="14"/>
              </w:rPr>
              <w:t>2010</w:t>
            </w:r>
          </w:p>
        </w:tc>
        <w:tc>
          <w:tcPr>
            <w:tcW w:w="280" w:type="dxa"/>
            <w:tcBorders/>
            <w:shd w:fill="auto" w:val="clear"/>
            <w:vAlign w:val="bottom"/>
          </w:tcPr>
          <w:p>
            <w:pPr>
              <w:pStyle w:val="TableContents"/>
              <w:spacing w:before="0" w:after="283"/>
              <w:rPr/>
            </w:pPr>
            <w:r>
              <w:rPr/>
              <w:t> </w:t>
            </w:r>
          </w:p>
        </w:tc>
        <w:tc>
          <w:tcPr>
            <w:tcW w:w="141" w:type="dxa"/>
            <w:tcBorders/>
            <w:shd w:fill="auto" w:val="clear"/>
            <w:vAlign w:val="bottom"/>
          </w:tcPr>
          <w:p>
            <w:pPr>
              <w:pStyle w:val="TableContents"/>
              <w:spacing w:before="0" w:after="283"/>
              <w:rPr/>
            </w:pPr>
            <w:r>
              <w:rPr/>
              <w:t> </w:t>
            </w:r>
          </w:p>
        </w:tc>
        <w:tc>
          <w:tcPr>
            <w:tcW w:w="865" w:type="dxa"/>
            <w:tcBorders/>
            <w:shd w:fill="auto" w:val="clear"/>
            <w:vAlign w:val="bottom"/>
          </w:tcPr>
          <w:p>
            <w:pPr>
              <w:pStyle w:val="TableContents"/>
              <w:spacing w:before="0" w:after="283"/>
              <w:jc w:val="right"/>
              <w:rPr>
                <w:rFonts w:ascii="times" w:hAnsi="times"/>
                <w:sz w:val="14"/>
              </w:rPr>
            </w:pPr>
            <w:r>
              <w:rPr>
                <w:rFonts w:ascii="times" w:hAnsi="times"/>
                <w:sz w:val="14"/>
              </w:rPr>
              <w:t>155,000</w:t>
            </w:r>
          </w:p>
        </w:tc>
        <w:tc>
          <w:tcPr>
            <w:tcW w:w="281" w:type="dxa"/>
            <w:tcBorders/>
            <w:shd w:fill="auto" w:val="clear"/>
            <w:vAlign w:val="bottom"/>
          </w:tcPr>
          <w:p>
            <w:pPr>
              <w:pStyle w:val="TableContents"/>
              <w:spacing w:before="0" w:after="283"/>
              <w:rPr/>
            </w:pPr>
            <w:r>
              <w:rPr/>
              <w:t> </w:t>
            </w:r>
          </w:p>
        </w:tc>
        <w:tc>
          <w:tcPr>
            <w:tcW w:w="1239" w:type="dxa"/>
            <w:tcBorders/>
            <w:shd w:fill="auto" w:val="clear"/>
            <w:vAlign w:val="bottom"/>
          </w:tcPr>
          <w:p>
            <w:pPr>
              <w:pStyle w:val="TableContents"/>
              <w:spacing w:before="0" w:after="283"/>
              <w:jc w:val="right"/>
              <w:rPr>
                <w:rFonts w:ascii="times" w:hAnsi="times"/>
                <w:sz w:val="14"/>
              </w:rPr>
            </w:pPr>
            <w:r>
              <w:rPr>
                <w:rFonts w:ascii="times" w:hAnsi="times"/>
                <w:sz w:val="14"/>
              </w:rPr>
              <w:t>Sinolam</w:t>
            </w:r>
            <w:r>
              <w:rPr>
                <w:rFonts w:ascii="times" w:hAnsi="times"/>
                <w:position w:val="5"/>
                <w:sz w:val="11"/>
                <w:sz w:val="14"/>
              </w:rPr>
              <w:t>(1)</w:t>
            </w:r>
          </w:p>
        </w:tc>
        <w:tc>
          <w:tcPr>
            <w:tcW w:w="281" w:type="dxa"/>
            <w:tcBorders/>
            <w:shd w:fill="auto" w:val="clear"/>
            <w:vAlign w:val="bottom"/>
          </w:tcPr>
          <w:p>
            <w:pPr>
              <w:pStyle w:val="TableContents"/>
              <w:spacing w:before="0" w:after="283"/>
              <w:rPr/>
            </w:pPr>
            <w:r>
              <w:rPr/>
              <w:t> </w:t>
            </w:r>
          </w:p>
        </w:tc>
        <w:tc>
          <w:tcPr>
            <w:tcW w:w="1076" w:type="dxa"/>
            <w:tcBorders/>
            <w:shd w:fill="auto" w:val="clear"/>
            <w:vAlign w:val="bottom"/>
          </w:tcPr>
          <w:p>
            <w:pPr>
              <w:pStyle w:val="TableContents"/>
              <w:spacing w:before="0" w:after="283"/>
              <w:jc w:val="right"/>
              <w:rPr>
                <w:rFonts w:ascii="times" w:hAnsi="times"/>
                <w:sz w:val="14"/>
              </w:rPr>
            </w:pPr>
            <w:r>
              <w:rPr>
                <w:rFonts w:ascii="times" w:hAnsi="times"/>
                <w:sz w:val="14"/>
              </w:rPr>
              <w:t>TFDE</w:t>
            </w:r>
          </w:p>
        </w:tc>
        <w:tc>
          <w:tcPr>
            <w:tcW w:w="280" w:type="dxa"/>
            <w:tcBorders/>
            <w:shd w:fill="auto" w:val="clear"/>
            <w:vAlign w:val="bottom"/>
          </w:tcPr>
          <w:p>
            <w:pPr>
              <w:pStyle w:val="TableContents"/>
              <w:spacing w:before="0" w:after="283"/>
              <w:rPr/>
            </w:pPr>
            <w:r>
              <w:rPr/>
              <w:t> </w:t>
            </w:r>
          </w:p>
        </w:tc>
        <w:tc>
          <w:tcPr>
            <w:tcW w:w="1802" w:type="dxa"/>
            <w:tcBorders/>
            <w:shd w:fill="auto" w:val="clear"/>
            <w:vAlign w:val="bottom"/>
          </w:tcPr>
          <w:p>
            <w:pPr>
              <w:pStyle w:val="TableContents"/>
              <w:spacing w:before="0" w:after="283"/>
              <w:jc w:val="right"/>
              <w:rPr>
                <w:rFonts w:ascii="times" w:hAnsi="times"/>
                <w:sz w:val="14"/>
              </w:rPr>
            </w:pPr>
            <w:r>
              <w:rPr>
                <w:rFonts w:ascii="times" w:hAnsi="times"/>
                <w:sz w:val="14"/>
              </w:rPr>
              <w:t>2031</w:t>
            </w:r>
          </w:p>
        </w:tc>
      </w:tr>
      <w:tr>
        <w:trPr/>
        <w:tc>
          <w:tcPr>
            <w:tcW w:w="210" w:type="dxa"/>
            <w:tcBorders/>
            <w:shd w:fill="auto" w:val="clear"/>
          </w:tcPr>
          <w:p>
            <w:pPr>
              <w:pStyle w:val="TableContents"/>
              <w:spacing w:before="0" w:after="283"/>
              <w:rPr>
                <w:rFonts w:ascii="times" w:hAnsi="times"/>
                <w:sz w:val="14"/>
              </w:rPr>
            </w:pPr>
            <w:r>
              <w:rPr>
                <w:rFonts w:ascii="times" w:hAnsi="times"/>
                <w:sz w:val="14"/>
              </w:rPr>
              <w:t>2</w:t>
            </w:r>
          </w:p>
        </w:tc>
        <w:tc>
          <w:tcPr>
            <w:tcW w:w="281" w:type="dxa"/>
            <w:tcBorders/>
            <w:shd w:fill="auto" w:val="clear"/>
          </w:tcPr>
          <w:p>
            <w:pPr>
              <w:pStyle w:val="TableContents"/>
              <w:spacing w:before="0" w:after="283"/>
              <w:rPr/>
            </w:pPr>
            <w:r>
              <w:rPr/>
              <w:t> </w:t>
            </w:r>
          </w:p>
        </w:tc>
        <w:tc>
          <w:tcPr>
            <w:tcW w:w="1878" w:type="dxa"/>
            <w:tcBorders/>
            <w:shd w:fill="auto" w:val="clear"/>
          </w:tcPr>
          <w:p>
            <w:pPr>
              <w:pStyle w:val="TableContents"/>
              <w:spacing w:before="0" w:after="283"/>
              <w:rPr>
                <w:rFonts w:ascii="times" w:hAnsi="times"/>
                <w:i/>
                <w:sz w:val="14"/>
              </w:rPr>
            </w:pPr>
            <w:r>
              <w:rPr>
                <w:rFonts w:ascii="times" w:hAnsi="times"/>
                <w:i/>
                <w:sz w:val="14"/>
              </w:rPr>
              <w:t>GasLog Warsaw</w:t>
            </w:r>
          </w:p>
        </w:tc>
        <w:tc>
          <w:tcPr>
            <w:tcW w:w="281" w:type="dxa"/>
            <w:tcBorders/>
            <w:shd w:fill="auto" w:val="clear"/>
          </w:tcPr>
          <w:p>
            <w:pPr>
              <w:pStyle w:val="TableContents"/>
              <w:spacing w:before="0" w:after="283"/>
              <w:rPr/>
            </w:pPr>
            <w:r>
              <w:rPr/>
              <w:t> </w:t>
            </w:r>
          </w:p>
        </w:tc>
        <w:tc>
          <w:tcPr>
            <w:tcW w:w="1310" w:type="dxa"/>
            <w:tcBorders/>
            <w:shd w:fill="auto" w:val="clear"/>
            <w:vAlign w:val="bottom"/>
          </w:tcPr>
          <w:p>
            <w:pPr>
              <w:pStyle w:val="TableContents"/>
              <w:spacing w:before="0" w:after="283"/>
              <w:jc w:val="right"/>
              <w:rPr>
                <w:rFonts w:ascii="times" w:hAnsi="times"/>
                <w:sz w:val="14"/>
              </w:rPr>
            </w:pPr>
            <w:r>
              <w:rPr>
                <w:rFonts w:ascii="times" w:hAnsi="times"/>
                <w:sz w:val="14"/>
              </w:rPr>
              <w:t>2019</w:t>
            </w:r>
          </w:p>
        </w:tc>
        <w:tc>
          <w:tcPr>
            <w:tcW w:w="280" w:type="dxa"/>
            <w:tcBorders/>
            <w:shd w:fill="auto" w:val="clear"/>
            <w:vAlign w:val="bottom"/>
          </w:tcPr>
          <w:p>
            <w:pPr>
              <w:pStyle w:val="TableContents"/>
              <w:spacing w:before="0" w:after="283"/>
              <w:rPr/>
            </w:pPr>
            <w:r>
              <w:rPr/>
              <w:t> </w:t>
            </w:r>
          </w:p>
        </w:tc>
        <w:tc>
          <w:tcPr>
            <w:tcW w:w="141" w:type="dxa"/>
            <w:tcBorders/>
            <w:shd w:fill="auto" w:val="clear"/>
            <w:vAlign w:val="bottom"/>
          </w:tcPr>
          <w:p>
            <w:pPr>
              <w:pStyle w:val="TableContents"/>
              <w:spacing w:before="0" w:after="283"/>
              <w:rPr/>
            </w:pPr>
            <w:r>
              <w:rPr/>
              <w:t> </w:t>
            </w:r>
          </w:p>
        </w:tc>
        <w:tc>
          <w:tcPr>
            <w:tcW w:w="865" w:type="dxa"/>
            <w:tcBorders/>
            <w:shd w:fill="auto" w:val="clear"/>
            <w:vAlign w:val="bottom"/>
          </w:tcPr>
          <w:p>
            <w:pPr>
              <w:pStyle w:val="TableContents"/>
              <w:spacing w:before="0" w:after="283"/>
              <w:jc w:val="right"/>
              <w:rPr>
                <w:rFonts w:ascii="times" w:hAnsi="times"/>
                <w:sz w:val="14"/>
              </w:rPr>
            </w:pPr>
            <w:r>
              <w:rPr>
                <w:rFonts w:ascii="times" w:hAnsi="times"/>
                <w:sz w:val="14"/>
              </w:rPr>
              <w:t>180,000</w:t>
            </w:r>
          </w:p>
        </w:tc>
        <w:tc>
          <w:tcPr>
            <w:tcW w:w="281" w:type="dxa"/>
            <w:tcBorders/>
            <w:shd w:fill="auto" w:val="clear"/>
            <w:vAlign w:val="bottom"/>
          </w:tcPr>
          <w:p>
            <w:pPr>
              <w:pStyle w:val="TableContents"/>
              <w:spacing w:before="0" w:after="283"/>
              <w:rPr/>
            </w:pPr>
            <w:r>
              <w:rPr/>
              <w:t> </w:t>
            </w:r>
          </w:p>
        </w:tc>
        <w:tc>
          <w:tcPr>
            <w:tcW w:w="1239" w:type="dxa"/>
            <w:tcBorders/>
            <w:shd w:fill="auto" w:val="clear"/>
            <w:vAlign w:val="bottom"/>
          </w:tcPr>
          <w:p>
            <w:pPr>
              <w:pStyle w:val="TableContents"/>
              <w:spacing w:before="0" w:after="283"/>
              <w:jc w:val="right"/>
              <w:rPr>
                <w:rFonts w:ascii="times" w:hAnsi="times"/>
                <w:sz w:val="14"/>
              </w:rPr>
            </w:pPr>
            <w:r>
              <w:rPr>
                <w:rFonts w:ascii="times" w:hAnsi="times"/>
                <w:sz w:val="14"/>
              </w:rPr>
              <w:t>Endesa</w:t>
            </w:r>
            <w:r>
              <w:rPr>
                <w:rFonts w:ascii="times" w:hAnsi="times"/>
                <w:position w:val="5"/>
                <w:sz w:val="11"/>
                <w:sz w:val="14"/>
              </w:rPr>
              <w:t>(2)</w:t>
            </w:r>
          </w:p>
        </w:tc>
        <w:tc>
          <w:tcPr>
            <w:tcW w:w="281" w:type="dxa"/>
            <w:tcBorders/>
            <w:shd w:fill="auto" w:val="clear"/>
            <w:vAlign w:val="bottom"/>
          </w:tcPr>
          <w:p>
            <w:pPr>
              <w:pStyle w:val="TableContents"/>
              <w:spacing w:before="0" w:after="283"/>
              <w:rPr/>
            </w:pPr>
            <w:r>
              <w:rPr/>
              <w:t> </w:t>
            </w:r>
          </w:p>
        </w:tc>
        <w:tc>
          <w:tcPr>
            <w:tcW w:w="1076" w:type="dxa"/>
            <w:tcBorders/>
            <w:shd w:fill="auto" w:val="clear"/>
            <w:vAlign w:val="bottom"/>
          </w:tcPr>
          <w:p>
            <w:pPr>
              <w:pStyle w:val="TableContents"/>
              <w:spacing w:before="0" w:after="283"/>
              <w:jc w:val="right"/>
              <w:rPr>
                <w:rFonts w:ascii="times" w:hAnsi="times"/>
                <w:sz w:val="14"/>
              </w:rPr>
            </w:pPr>
            <w:r>
              <w:rPr>
                <w:rFonts w:ascii="times" w:hAnsi="times"/>
                <w:sz w:val="14"/>
              </w:rPr>
              <w:t>X-DF</w:t>
            </w:r>
          </w:p>
        </w:tc>
        <w:tc>
          <w:tcPr>
            <w:tcW w:w="280" w:type="dxa"/>
            <w:tcBorders/>
            <w:shd w:fill="auto" w:val="clear"/>
            <w:vAlign w:val="bottom"/>
          </w:tcPr>
          <w:p>
            <w:pPr>
              <w:pStyle w:val="TableContents"/>
              <w:spacing w:before="0" w:after="283"/>
              <w:rPr/>
            </w:pPr>
            <w:r>
              <w:rPr/>
              <w:t> </w:t>
            </w:r>
          </w:p>
        </w:tc>
        <w:tc>
          <w:tcPr>
            <w:tcW w:w="1802" w:type="dxa"/>
            <w:tcBorders/>
            <w:shd w:fill="auto" w:val="clear"/>
            <w:vAlign w:val="bottom"/>
          </w:tcPr>
          <w:p>
            <w:pPr>
              <w:pStyle w:val="TableContents"/>
              <w:spacing w:before="0" w:after="283"/>
              <w:jc w:val="right"/>
              <w:rPr>
                <w:rFonts w:ascii="times" w:hAnsi="times"/>
                <w:sz w:val="14"/>
              </w:rPr>
            </w:pPr>
            <w:r>
              <w:rPr>
                <w:rFonts w:ascii="times" w:hAnsi="times"/>
                <w:sz w:val="14"/>
              </w:rPr>
              <w:t>2029</w:t>
            </w:r>
          </w:p>
        </w:tc>
      </w:tr>
      <w:tr>
        <w:trPr/>
        <w:tc>
          <w:tcPr>
            <w:tcW w:w="210" w:type="dxa"/>
            <w:tcBorders/>
            <w:shd w:fill="auto" w:val="clear"/>
          </w:tcPr>
          <w:p>
            <w:pPr>
              <w:pStyle w:val="TableContents"/>
              <w:spacing w:before="0" w:after="283"/>
              <w:rPr>
                <w:rFonts w:ascii="times" w:hAnsi="times"/>
                <w:sz w:val="14"/>
              </w:rPr>
            </w:pPr>
            <w:r>
              <w:rPr>
                <w:rFonts w:ascii="times" w:hAnsi="times"/>
                <w:sz w:val="14"/>
              </w:rPr>
              <w:t>3</w:t>
            </w:r>
          </w:p>
        </w:tc>
        <w:tc>
          <w:tcPr>
            <w:tcW w:w="281" w:type="dxa"/>
            <w:tcBorders/>
            <w:shd w:fill="auto" w:val="clear"/>
          </w:tcPr>
          <w:p>
            <w:pPr>
              <w:pStyle w:val="TableContents"/>
              <w:spacing w:before="0" w:after="283"/>
              <w:rPr/>
            </w:pPr>
            <w:r>
              <w:rPr/>
              <w:t> </w:t>
            </w:r>
          </w:p>
        </w:tc>
        <w:tc>
          <w:tcPr>
            <w:tcW w:w="1878" w:type="dxa"/>
            <w:tcBorders/>
            <w:shd w:fill="auto" w:val="clear"/>
          </w:tcPr>
          <w:p>
            <w:pPr>
              <w:pStyle w:val="TableContents"/>
              <w:spacing w:before="0" w:after="283"/>
              <w:rPr>
                <w:rFonts w:ascii="times" w:hAnsi="times"/>
                <w:i/>
                <w:sz w:val="14"/>
              </w:rPr>
            </w:pPr>
            <w:r>
              <w:rPr>
                <w:rFonts w:ascii="times" w:hAnsi="times"/>
                <w:i/>
                <w:sz w:val="14"/>
              </w:rPr>
              <w:t>GasLog Windsor</w:t>
            </w:r>
          </w:p>
        </w:tc>
        <w:tc>
          <w:tcPr>
            <w:tcW w:w="281" w:type="dxa"/>
            <w:tcBorders/>
            <w:shd w:fill="auto" w:val="clear"/>
          </w:tcPr>
          <w:p>
            <w:pPr>
              <w:pStyle w:val="TableContents"/>
              <w:spacing w:before="0" w:after="283"/>
              <w:rPr/>
            </w:pPr>
            <w:r>
              <w:rPr/>
              <w:t> </w:t>
            </w:r>
          </w:p>
        </w:tc>
        <w:tc>
          <w:tcPr>
            <w:tcW w:w="1310" w:type="dxa"/>
            <w:tcBorders/>
            <w:shd w:fill="auto" w:val="clear"/>
            <w:vAlign w:val="bottom"/>
          </w:tcPr>
          <w:p>
            <w:pPr>
              <w:pStyle w:val="TableContents"/>
              <w:spacing w:before="0" w:after="283"/>
              <w:jc w:val="right"/>
              <w:rPr>
                <w:rFonts w:ascii="times" w:hAnsi="times"/>
                <w:sz w:val="14"/>
              </w:rPr>
            </w:pPr>
            <w:r>
              <w:rPr>
                <w:rFonts w:ascii="times" w:hAnsi="times"/>
                <w:sz w:val="14"/>
              </w:rPr>
              <w:t>2020</w:t>
            </w:r>
          </w:p>
        </w:tc>
        <w:tc>
          <w:tcPr>
            <w:tcW w:w="280" w:type="dxa"/>
            <w:tcBorders/>
            <w:shd w:fill="auto" w:val="clear"/>
            <w:vAlign w:val="bottom"/>
          </w:tcPr>
          <w:p>
            <w:pPr>
              <w:pStyle w:val="TableContents"/>
              <w:spacing w:before="0" w:after="283"/>
              <w:rPr/>
            </w:pPr>
            <w:r>
              <w:rPr/>
              <w:t> </w:t>
            </w:r>
          </w:p>
        </w:tc>
        <w:tc>
          <w:tcPr>
            <w:tcW w:w="141" w:type="dxa"/>
            <w:tcBorders/>
            <w:shd w:fill="auto" w:val="clear"/>
            <w:vAlign w:val="bottom"/>
          </w:tcPr>
          <w:p>
            <w:pPr>
              <w:pStyle w:val="TableContents"/>
              <w:spacing w:before="0" w:after="283"/>
              <w:rPr/>
            </w:pPr>
            <w:r>
              <w:rPr/>
              <w:t> </w:t>
            </w:r>
          </w:p>
        </w:tc>
        <w:tc>
          <w:tcPr>
            <w:tcW w:w="865" w:type="dxa"/>
            <w:tcBorders/>
            <w:shd w:fill="auto" w:val="clear"/>
            <w:vAlign w:val="bottom"/>
          </w:tcPr>
          <w:p>
            <w:pPr>
              <w:pStyle w:val="TableContents"/>
              <w:spacing w:before="0" w:after="283"/>
              <w:jc w:val="right"/>
              <w:rPr>
                <w:rFonts w:ascii="times" w:hAnsi="times"/>
                <w:sz w:val="14"/>
              </w:rPr>
            </w:pPr>
            <w:r>
              <w:rPr>
                <w:rFonts w:ascii="times" w:hAnsi="times"/>
                <w:sz w:val="14"/>
              </w:rPr>
              <w:t>180,000</w:t>
            </w:r>
          </w:p>
        </w:tc>
        <w:tc>
          <w:tcPr>
            <w:tcW w:w="281" w:type="dxa"/>
            <w:tcBorders/>
            <w:shd w:fill="auto" w:val="clear"/>
            <w:vAlign w:val="bottom"/>
          </w:tcPr>
          <w:p>
            <w:pPr>
              <w:pStyle w:val="TableContents"/>
              <w:spacing w:before="0" w:after="283"/>
              <w:rPr/>
            </w:pPr>
            <w:r>
              <w:rPr/>
              <w:t> </w:t>
            </w:r>
          </w:p>
        </w:tc>
        <w:tc>
          <w:tcPr>
            <w:tcW w:w="1239" w:type="dxa"/>
            <w:tcBorders/>
            <w:shd w:fill="auto" w:val="clear"/>
            <w:vAlign w:val="bottom"/>
          </w:tcPr>
          <w:p>
            <w:pPr>
              <w:pStyle w:val="TableContents"/>
              <w:spacing w:before="0" w:after="283"/>
              <w:jc w:val="right"/>
              <w:rPr>
                <w:rFonts w:ascii="times" w:hAnsi="times"/>
                <w:sz w:val="14"/>
              </w:rPr>
            </w:pPr>
            <w:r>
              <w:rPr>
                <w:rFonts w:ascii="times" w:hAnsi="times"/>
                <w:sz w:val="14"/>
              </w:rPr>
              <w:t>Centrica</w:t>
            </w:r>
          </w:p>
        </w:tc>
        <w:tc>
          <w:tcPr>
            <w:tcW w:w="281" w:type="dxa"/>
            <w:tcBorders/>
            <w:shd w:fill="auto" w:val="clear"/>
            <w:vAlign w:val="bottom"/>
          </w:tcPr>
          <w:p>
            <w:pPr>
              <w:pStyle w:val="TableContents"/>
              <w:spacing w:before="0" w:after="283"/>
              <w:rPr/>
            </w:pPr>
            <w:r>
              <w:rPr/>
              <w:t> </w:t>
            </w:r>
          </w:p>
        </w:tc>
        <w:tc>
          <w:tcPr>
            <w:tcW w:w="1076" w:type="dxa"/>
            <w:tcBorders/>
            <w:shd w:fill="auto" w:val="clear"/>
            <w:vAlign w:val="bottom"/>
          </w:tcPr>
          <w:p>
            <w:pPr>
              <w:pStyle w:val="TableContents"/>
              <w:spacing w:before="0" w:after="283"/>
              <w:jc w:val="right"/>
              <w:rPr>
                <w:rFonts w:ascii="times" w:hAnsi="times"/>
                <w:sz w:val="14"/>
              </w:rPr>
            </w:pPr>
            <w:r>
              <w:rPr>
                <w:rFonts w:ascii="times" w:hAnsi="times"/>
                <w:sz w:val="14"/>
              </w:rPr>
              <w:t>X-DF</w:t>
            </w:r>
          </w:p>
        </w:tc>
        <w:tc>
          <w:tcPr>
            <w:tcW w:w="280" w:type="dxa"/>
            <w:tcBorders/>
            <w:shd w:fill="auto" w:val="clear"/>
            <w:vAlign w:val="bottom"/>
          </w:tcPr>
          <w:p>
            <w:pPr>
              <w:pStyle w:val="TableContents"/>
              <w:spacing w:before="0" w:after="283"/>
              <w:rPr/>
            </w:pPr>
            <w:r>
              <w:rPr/>
              <w:t> </w:t>
            </w:r>
          </w:p>
        </w:tc>
        <w:tc>
          <w:tcPr>
            <w:tcW w:w="1802" w:type="dxa"/>
            <w:tcBorders/>
            <w:shd w:fill="auto" w:val="clear"/>
            <w:vAlign w:val="bottom"/>
          </w:tcPr>
          <w:p>
            <w:pPr>
              <w:pStyle w:val="TableContents"/>
              <w:spacing w:before="0" w:after="283"/>
              <w:jc w:val="right"/>
              <w:rPr>
                <w:rFonts w:ascii="times" w:hAnsi="times"/>
                <w:sz w:val="14"/>
              </w:rPr>
            </w:pPr>
            <w:r>
              <w:rPr>
                <w:rFonts w:ascii="times" w:hAnsi="times"/>
                <w:sz w:val="14"/>
              </w:rPr>
              <w:t>2027</w:t>
            </w:r>
          </w:p>
        </w:tc>
      </w:tr>
      <w:tr>
        <w:trPr/>
        <w:tc>
          <w:tcPr>
            <w:tcW w:w="210" w:type="dxa"/>
            <w:tcBorders/>
            <w:shd w:fill="auto" w:val="clear"/>
          </w:tcPr>
          <w:p>
            <w:pPr>
              <w:pStyle w:val="TableContents"/>
              <w:spacing w:before="0" w:after="283"/>
              <w:rPr>
                <w:rFonts w:ascii="times" w:hAnsi="times"/>
                <w:sz w:val="14"/>
              </w:rPr>
            </w:pPr>
            <w:r>
              <w:rPr>
                <w:rFonts w:ascii="times" w:hAnsi="times"/>
                <w:sz w:val="14"/>
              </w:rPr>
              <w:t>4</w:t>
            </w:r>
          </w:p>
        </w:tc>
        <w:tc>
          <w:tcPr>
            <w:tcW w:w="281" w:type="dxa"/>
            <w:tcBorders/>
            <w:shd w:fill="auto" w:val="clear"/>
          </w:tcPr>
          <w:p>
            <w:pPr>
              <w:pStyle w:val="TableContents"/>
              <w:spacing w:before="0" w:after="283"/>
              <w:rPr/>
            </w:pPr>
            <w:r>
              <w:rPr/>
              <w:t> </w:t>
            </w:r>
          </w:p>
        </w:tc>
        <w:tc>
          <w:tcPr>
            <w:tcW w:w="1878" w:type="dxa"/>
            <w:tcBorders/>
            <w:shd w:fill="auto" w:val="clear"/>
          </w:tcPr>
          <w:p>
            <w:pPr>
              <w:pStyle w:val="TableContents"/>
              <w:spacing w:before="0" w:after="283"/>
              <w:rPr>
                <w:rFonts w:ascii="times" w:hAnsi="times"/>
                <w:i/>
                <w:sz w:val="14"/>
              </w:rPr>
            </w:pPr>
            <w:r>
              <w:rPr>
                <w:rFonts w:ascii="times" w:hAnsi="times"/>
                <w:i/>
                <w:sz w:val="14"/>
              </w:rPr>
              <w:t>GasLog Wales</w:t>
            </w:r>
          </w:p>
        </w:tc>
        <w:tc>
          <w:tcPr>
            <w:tcW w:w="281" w:type="dxa"/>
            <w:tcBorders/>
            <w:shd w:fill="auto" w:val="clear"/>
          </w:tcPr>
          <w:p>
            <w:pPr>
              <w:pStyle w:val="TableContents"/>
              <w:spacing w:before="0" w:after="283"/>
              <w:rPr/>
            </w:pPr>
            <w:r>
              <w:rPr/>
              <w:t> </w:t>
            </w:r>
          </w:p>
        </w:tc>
        <w:tc>
          <w:tcPr>
            <w:tcW w:w="1310" w:type="dxa"/>
            <w:tcBorders/>
            <w:shd w:fill="auto" w:val="clear"/>
            <w:vAlign w:val="bottom"/>
          </w:tcPr>
          <w:p>
            <w:pPr>
              <w:pStyle w:val="TableContents"/>
              <w:spacing w:before="0" w:after="283"/>
              <w:jc w:val="right"/>
              <w:rPr>
                <w:rFonts w:ascii="times" w:hAnsi="times"/>
                <w:sz w:val="14"/>
              </w:rPr>
            </w:pPr>
            <w:r>
              <w:rPr>
                <w:rFonts w:ascii="times" w:hAnsi="times"/>
                <w:sz w:val="14"/>
              </w:rPr>
              <w:t>2020</w:t>
            </w:r>
          </w:p>
        </w:tc>
        <w:tc>
          <w:tcPr>
            <w:tcW w:w="280" w:type="dxa"/>
            <w:tcBorders/>
            <w:shd w:fill="auto" w:val="clear"/>
            <w:vAlign w:val="bottom"/>
          </w:tcPr>
          <w:p>
            <w:pPr>
              <w:pStyle w:val="TableContents"/>
              <w:spacing w:before="0" w:after="283"/>
              <w:rPr/>
            </w:pPr>
            <w:r>
              <w:rPr/>
              <w:t> </w:t>
            </w:r>
          </w:p>
        </w:tc>
        <w:tc>
          <w:tcPr>
            <w:tcW w:w="141" w:type="dxa"/>
            <w:tcBorders/>
            <w:shd w:fill="auto" w:val="clear"/>
            <w:vAlign w:val="bottom"/>
          </w:tcPr>
          <w:p>
            <w:pPr>
              <w:pStyle w:val="TableContents"/>
              <w:spacing w:before="0" w:after="283"/>
              <w:rPr/>
            </w:pPr>
            <w:r>
              <w:rPr/>
              <w:t> </w:t>
            </w:r>
          </w:p>
        </w:tc>
        <w:tc>
          <w:tcPr>
            <w:tcW w:w="865" w:type="dxa"/>
            <w:tcBorders/>
            <w:shd w:fill="auto" w:val="clear"/>
            <w:vAlign w:val="bottom"/>
          </w:tcPr>
          <w:p>
            <w:pPr>
              <w:pStyle w:val="TableContents"/>
              <w:spacing w:before="0" w:after="283"/>
              <w:jc w:val="right"/>
              <w:rPr>
                <w:rFonts w:ascii="times" w:hAnsi="times"/>
                <w:sz w:val="14"/>
              </w:rPr>
            </w:pPr>
            <w:r>
              <w:rPr>
                <w:rFonts w:ascii="times" w:hAnsi="times"/>
                <w:sz w:val="14"/>
              </w:rPr>
              <w:t>180,000</w:t>
            </w:r>
          </w:p>
        </w:tc>
        <w:tc>
          <w:tcPr>
            <w:tcW w:w="281" w:type="dxa"/>
            <w:tcBorders/>
            <w:shd w:fill="auto" w:val="clear"/>
            <w:vAlign w:val="bottom"/>
          </w:tcPr>
          <w:p>
            <w:pPr>
              <w:pStyle w:val="TableContents"/>
              <w:spacing w:before="0" w:after="283"/>
              <w:rPr/>
            </w:pPr>
            <w:r>
              <w:rPr/>
              <w:t> </w:t>
            </w:r>
          </w:p>
        </w:tc>
        <w:tc>
          <w:tcPr>
            <w:tcW w:w="1239" w:type="dxa"/>
            <w:tcBorders/>
            <w:shd w:fill="auto" w:val="clear"/>
            <w:vAlign w:val="bottom"/>
          </w:tcPr>
          <w:p>
            <w:pPr>
              <w:pStyle w:val="TableContents"/>
              <w:spacing w:before="0" w:after="283"/>
              <w:jc w:val="right"/>
              <w:rPr>
                <w:rFonts w:ascii="times" w:hAnsi="times"/>
                <w:sz w:val="14"/>
              </w:rPr>
            </w:pPr>
            <w:r>
              <w:rPr>
                <w:rFonts w:ascii="times" w:hAnsi="times"/>
                <w:sz w:val="14"/>
              </w:rPr>
              <w:t>Jera</w:t>
            </w:r>
          </w:p>
        </w:tc>
        <w:tc>
          <w:tcPr>
            <w:tcW w:w="281" w:type="dxa"/>
            <w:tcBorders/>
            <w:shd w:fill="auto" w:val="clear"/>
            <w:vAlign w:val="bottom"/>
          </w:tcPr>
          <w:p>
            <w:pPr>
              <w:pStyle w:val="TableContents"/>
              <w:spacing w:before="0" w:after="283"/>
              <w:rPr/>
            </w:pPr>
            <w:r>
              <w:rPr/>
              <w:t> </w:t>
            </w:r>
          </w:p>
        </w:tc>
        <w:tc>
          <w:tcPr>
            <w:tcW w:w="1076" w:type="dxa"/>
            <w:tcBorders/>
            <w:shd w:fill="auto" w:val="clear"/>
            <w:vAlign w:val="bottom"/>
          </w:tcPr>
          <w:p>
            <w:pPr>
              <w:pStyle w:val="TableContents"/>
              <w:spacing w:before="0" w:after="283"/>
              <w:jc w:val="right"/>
              <w:rPr>
                <w:rFonts w:ascii="times" w:hAnsi="times"/>
                <w:sz w:val="14"/>
              </w:rPr>
            </w:pPr>
            <w:r>
              <w:rPr>
                <w:rFonts w:ascii="times" w:hAnsi="times"/>
                <w:sz w:val="14"/>
              </w:rPr>
              <w:t>X-DF</w:t>
            </w:r>
          </w:p>
        </w:tc>
        <w:tc>
          <w:tcPr>
            <w:tcW w:w="280" w:type="dxa"/>
            <w:tcBorders/>
            <w:shd w:fill="auto" w:val="clear"/>
            <w:vAlign w:val="bottom"/>
          </w:tcPr>
          <w:p>
            <w:pPr>
              <w:pStyle w:val="TableContents"/>
              <w:spacing w:before="0" w:after="283"/>
              <w:rPr/>
            </w:pPr>
            <w:r>
              <w:rPr/>
              <w:t> </w:t>
            </w:r>
          </w:p>
        </w:tc>
        <w:tc>
          <w:tcPr>
            <w:tcW w:w="1802" w:type="dxa"/>
            <w:tcBorders/>
            <w:shd w:fill="auto" w:val="clear"/>
            <w:vAlign w:val="bottom"/>
          </w:tcPr>
          <w:p>
            <w:pPr>
              <w:pStyle w:val="TableContents"/>
              <w:spacing w:before="0" w:after="283"/>
              <w:jc w:val="right"/>
              <w:rPr>
                <w:rFonts w:ascii="times" w:hAnsi="times"/>
                <w:sz w:val="14"/>
              </w:rPr>
            </w:pPr>
            <w:r>
              <w:rPr>
                <w:rFonts w:ascii="times" w:hAnsi="times"/>
                <w:sz w:val="14"/>
              </w:rPr>
              <w:t>2032</w:t>
            </w:r>
          </w:p>
        </w:tc>
      </w:tr>
      <w:tr>
        <w:trPr/>
        <w:tc>
          <w:tcPr>
            <w:tcW w:w="210" w:type="dxa"/>
            <w:tcBorders/>
            <w:shd w:fill="auto" w:val="clear"/>
          </w:tcPr>
          <w:p>
            <w:pPr>
              <w:pStyle w:val="TableContents"/>
              <w:spacing w:before="0" w:after="283"/>
              <w:rPr>
                <w:rFonts w:ascii="times" w:hAnsi="times"/>
                <w:sz w:val="14"/>
              </w:rPr>
            </w:pPr>
            <w:r>
              <w:rPr>
                <w:rFonts w:ascii="times" w:hAnsi="times"/>
                <w:sz w:val="14"/>
              </w:rPr>
              <w:t>5</w:t>
            </w:r>
          </w:p>
        </w:tc>
        <w:tc>
          <w:tcPr>
            <w:tcW w:w="281" w:type="dxa"/>
            <w:tcBorders/>
            <w:shd w:fill="auto" w:val="clear"/>
          </w:tcPr>
          <w:p>
            <w:pPr>
              <w:pStyle w:val="TableContents"/>
              <w:spacing w:before="0" w:after="283"/>
              <w:rPr/>
            </w:pPr>
            <w:r>
              <w:rPr/>
              <w:t> </w:t>
            </w:r>
          </w:p>
        </w:tc>
        <w:tc>
          <w:tcPr>
            <w:tcW w:w="1878" w:type="dxa"/>
            <w:tcBorders/>
            <w:shd w:fill="auto" w:val="clear"/>
          </w:tcPr>
          <w:p>
            <w:pPr>
              <w:pStyle w:val="TableContents"/>
              <w:spacing w:before="0" w:after="283"/>
              <w:rPr>
                <w:rFonts w:ascii="times" w:hAnsi="times"/>
                <w:i/>
                <w:sz w:val="14"/>
              </w:rPr>
            </w:pPr>
            <w:r>
              <w:rPr>
                <w:rFonts w:ascii="times" w:hAnsi="times"/>
                <w:i/>
                <w:sz w:val="14"/>
              </w:rPr>
              <w:t>GasLog Westminster</w:t>
            </w:r>
          </w:p>
        </w:tc>
        <w:tc>
          <w:tcPr>
            <w:tcW w:w="281" w:type="dxa"/>
            <w:tcBorders/>
            <w:shd w:fill="auto" w:val="clear"/>
          </w:tcPr>
          <w:p>
            <w:pPr>
              <w:pStyle w:val="TableContents"/>
              <w:spacing w:before="0" w:after="283"/>
              <w:rPr/>
            </w:pPr>
            <w:r>
              <w:rPr/>
              <w:t> </w:t>
            </w:r>
          </w:p>
        </w:tc>
        <w:tc>
          <w:tcPr>
            <w:tcW w:w="1310" w:type="dxa"/>
            <w:tcBorders/>
            <w:shd w:fill="auto" w:val="clear"/>
            <w:vAlign w:val="bottom"/>
          </w:tcPr>
          <w:p>
            <w:pPr>
              <w:pStyle w:val="TableContents"/>
              <w:spacing w:before="0" w:after="283"/>
              <w:jc w:val="right"/>
              <w:rPr>
                <w:rFonts w:ascii="times" w:hAnsi="times"/>
                <w:sz w:val="14"/>
              </w:rPr>
            </w:pPr>
            <w:r>
              <w:rPr>
                <w:rFonts w:ascii="times" w:hAnsi="times"/>
                <w:sz w:val="14"/>
              </w:rPr>
              <w:t>2020</w:t>
            </w:r>
          </w:p>
        </w:tc>
        <w:tc>
          <w:tcPr>
            <w:tcW w:w="280" w:type="dxa"/>
            <w:tcBorders/>
            <w:shd w:fill="auto" w:val="clear"/>
            <w:vAlign w:val="bottom"/>
          </w:tcPr>
          <w:p>
            <w:pPr>
              <w:pStyle w:val="TableContents"/>
              <w:spacing w:before="0" w:after="283"/>
              <w:rPr/>
            </w:pPr>
            <w:r>
              <w:rPr/>
              <w:t> </w:t>
            </w:r>
          </w:p>
        </w:tc>
        <w:tc>
          <w:tcPr>
            <w:tcW w:w="141" w:type="dxa"/>
            <w:tcBorders/>
            <w:shd w:fill="auto" w:val="clear"/>
            <w:vAlign w:val="bottom"/>
          </w:tcPr>
          <w:p>
            <w:pPr>
              <w:pStyle w:val="TableContents"/>
              <w:spacing w:before="0" w:after="283"/>
              <w:rPr/>
            </w:pPr>
            <w:r>
              <w:rPr/>
              <w:t> </w:t>
            </w:r>
          </w:p>
        </w:tc>
        <w:tc>
          <w:tcPr>
            <w:tcW w:w="865" w:type="dxa"/>
            <w:tcBorders/>
            <w:shd w:fill="auto" w:val="clear"/>
            <w:vAlign w:val="bottom"/>
          </w:tcPr>
          <w:p>
            <w:pPr>
              <w:pStyle w:val="TableContents"/>
              <w:spacing w:before="0" w:after="283"/>
              <w:jc w:val="right"/>
              <w:rPr>
                <w:rFonts w:ascii="times" w:hAnsi="times"/>
                <w:sz w:val="14"/>
              </w:rPr>
            </w:pPr>
            <w:r>
              <w:rPr>
                <w:rFonts w:ascii="times" w:hAnsi="times"/>
                <w:sz w:val="14"/>
              </w:rPr>
              <w:t>180,000</w:t>
            </w:r>
          </w:p>
        </w:tc>
        <w:tc>
          <w:tcPr>
            <w:tcW w:w="281" w:type="dxa"/>
            <w:tcBorders/>
            <w:shd w:fill="auto" w:val="clear"/>
            <w:vAlign w:val="bottom"/>
          </w:tcPr>
          <w:p>
            <w:pPr>
              <w:pStyle w:val="TableContents"/>
              <w:spacing w:before="0" w:after="283"/>
              <w:rPr/>
            </w:pPr>
            <w:r>
              <w:rPr/>
              <w:t> </w:t>
            </w:r>
          </w:p>
        </w:tc>
        <w:tc>
          <w:tcPr>
            <w:tcW w:w="1239" w:type="dxa"/>
            <w:tcBorders/>
            <w:shd w:fill="auto" w:val="clear"/>
            <w:vAlign w:val="bottom"/>
          </w:tcPr>
          <w:p>
            <w:pPr>
              <w:pStyle w:val="TableContents"/>
              <w:spacing w:before="0" w:after="283"/>
              <w:jc w:val="right"/>
              <w:rPr>
                <w:rFonts w:ascii="times" w:hAnsi="times"/>
                <w:sz w:val="14"/>
              </w:rPr>
            </w:pPr>
            <w:r>
              <w:rPr>
                <w:rFonts w:ascii="times" w:hAnsi="times"/>
                <w:sz w:val="14"/>
              </w:rPr>
              <w:t>Centrica</w:t>
            </w:r>
          </w:p>
        </w:tc>
        <w:tc>
          <w:tcPr>
            <w:tcW w:w="281" w:type="dxa"/>
            <w:tcBorders/>
            <w:shd w:fill="auto" w:val="clear"/>
            <w:vAlign w:val="bottom"/>
          </w:tcPr>
          <w:p>
            <w:pPr>
              <w:pStyle w:val="TableContents"/>
              <w:spacing w:before="0" w:after="283"/>
              <w:rPr/>
            </w:pPr>
            <w:r>
              <w:rPr/>
              <w:t> </w:t>
            </w:r>
          </w:p>
        </w:tc>
        <w:tc>
          <w:tcPr>
            <w:tcW w:w="1076" w:type="dxa"/>
            <w:tcBorders/>
            <w:shd w:fill="auto" w:val="clear"/>
            <w:vAlign w:val="bottom"/>
          </w:tcPr>
          <w:p>
            <w:pPr>
              <w:pStyle w:val="TableContents"/>
              <w:spacing w:before="0" w:after="283"/>
              <w:jc w:val="right"/>
              <w:rPr>
                <w:rFonts w:ascii="times" w:hAnsi="times"/>
                <w:sz w:val="14"/>
              </w:rPr>
            </w:pPr>
            <w:r>
              <w:rPr>
                <w:rFonts w:ascii="times" w:hAnsi="times"/>
                <w:sz w:val="14"/>
              </w:rPr>
              <w:t>X-DF</w:t>
            </w:r>
          </w:p>
        </w:tc>
        <w:tc>
          <w:tcPr>
            <w:tcW w:w="280" w:type="dxa"/>
            <w:tcBorders/>
            <w:shd w:fill="auto" w:val="clear"/>
            <w:vAlign w:val="bottom"/>
          </w:tcPr>
          <w:p>
            <w:pPr>
              <w:pStyle w:val="TableContents"/>
              <w:spacing w:before="0" w:after="283"/>
              <w:rPr/>
            </w:pPr>
            <w:r>
              <w:rPr/>
              <w:t> </w:t>
            </w:r>
          </w:p>
        </w:tc>
        <w:tc>
          <w:tcPr>
            <w:tcW w:w="1802" w:type="dxa"/>
            <w:tcBorders/>
            <w:shd w:fill="auto" w:val="clear"/>
            <w:vAlign w:val="bottom"/>
          </w:tcPr>
          <w:p>
            <w:pPr>
              <w:pStyle w:val="TableContents"/>
              <w:spacing w:before="0" w:after="283"/>
              <w:jc w:val="right"/>
              <w:rPr>
                <w:rFonts w:ascii="times" w:hAnsi="times"/>
                <w:sz w:val="14"/>
              </w:rPr>
            </w:pPr>
            <w:r>
              <w:rPr>
                <w:rFonts w:ascii="times" w:hAnsi="times"/>
                <w:sz w:val="14"/>
              </w:rPr>
              <w:t>2027</w:t>
            </w:r>
          </w:p>
        </w:tc>
      </w:tr>
      <w:tr>
        <w:trPr/>
        <w:tc>
          <w:tcPr>
            <w:tcW w:w="210" w:type="dxa"/>
            <w:tcBorders/>
            <w:shd w:fill="auto" w:val="clear"/>
          </w:tcPr>
          <w:p>
            <w:pPr>
              <w:pStyle w:val="TableContents"/>
              <w:spacing w:before="0" w:after="283"/>
              <w:rPr>
                <w:rFonts w:ascii="times" w:hAnsi="times"/>
                <w:sz w:val="14"/>
              </w:rPr>
            </w:pPr>
            <w:r>
              <w:rPr>
                <w:rFonts w:ascii="times" w:hAnsi="times"/>
                <w:sz w:val="14"/>
              </w:rPr>
              <w:t>6</w:t>
            </w:r>
          </w:p>
        </w:tc>
        <w:tc>
          <w:tcPr>
            <w:tcW w:w="281" w:type="dxa"/>
            <w:tcBorders/>
            <w:shd w:fill="auto" w:val="clear"/>
          </w:tcPr>
          <w:p>
            <w:pPr>
              <w:pStyle w:val="TableContents"/>
              <w:spacing w:before="0" w:after="283"/>
              <w:rPr/>
            </w:pPr>
            <w:r>
              <w:rPr/>
              <w:t> </w:t>
            </w:r>
          </w:p>
        </w:tc>
        <w:tc>
          <w:tcPr>
            <w:tcW w:w="1878" w:type="dxa"/>
            <w:tcBorders/>
            <w:shd w:fill="auto" w:val="clear"/>
          </w:tcPr>
          <w:p>
            <w:pPr>
              <w:pStyle w:val="TableContents"/>
              <w:spacing w:before="0" w:after="283"/>
              <w:rPr>
                <w:rFonts w:ascii="times" w:hAnsi="times"/>
                <w:i/>
                <w:sz w:val="14"/>
              </w:rPr>
            </w:pPr>
            <w:r>
              <w:rPr>
                <w:rFonts w:ascii="times" w:hAnsi="times"/>
                <w:i/>
                <w:sz w:val="14"/>
              </w:rPr>
              <w:t>GasLog Georgetown</w:t>
            </w:r>
          </w:p>
        </w:tc>
        <w:tc>
          <w:tcPr>
            <w:tcW w:w="281" w:type="dxa"/>
            <w:tcBorders/>
            <w:shd w:fill="auto" w:val="clear"/>
          </w:tcPr>
          <w:p>
            <w:pPr>
              <w:pStyle w:val="TableContents"/>
              <w:spacing w:before="0" w:after="283"/>
              <w:rPr/>
            </w:pPr>
            <w:r>
              <w:rPr/>
              <w:t> </w:t>
            </w:r>
          </w:p>
        </w:tc>
        <w:tc>
          <w:tcPr>
            <w:tcW w:w="1310" w:type="dxa"/>
            <w:tcBorders/>
            <w:shd w:fill="auto" w:val="clear"/>
            <w:vAlign w:val="bottom"/>
          </w:tcPr>
          <w:p>
            <w:pPr>
              <w:pStyle w:val="TableContents"/>
              <w:spacing w:before="0" w:after="283"/>
              <w:jc w:val="right"/>
              <w:rPr>
                <w:rFonts w:ascii="times" w:hAnsi="times"/>
                <w:sz w:val="14"/>
              </w:rPr>
            </w:pPr>
            <w:r>
              <w:rPr>
                <w:rFonts w:ascii="times" w:hAnsi="times"/>
                <w:sz w:val="14"/>
              </w:rPr>
              <w:t>2020</w:t>
            </w:r>
          </w:p>
        </w:tc>
        <w:tc>
          <w:tcPr>
            <w:tcW w:w="280" w:type="dxa"/>
            <w:tcBorders/>
            <w:shd w:fill="auto" w:val="clear"/>
            <w:vAlign w:val="bottom"/>
          </w:tcPr>
          <w:p>
            <w:pPr>
              <w:pStyle w:val="TableContents"/>
              <w:spacing w:before="0" w:after="283"/>
              <w:rPr/>
            </w:pPr>
            <w:r>
              <w:rPr/>
              <w:t> </w:t>
            </w:r>
          </w:p>
        </w:tc>
        <w:tc>
          <w:tcPr>
            <w:tcW w:w="141" w:type="dxa"/>
            <w:tcBorders/>
            <w:shd w:fill="auto" w:val="clear"/>
            <w:vAlign w:val="bottom"/>
          </w:tcPr>
          <w:p>
            <w:pPr>
              <w:pStyle w:val="TableContents"/>
              <w:spacing w:before="0" w:after="283"/>
              <w:rPr/>
            </w:pPr>
            <w:r>
              <w:rPr/>
              <w:t> </w:t>
            </w:r>
          </w:p>
        </w:tc>
        <w:tc>
          <w:tcPr>
            <w:tcW w:w="865" w:type="dxa"/>
            <w:tcBorders/>
            <w:shd w:fill="auto" w:val="clear"/>
            <w:vAlign w:val="bottom"/>
          </w:tcPr>
          <w:p>
            <w:pPr>
              <w:pStyle w:val="TableContents"/>
              <w:spacing w:before="0" w:after="283"/>
              <w:jc w:val="right"/>
              <w:rPr>
                <w:rFonts w:ascii="times" w:hAnsi="times"/>
                <w:sz w:val="14"/>
              </w:rPr>
            </w:pPr>
            <w:r>
              <w:rPr>
                <w:rFonts w:ascii="times" w:hAnsi="times"/>
                <w:sz w:val="14"/>
              </w:rPr>
              <w:t>174,000</w:t>
            </w:r>
          </w:p>
        </w:tc>
        <w:tc>
          <w:tcPr>
            <w:tcW w:w="281" w:type="dxa"/>
            <w:tcBorders/>
            <w:shd w:fill="auto" w:val="clear"/>
            <w:vAlign w:val="bottom"/>
          </w:tcPr>
          <w:p>
            <w:pPr>
              <w:pStyle w:val="TableContents"/>
              <w:spacing w:before="0" w:after="283"/>
              <w:rPr/>
            </w:pPr>
            <w:r>
              <w:rPr/>
              <w:t> </w:t>
            </w:r>
          </w:p>
        </w:tc>
        <w:tc>
          <w:tcPr>
            <w:tcW w:w="1239" w:type="dxa"/>
            <w:tcBorders/>
            <w:shd w:fill="auto" w:val="clear"/>
            <w:vAlign w:val="bottom"/>
          </w:tcPr>
          <w:p>
            <w:pPr>
              <w:pStyle w:val="TableContents"/>
              <w:spacing w:before="0" w:after="283"/>
              <w:jc w:val="right"/>
              <w:rPr>
                <w:rFonts w:ascii="times" w:hAnsi="times"/>
                <w:sz w:val="14"/>
              </w:rPr>
            </w:pPr>
            <w:r>
              <w:rPr>
                <w:rFonts w:ascii="times" w:hAnsi="times"/>
                <w:sz w:val="14"/>
              </w:rPr>
              <w:t>Cheniere</w:t>
            </w:r>
          </w:p>
        </w:tc>
        <w:tc>
          <w:tcPr>
            <w:tcW w:w="281" w:type="dxa"/>
            <w:tcBorders/>
            <w:shd w:fill="auto" w:val="clear"/>
            <w:vAlign w:val="bottom"/>
          </w:tcPr>
          <w:p>
            <w:pPr>
              <w:pStyle w:val="TableContents"/>
              <w:spacing w:before="0" w:after="283"/>
              <w:rPr/>
            </w:pPr>
            <w:r>
              <w:rPr/>
              <w:t> </w:t>
            </w:r>
          </w:p>
        </w:tc>
        <w:tc>
          <w:tcPr>
            <w:tcW w:w="1076" w:type="dxa"/>
            <w:tcBorders/>
            <w:shd w:fill="auto" w:val="clear"/>
            <w:vAlign w:val="bottom"/>
          </w:tcPr>
          <w:p>
            <w:pPr>
              <w:pStyle w:val="TableContents"/>
              <w:spacing w:before="0" w:after="283"/>
              <w:jc w:val="right"/>
              <w:rPr>
                <w:rFonts w:ascii="times" w:hAnsi="times"/>
                <w:sz w:val="14"/>
              </w:rPr>
            </w:pPr>
            <w:r>
              <w:rPr>
                <w:rFonts w:ascii="times" w:hAnsi="times"/>
                <w:sz w:val="14"/>
              </w:rPr>
              <w:t>X-DF</w:t>
            </w:r>
          </w:p>
        </w:tc>
        <w:tc>
          <w:tcPr>
            <w:tcW w:w="280" w:type="dxa"/>
            <w:tcBorders/>
            <w:shd w:fill="auto" w:val="clear"/>
            <w:vAlign w:val="bottom"/>
          </w:tcPr>
          <w:p>
            <w:pPr>
              <w:pStyle w:val="TableContents"/>
              <w:spacing w:before="0" w:after="283"/>
              <w:rPr/>
            </w:pPr>
            <w:r>
              <w:rPr/>
              <w:t> </w:t>
            </w:r>
          </w:p>
        </w:tc>
        <w:tc>
          <w:tcPr>
            <w:tcW w:w="1802" w:type="dxa"/>
            <w:tcBorders/>
            <w:shd w:fill="auto" w:val="clear"/>
            <w:vAlign w:val="bottom"/>
          </w:tcPr>
          <w:p>
            <w:pPr>
              <w:pStyle w:val="TableContents"/>
              <w:spacing w:before="0" w:after="283"/>
              <w:jc w:val="right"/>
              <w:rPr>
                <w:rFonts w:ascii="times" w:hAnsi="times"/>
                <w:sz w:val="14"/>
              </w:rPr>
            </w:pPr>
            <w:r>
              <w:rPr>
                <w:rFonts w:ascii="times" w:hAnsi="times"/>
                <w:sz w:val="14"/>
              </w:rPr>
              <w:t>2027</w:t>
            </w:r>
          </w:p>
        </w:tc>
      </w:tr>
      <w:tr>
        <w:trPr/>
        <w:tc>
          <w:tcPr>
            <w:tcW w:w="210" w:type="dxa"/>
            <w:tcBorders/>
            <w:shd w:fill="auto" w:val="clear"/>
          </w:tcPr>
          <w:p>
            <w:pPr>
              <w:pStyle w:val="TableContents"/>
              <w:spacing w:before="0" w:after="283"/>
              <w:rPr>
                <w:rFonts w:ascii="times" w:hAnsi="times"/>
                <w:sz w:val="14"/>
              </w:rPr>
            </w:pPr>
            <w:r>
              <w:rPr>
                <w:rFonts w:ascii="times" w:hAnsi="times"/>
                <w:sz w:val="14"/>
              </w:rPr>
              <w:t>7</w:t>
            </w:r>
          </w:p>
        </w:tc>
        <w:tc>
          <w:tcPr>
            <w:tcW w:w="281" w:type="dxa"/>
            <w:tcBorders/>
            <w:shd w:fill="auto" w:val="clear"/>
          </w:tcPr>
          <w:p>
            <w:pPr>
              <w:pStyle w:val="TableContents"/>
              <w:spacing w:before="0" w:after="283"/>
              <w:rPr/>
            </w:pPr>
            <w:r>
              <w:rPr/>
              <w:t> </w:t>
            </w:r>
          </w:p>
        </w:tc>
        <w:tc>
          <w:tcPr>
            <w:tcW w:w="1878" w:type="dxa"/>
            <w:tcBorders/>
            <w:shd w:fill="auto" w:val="clear"/>
          </w:tcPr>
          <w:p>
            <w:pPr>
              <w:pStyle w:val="TableContents"/>
              <w:spacing w:before="0" w:after="283"/>
              <w:rPr>
                <w:rFonts w:ascii="times" w:hAnsi="times"/>
                <w:i/>
                <w:sz w:val="14"/>
              </w:rPr>
            </w:pPr>
            <w:r>
              <w:rPr>
                <w:rFonts w:ascii="times" w:hAnsi="times"/>
                <w:i/>
                <w:sz w:val="14"/>
              </w:rPr>
              <w:t>GasLog Galveston</w:t>
            </w:r>
          </w:p>
        </w:tc>
        <w:tc>
          <w:tcPr>
            <w:tcW w:w="281" w:type="dxa"/>
            <w:tcBorders/>
            <w:shd w:fill="auto" w:val="clear"/>
          </w:tcPr>
          <w:p>
            <w:pPr>
              <w:pStyle w:val="TableContents"/>
              <w:spacing w:before="0" w:after="283"/>
              <w:rPr/>
            </w:pPr>
            <w:r>
              <w:rPr/>
              <w:t> </w:t>
            </w:r>
          </w:p>
        </w:tc>
        <w:tc>
          <w:tcPr>
            <w:tcW w:w="1310" w:type="dxa"/>
            <w:tcBorders/>
            <w:shd w:fill="auto" w:val="clear"/>
            <w:vAlign w:val="bottom"/>
          </w:tcPr>
          <w:p>
            <w:pPr>
              <w:pStyle w:val="TableContents"/>
              <w:spacing w:before="0" w:after="283"/>
              <w:jc w:val="right"/>
              <w:rPr>
                <w:rFonts w:ascii="times" w:hAnsi="times"/>
                <w:sz w:val="14"/>
              </w:rPr>
            </w:pPr>
            <w:r>
              <w:rPr>
                <w:rFonts w:ascii="times" w:hAnsi="times"/>
                <w:sz w:val="14"/>
              </w:rPr>
              <w:t>2021</w:t>
            </w:r>
          </w:p>
        </w:tc>
        <w:tc>
          <w:tcPr>
            <w:tcW w:w="280" w:type="dxa"/>
            <w:tcBorders/>
            <w:shd w:fill="auto" w:val="clear"/>
            <w:vAlign w:val="bottom"/>
          </w:tcPr>
          <w:p>
            <w:pPr>
              <w:pStyle w:val="TableContents"/>
              <w:spacing w:before="0" w:after="283"/>
              <w:rPr/>
            </w:pPr>
            <w:r>
              <w:rPr/>
              <w:t> </w:t>
            </w:r>
          </w:p>
        </w:tc>
        <w:tc>
          <w:tcPr>
            <w:tcW w:w="141" w:type="dxa"/>
            <w:tcBorders/>
            <w:shd w:fill="auto" w:val="clear"/>
            <w:vAlign w:val="bottom"/>
          </w:tcPr>
          <w:p>
            <w:pPr>
              <w:pStyle w:val="TableContents"/>
              <w:spacing w:before="0" w:after="283"/>
              <w:rPr/>
            </w:pPr>
            <w:r>
              <w:rPr/>
              <w:t> </w:t>
            </w:r>
          </w:p>
        </w:tc>
        <w:tc>
          <w:tcPr>
            <w:tcW w:w="865" w:type="dxa"/>
            <w:tcBorders/>
            <w:shd w:fill="auto" w:val="clear"/>
            <w:vAlign w:val="bottom"/>
          </w:tcPr>
          <w:p>
            <w:pPr>
              <w:pStyle w:val="TableContents"/>
              <w:spacing w:before="0" w:after="283"/>
              <w:jc w:val="right"/>
              <w:rPr>
                <w:rFonts w:ascii="times" w:hAnsi="times"/>
                <w:sz w:val="14"/>
              </w:rPr>
            </w:pPr>
            <w:r>
              <w:rPr>
                <w:rFonts w:ascii="times" w:hAnsi="times"/>
                <w:sz w:val="14"/>
              </w:rPr>
              <w:t>174,000</w:t>
            </w:r>
          </w:p>
        </w:tc>
        <w:tc>
          <w:tcPr>
            <w:tcW w:w="281" w:type="dxa"/>
            <w:tcBorders/>
            <w:shd w:fill="auto" w:val="clear"/>
            <w:vAlign w:val="bottom"/>
          </w:tcPr>
          <w:p>
            <w:pPr>
              <w:pStyle w:val="TableContents"/>
              <w:spacing w:before="0" w:after="283"/>
              <w:rPr/>
            </w:pPr>
            <w:r>
              <w:rPr/>
              <w:t> </w:t>
            </w:r>
          </w:p>
        </w:tc>
        <w:tc>
          <w:tcPr>
            <w:tcW w:w="1239" w:type="dxa"/>
            <w:tcBorders/>
            <w:shd w:fill="auto" w:val="clear"/>
            <w:vAlign w:val="bottom"/>
          </w:tcPr>
          <w:p>
            <w:pPr>
              <w:pStyle w:val="TableContents"/>
              <w:spacing w:before="0" w:after="283"/>
              <w:jc w:val="right"/>
              <w:rPr>
                <w:rFonts w:ascii="times" w:hAnsi="times"/>
                <w:sz w:val="14"/>
              </w:rPr>
            </w:pPr>
            <w:r>
              <w:rPr>
                <w:rFonts w:ascii="times" w:hAnsi="times"/>
                <w:sz w:val="14"/>
              </w:rPr>
              <w:t>Cheniere</w:t>
            </w:r>
          </w:p>
        </w:tc>
        <w:tc>
          <w:tcPr>
            <w:tcW w:w="281" w:type="dxa"/>
            <w:tcBorders/>
            <w:shd w:fill="auto" w:val="clear"/>
            <w:vAlign w:val="bottom"/>
          </w:tcPr>
          <w:p>
            <w:pPr>
              <w:pStyle w:val="TableContents"/>
              <w:spacing w:before="0" w:after="283"/>
              <w:rPr/>
            </w:pPr>
            <w:r>
              <w:rPr/>
              <w:t> </w:t>
            </w:r>
          </w:p>
        </w:tc>
        <w:tc>
          <w:tcPr>
            <w:tcW w:w="1076" w:type="dxa"/>
            <w:tcBorders/>
            <w:shd w:fill="auto" w:val="clear"/>
            <w:vAlign w:val="bottom"/>
          </w:tcPr>
          <w:p>
            <w:pPr>
              <w:pStyle w:val="TableContents"/>
              <w:spacing w:before="0" w:after="283"/>
              <w:jc w:val="right"/>
              <w:rPr>
                <w:rFonts w:ascii="times" w:hAnsi="times"/>
                <w:sz w:val="14"/>
              </w:rPr>
            </w:pPr>
            <w:r>
              <w:rPr>
                <w:rFonts w:ascii="times" w:hAnsi="times"/>
                <w:sz w:val="14"/>
              </w:rPr>
              <w:t>X-DF</w:t>
            </w:r>
          </w:p>
        </w:tc>
        <w:tc>
          <w:tcPr>
            <w:tcW w:w="280" w:type="dxa"/>
            <w:tcBorders/>
            <w:shd w:fill="auto" w:val="clear"/>
            <w:vAlign w:val="bottom"/>
          </w:tcPr>
          <w:p>
            <w:pPr>
              <w:pStyle w:val="TableContents"/>
              <w:spacing w:before="0" w:after="283"/>
              <w:rPr/>
            </w:pPr>
            <w:r>
              <w:rPr/>
              <w:t> </w:t>
            </w:r>
          </w:p>
        </w:tc>
        <w:tc>
          <w:tcPr>
            <w:tcW w:w="1802" w:type="dxa"/>
            <w:tcBorders/>
            <w:shd w:fill="auto" w:val="clear"/>
            <w:vAlign w:val="bottom"/>
          </w:tcPr>
          <w:p>
            <w:pPr>
              <w:pStyle w:val="TableContents"/>
              <w:spacing w:before="0" w:after="283"/>
              <w:jc w:val="right"/>
              <w:rPr>
                <w:rFonts w:ascii="times" w:hAnsi="times"/>
                <w:sz w:val="14"/>
              </w:rPr>
            </w:pPr>
            <w:r>
              <w:rPr>
                <w:rFonts w:ascii="times" w:hAnsi="times"/>
                <w:sz w:val="14"/>
              </w:rPr>
              <w:t>2028</w:t>
            </w:r>
          </w:p>
        </w:tc>
      </w:tr>
      <w:tr>
        <w:trPr/>
        <w:tc>
          <w:tcPr>
            <w:tcW w:w="210" w:type="dxa"/>
            <w:tcBorders/>
            <w:shd w:fill="auto" w:val="clear"/>
          </w:tcPr>
          <w:p>
            <w:pPr>
              <w:pStyle w:val="TableContents"/>
              <w:spacing w:before="0" w:after="283"/>
              <w:rPr>
                <w:rFonts w:ascii="times" w:hAnsi="times"/>
                <w:sz w:val="14"/>
              </w:rPr>
            </w:pPr>
            <w:r>
              <w:rPr>
                <w:rFonts w:ascii="times" w:hAnsi="times"/>
                <w:sz w:val="14"/>
              </w:rPr>
              <w:t>8</w:t>
            </w:r>
          </w:p>
        </w:tc>
        <w:tc>
          <w:tcPr>
            <w:tcW w:w="281" w:type="dxa"/>
            <w:tcBorders/>
            <w:shd w:fill="auto" w:val="clear"/>
          </w:tcPr>
          <w:p>
            <w:pPr>
              <w:pStyle w:val="TableContents"/>
              <w:spacing w:before="0" w:after="283"/>
              <w:rPr/>
            </w:pPr>
            <w:r>
              <w:rPr/>
              <w:t> </w:t>
            </w:r>
          </w:p>
        </w:tc>
        <w:tc>
          <w:tcPr>
            <w:tcW w:w="1878" w:type="dxa"/>
            <w:tcBorders/>
            <w:shd w:fill="auto" w:val="clear"/>
          </w:tcPr>
          <w:p>
            <w:pPr>
              <w:pStyle w:val="TableContents"/>
              <w:spacing w:before="0" w:after="283"/>
              <w:rPr>
                <w:rFonts w:ascii="times" w:hAnsi="times"/>
                <w:i/>
                <w:sz w:val="14"/>
              </w:rPr>
            </w:pPr>
            <w:r>
              <w:rPr>
                <w:rFonts w:ascii="times" w:hAnsi="times"/>
                <w:i/>
                <w:sz w:val="14"/>
              </w:rPr>
              <w:t>Hull No. 2311</w:t>
            </w:r>
          </w:p>
        </w:tc>
        <w:tc>
          <w:tcPr>
            <w:tcW w:w="281" w:type="dxa"/>
            <w:tcBorders/>
            <w:shd w:fill="auto" w:val="clear"/>
          </w:tcPr>
          <w:p>
            <w:pPr>
              <w:pStyle w:val="TableContents"/>
              <w:spacing w:before="0" w:after="283"/>
              <w:rPr/>
            </w:pPr>
            <w:r>
              <w:rPr/>
              <w:t> </w:t>
            </w:r>
          </w:p>
        </w:tc>
        <w:tc>
          <w:tcPr>
            <w:tcW w:w="1310" w:type="dxa"/>
            <w:tcBorders/>
            <w:shd w:fill="auto" w:val="clear"/>
            <w:vAlign w:val="bottom"/>
          </w:tcPr>
          <w:p>
            <w:pPr>
              <w:pStyle w:val="TableContents"/>
              <w:spacing w:before="0" w:after="283"/>
              <w:jc w:val="right"/>
              <w:rPr>
                <w:rFonts w:ascii="times" w:hAnsi="times"/>
                <w:sz w:val="14"/>
              </w:rPr>
            </w:pPr>
            <w:r>
              <w:rPr>
                <w:rFonts w:ascii="times" w:hAnsi="times"/>
                <w:sz w:val="14"/>
              </w:rPr>
              <w:t>Q2 2021</w:t>
            </w:r>
            <w:r>
              <w:rPr>
                <w:rFonts w:ascii="times" w:hAnsi="times"/>
                <w:position w:val="5"/>
                <w:sz w:val="11"/>
                <w:sz w:val="14"/>
              </w:rPr>
              <w:t>(3)</w:t>
            </w:r>
          </w:p>
        </w:tc>
        <w:tc>
          <w:tcPr>
            <w:tcW w:w="280" w:type="dxa"/>
            <w:tcBorders/>
            <w:shd w:fill="auto" w:val="clear"/>
            <w:vAlign w:val="bottom"/>
          </w:tcPr>
          <w:p>
            <w:pPr>
              <w:pStyle w:val="TableContents"/>
              <w:spacing w:before="0" w:after="283"/>
              <w:rPr/>
            </w:pPr>
            <w:r>
              <w:rPr/>
              <w:t> </w:t>
            </w:r>
          </w:p>
        </w:tc>
        <w:tc>
          <w:tcPr>
            <w:tcW w:w="141" w:type="dxa"/>
            <w:tcBorders/>
            <w:shd w:fill="auto" w:val="clear"/>
            <w:vAlign w:val="bottom"/>
          </w:tcPr>
          <w:p>
            <w:pPr>
              <w:pStyle w:val="TableContents"/>
              <w:spacing w:before="0" w:after="283"/>
              <w:rPr/>
            </w:pPr>
            <w:r>
              <w:rPr/>
              <w:t> </w:t>
            </w:r>
          </w:p>
        </w:tc>
        <w:tc>
          <w:tcPr>
            <w:tcW w:w="865" w:type="dxa"/>
            <w:tcBorders/>
            <w:shd w:fill="auto" w:val="clear"/>
            <w:vAlign w:val="bottom"/>
          </w:tcPr>
          <w:p>
            <w:pPr>
              <w:pStyle w:val="TableContents"/>
              <w:spacing w:before="0" w:after="283"/>
              <w:jc w:val="right"/>
              <w:rPr>
                <w:rFonts w:ascii="times" w:hAnsi="times"/>
                <w:sz w:val="14"/>
              </w:rPr>
            </w:pPr>
            <w:r>
              <w:rPr>
                <w:rFonts w:ascii="times" w:hAnsi="times"/>
                <w:sz w:val="14"/>
              </w:rPr>
              <w:t>180,000</w:t>
            </w:r>
          </w:p>
        </w:tc>
        <w:tc>
          <w:tcPr>
            <w:tcW w:w="281" w:type="dxa"/>
            <w:tcBorders/>
            <w:shd w:fill="auto" w:val="clear"/>
            <w:vAlign w:val="bottom"/>
          </w:tcPr>
          <w:p>
            <w:pPr>
              <w:pStyle w:val="TableContents"/>
              <w:spacing w:before="0" w:after="283"/>
              <w:rPr/>
            </w:pPr>
            <w:r>
              <w:rPr/>
              <w:t> </w:t>
            </w:r>
          </w:p>
        </w:tc>
        <w:tc>
          <w:tcPr>
            <w:tcW w:w="1239" w:type="dxa"/>
            <w:tcBorders/>
            <w:shd w:fill="auto" w:val="clear"/>
            <w:vAlign w:val="bottom"/>
          </w:tcPr>
          <w:p>
            <w:pPr>
              <w:pStyle w:val="TableContents"/>
              <w:spacing w:before="0" w:after="283"/>
              <w:jc w:val="right"/>
              <w:rPr>
                <w:rFonts w:ascii="times" w:hAnsi="times"/>
                <w:sz w:val="14"/>
              </w:rPr>
            </w:pPr>
            <w:r>
              <w:rPr>
                <w:rFonts w:ascii="times" w:hAnsi="times"/>
                <w:sz w:val="14"/>
              </w:rPr>
              <w:t>Cheniere</w:t>
            </w:r>
          </w:p>
        </w:tc>
        <w:tc>
          <w:tcPr>
            <w:tcW w:w="281" w:type="dxa"/>
            <w:tcBorders/>
            <w:shd w:fill="auto" w:val="clear"/>
            <w:vAlign w:val="bottom"/>
          </w:tcPr>
          <w:p>
            <w:pPr>
              <w:pStyle w:val="TableContents"/>
              <w:spacing w:before="0" w:after="283"/>
              <w:rPr/>
            </w:pPr>
            <w:r>
              <w:rPr/>
              <w:t> </w:t>
            </w:r>
          </w:p>
        </w:tc>
        <w:tc>
          <w:tcPr>
            <w:tcW w:w="1076" w:type="dxa"/>
            <w:tcBorders/>
            <w:shd w:fill="auto" w:val="clear"/>
            <w:vAlign w:val="bottom"/>
          </w:tcPr>
          <w:p>
            <w:pPr>
              <w:pStyle w:val="TableContents"/>
              <w:spacing w:before="0" w:after="283"/>
              <w:jc w:val="right"/>
              <w:rPr>
                <w:rFonts w:ascii="times" w:hAnsi="times"/>
                <w:sz w:val="14"/>
              </w:rPr>
            </w:pPr>
            <w:r>
              <w:rPr>
                <w:rFonts w:ascii="times" w:hAnsi="times"/>
                <w:sz w:val="14"/>
              </w:rPr>
              <w:t>X-DF</w:t>
            </w:r>
          </w:p>
        </w:tc>
        <w:tc>
          <w:tcPr>
            <w:tcW w:w="280" w:type="dxa"/>
            <w:tcBorders/>
            <w:shd w:fill="auto" w:val="clear"/>
            <w:vAlign w:val="bottom"/>
          </w:tcPr>
          <w:p>
            <w:pPr>
              <w:pStyle w:val="TableContents"/>
              <w:spacing w:before="0" w:after="283"/>
              <w:rPr/>
            </w:pPr>
            <w:r>
              <w:rPr/>
              <w:t> </w:t>
            </w:r>
          </w:p>
        </w:tc>
        <w:tc>
          <w:tcPr>
            <w:tcW w:w="1802" w:type="dxa"/>
            <w:tcBorders/>
            <w:shd w:fill="auto" w:val="clear"/>
            <w:vAlign w:val="bottom"/>
          </w:tcPr>
          <w:p>
            <w:pPr>
              <w:pStyle w:val="TableContents"/>
              <w:spacing w:before="0" w:after="283"/>
              <w:jc w:val="right"/>
              <w:rPr>
                <w:rFonts w:ascii="times" w:hAnsi="times"/>
                <w:sz w:val="14"/>
              </w:rPr>
            </w:pPr>
            <w:r>
              <w:rPr>
                <w:rFonts w:ascii="times" w:hAnsi="times"/>
                <w:sz w:val="14"/>
              </w:rPr>
              <w:t>2028</w:t>
            </w:r>
            <w:r>
              <w:rPr>
                <w:rFonts w:ascii="times" w:hAnsi="times"/>
                <w:position w:val="5"/>
                <w:sz w:val="11"/>
                <w:sz w:val="14"/>
              </w:rPr>
              <w:t>(4)</w:t>
            </w:r>
          </w:p>
        </w:tc>
      </w:tr>
      <w:tr>
        <w:trPr/>
        <w:tc>
          <w:tcPr>
            <w:tcW w:w="210" w:type="dxa"/>
            <w:tcBorders/>
            <w:shd w:fill="auto" w:val="clear"/>
          </w:tcPr>
          <w:p>
            <w:pPr>
              <w:pStyle w:val="TableContents"/>
              <w:spacing w:before="0" w:after="283"/>
              <w:rPr>
                <w:rFonts w:ascii="times" w:hAnsi="times"/>
                <w:sz w:val="14"/>
              </w:rPr>
            </w:pPr>
            <w:r>
              <w:rPr>
                <w:rFonts w:ascii="times" w:hAnsi="times"/>
                <w:sz w:val="14"/>
              </w:rPr>
              <w:t>9</w:t>
            </w:r>
          </w:p>
        </w:tc>
        <w:tc>
          <w:tcPr>
            <w:tcW w:w="281" w:type="dxa"/>
            <w:tcBorders/>
            <w:shd w:fill="auto" w:val="clear"/>
          </w:tcPr>
          <w:p>
            <w:pPr>
              <w:pStyle w:val="TableContents"/>
              <w:spacing w:before="0" w:after="283"/>
              <w:rPr/>
            </w:pPr>
            <w:r>
              <w:rPr/>
              <w:t> </w:t>
            </w:r>
          </w:p>
        </w:tc>
        <w:tc>
          <w:tcPr>
            <w:tcW w:w="1878" w:type="dxa"/>
            <w:tcBorders/>
            <w:shd w:fill="auto" w:val="clear"/>
          </w:tcPr>
          <w:p>
            <w:pPr>
              <w:pStyle w:val="TableContents"/>
              <w:spacing w:before="0" w:after="283"/>
              <w:rPr>
                <w:rFonts w:ascii="times" w:hAnsi="times"/>
                <w:i/>
                <w:sz w:val="14"/>
              </w:rPr>
            </w:pPr>
            <w:r>
              <w:rPr>
                <w:rFonts w:ascii="times" w:hAnsi="times"/>
                <w:i/>
                <w:sz w:val="14"/>
              </w:rPr>
              <w:t>Hull No. 2312</w:t>
            </w:r>
          </w:p>
        </w:tc>
        <w:tc>
          <w:tcPr>
            <w:tcW w:w="281" w:type="dxa"/>
            <w:tcBorders/>
            <w:shd w:fill="auto" w:val="clear"/>
          </w:tcPr>
          <w:p>
            <w:pPr>
              <w:pStyle w:val="TableContents"/>
              <w:spacing w:before="0" w:after="283"/>
              <w:rPr/>
            </w:pPr>
            <w:r>
              <w:rPr/>
              <w:t> </w:t>
            </w:r>
          </w:p>
        </w:tc>
        <w:tc>
          <w:tcPr>
            <w:tcW w:w="1310" w:type="dxa"/>
            <w:tcBorders/>
            <w:shd w:fill="auto" w:val="clear"/>
            <w:vAlign w:val="bottom"/>
          </w:tcPr>
          <w:p>
            <w:pPr>
              <w:pStyle w:val="TableContents"/>
              <w:spacing w:before="0" w:after="283"/>
              <w:jc w:val="right"/>
              <w:rPr>
                <w:rFonts w:ascii="times" w:hAnsi="times"/>
                <w:sz w:val="14"/>
              </w:rPr>
            </w:pPr>
            <w:r>
              <w:rPr>
                <w:rFonts w:ascii="times" w:hAnsi="times"/>
                <w:sz w:val="14"/>
              </w:rPr>
              <w:t>Q3 2021</w:t>
            </w:r>
            <w:r>
              <w:rPr>
                <w:rFonts w:ascii="times" w:hAnsi="times"/>
                <w:position w:val="5"/>
                <w:sz w:val="11"/>
                <w:sz w:val="14"/>
              </w:rPr>
              <w:t>(3)</w:t>
            </w:r>
          </w:p>
        </w:tc>
        <w:tc>
          <w:tcPr>
            <w:tcW w:w="280" w:type="dxa"/>
            <w:tcBorders/>
            <w:shd w:fill="auto" w:val="clear"/>
            <w:vAlign w:val="bottom"/>
          </w:tcPr>
          <w:p>
            <w:pPr>
              <w:pStyle w:val="TableContents"/>
              <w:spacing w:before="0" w:after="283"/>
              <w:rPr/>
            </w:pPr>
            <w:r>
              <w:rPr/>
              <w:t> </w:t>
            </w:r>
          </w:p>
        </w:tc>
        <w:tc>
          <w:tcPr>
            <w:tcW w:w="141" w:type="dxa"/>
            <w:tcBorders/>
            <w:shd w:fill="auto" w:val="clear"/>
            <w:vAlign w:val="bottom"/>
          </w:tcPr>
          <w:p>
            <w:pPr>
              <w:pStyle w:val="TableContents"/>
              <w:spacing w:before="0" w:after="283"/>
              <w:rPr/>
            </w:pPr>
            <w:r>
              <w:rPr/>
              <w:t> </w:t>
            </w:r>
          </w:p>
        </w:tc>
        <w:tc>
          <w:tcPr>
            <w:tcW w:w="865" w:type="dxa"/>
            <w:tcBorders/>
            <w:shd w:fill="auto" w:val="clear"/>
            <w:vAlign w:val="bottom"/>
          </w:tcPr>
          <w:p>
            <w:pPr>
              <w:pStyle w:val="TableContents"/>
              <w:spacing w:before="0" w:after="283"/>
              <w:jc w:val="right"/>
              <w:rPr>
                <w:rFonts w:ascii="times" w:hAnsi="times"/>
                <w:sz w:val="14"/>
              </w:rPr>
            </w:pPr>
            <w:r>
              <w:rPr>
                <w:rFonts w:ascii="times" w:hAnsi="times"/>
                <w:sz w:val="14"/>
              </w:rPr>
              <w:t>180,000</w:t>
            </w:r>
          </w:p>
        </w:tc>
        <w:tc>
          <w:tcPr>
            <w:tcW w:w="281" w:type="dxa"/>
            <w:tcBorders/>
            <w:shd w:fill="auto" w:val="clear"/>
            <w:vAlign w:val="bottom"/>
          </w:tcPr>
          <w:p>
            <w:pPr>
              <w:pStyle w:val="TableContents"/>
              <w:spacing w:before="0" w:after="283"/>
              <w:rPr/>
            </w:pPr>
            <w:r>
              <w:rPr/>
              <w:t> </w:t>
            </w:r>
          </w:p>
        </w:tc>
        <w:tc>
          <w:tcPr>
            <w:tcW w:w="1239" w:type="dxa"/>
            <w:tcBorders/>
            <w:shd w:fill="auto" w:val="clear"/>
            <w:vAlign w:val="bottom"/>
          </w:tcPr>
          <w:p>
            <w:pPr>
              <w:pStyle w:val="TableContents"/>
              <w:spacing w:before="0" w:after="283"/>
              <w:jc w:val="right"/>
              <w:rPr>
                <w:rFonts w:ascii="times" w:hAnsi="times"/>
                <w:sz w:val="14"/>
              </w:rPr>
            </w:pPr>
            <w:r>
              <w:rPr>
                <w:rFonts w:ascii="times" w:hAnsi="times"/>
                <w:sz w:val="14"/>
              </w:rPr>
              <w:t>Cheniere</w:t>
            </w:r>
          </w:p>
        </w:tc>
        <w:tc>
          <w:tcPr>
            <w:tcW w:w="281" w:type="dxa"/>
            <w:tcBorders/>
            <w:shd w:fill="auto" w:val="clear"/>
            <w:vAlign w:val="bottom"/>
          </w:tcPr>
          <w:p>
            <w:pPr>
              <w:pStyle w:val="TableContents"/>
              <w:spacing w:before="0" w:after="283"/>
              <w:rPr/>
            </w:pPr>
            <w:r>
              <w:rPr/>
              <w:t> </w:t>
            </w:r>
          </w:p>
        </w:tc>
        <w:tc>
          <w:tcPr>
            <w:tcW w:w="1076" w:type="dxa"/>
            <w:tcBorders/>
            <w:shd w:fill="auto" w:val="clear"/>
            <w:vAlign w:val="bottom"/>
          </w:tcPr>
          <w:p>
            <w:pPr>
              <w:pStyle w:val="TableContents"/>
              <w:spacing w:before="0" w:after="283"/>
              <w:jc w:val="right"/>
              <w:rPr>
                <w:rFonts w:ascii="times" w:hAnsi="times"/>
                <w:sz w:val="14"/>
              </w:rPr>
            </w:pPr>
            <w:r>
              <w:rPr>
                <w:rFonts w:ascii="times" w:hAnsi="times"/>
                <w:sz w:val="14"/>
              </w:rPr>
              <w:t>X-DF</w:t>
            </w:r>
          </w:p>
        </w:tc>
        <w:tc>
          <w:tcPr>
            <w:tcW w:w="280" w:type="dxa"/>
            <w:tcBorders/>
            <w:shd w:fill="auto" w:val="clear"/>
            <w:vAlign w:val="bottom"/>
          </w:tcPr>
          <w:p>
            <w:pPr>
              <w:pStyle w:val="TableContents"/>
              <w:spacing w:before="0" w:after="283"/>
              <w:rPr/>
            </w:pPr>
            <w:r>
              <w:rPr/>
              <w:t> </w:t>
            </w:r>
          </w:p>
        </w:tc>
        <w:tc>
          <w:tcPr>
            <w:tcW w:w="1802" w:type="dxa"/>
            <w:tcBorders/>
            <w:shd w:fill="auto" w:val="clear"/>
            <w:vAlign w:val="bottom"/>
          </w:tcPr>
          <w:p>
            <w:pPr>
              <w:pStyle w:val="TableContents"/>
              <w:spacing w:before="0" w:after="283"/>
              <w:jc w:val="right"/>
              <w:rPr>
                <w:rFonts w:ascii="times" w:hAnsi="times"/>
                <w:sz w:val="14"/>
              </w:rPr>
            </w:pPr>
            <w:r>
              <w:rPr>
                <w:rFonts w:ascii="times" w:hAnsi="times"/>
                <w:sz w:val="14"/>
              </w:rPr>
              <w:t>2028</w:t>
            </w:r>
            <w:r>
              <w:rPr>
                <w:rFonts w:ascii="times" w:hAnsi="times"/>
                <w:position w:val="5"/>
                <w:sz w:val="11"/>
                <w:sz w:val="14"/>
              </w:rPr>
              <w:t>(4)</w:t>
            </w:r>
          </w:p>
        </w:tc>
      </w:tr>
    </w:tbl>
    <w:p>
      <w:pPr>
        <w:pStyle w:val="HorizontalLine"/>
        <w:pBdr>
          <w:bottom w:val="single" w:sz="6" w:space="0" w:color="000000"/>
        </w:pBdr>
        <w:ind w:left="0" w:right="7042" w:hanging="0"/>
        <w:rPr/>
      </w:pPr>
      <w:r>
        <w:rPr/>
      </w:r>
    </w:p>
    <w:p>
      <w:pPr>
        <w:pStyle w:val="ListHeading"/>
        <w:spacing w:before="0" w:after="0"/>
        <w:jc w:val="left"/>
        <w:rPr>
          <w:rFonts w:ascii="times" w:hAnsi="times"/>
          <w:position w:val="5"/>
          <w:sz w:val="11"/>
          <w:sz w:val="14"/>
        </w:rPr>
      </w:pPr>
      <w:r>
        <w:rPr>
          <w:rFonts w:ascii="times" w:hAnsi="times"/>
          <w:position w:val="5"/>
          <w:sz w:val="11"/>
          <w:sz w:val="14"/>
        </w:rPr>
        <w:t>(1)</w:t>
      </w:r>
    </w:p>
    <w:p>
      <w:pPr>
        <w:pStyle w:val="ListContents"/>
        <w:spacing w:before="0" w:after="283"/>
        <w:jc w:val="left"/>
        <w:rPr>
          <w:rFonts w:ascii="times" w:hAnsi="times"/>
          <w:sz w:val="14"/>
        </w:rPr>
      </w:pPr>
      <w:r>
        <w:rPr>
          <w:rFonts w:ascii="times" w:hAnsi="times"/>
          <w:sz w:val="14"/>
        </w:rPr>
        <w:t xml:space="preserve">The vessel is currently trading in the spot market and has been chartered to Sinolam for the provision of an FSU after the vessel's dry-docking and conversion to an FSU. </w:t>
      </w:r>
    </w:p>
    <w:p>
      <w:pPr>
        <w:pStyle w:val="ListHeading"/>
        <w:spacing w:before="0" w:after="0"/>
        <w:jc w:val="left"/>
        <w:rPr>
          <w:rFonts w:ascii="times" w:hAnsi="times"/>
          <w:position w:val="5"/>
          <w:sz w:val="11"/>
          <w:sz w:val="14"/>
        </w:rPr>
      </w:pPr>
      <w:r>
        <w:rPr>
          <w:rFonts w:ascii="times" w:hAnsi="times"/>
          <w:position w:val="5"/>
          <w:sz w:val="11"/>
          <w:sz w:val="14"/>
        </w:rPr>
        <w:t>(2)</w:t>
      </w:r>
    </w:p>
    <w:p>
      <w:pPr>
        <w:pStyle w:val="ListContents"/>
        <w:spacing w:before="0" w:after="283"/>
        <w:jc w:val="left"/>
        <w:rPr>
          <w:rFonts w:ascii="times" w:hAnsi="times"/>
          <w:sz w:val="14"/>
        </w:rPr>
      </w:pPr>
      <w:r>
        <w:rPr>
          <w:rFonts w:ascii="times" w:hAnsi="times"/>
          <w:sz w:val="14"/>
        </w:rPr>
        <w:t xml:space="preserve">The vessel is chartered to a wholly owned subsidiary of Endesa. The charter is expected to commence in May 2021. </w:t>
      </w:r>
    </w:p>
    <w:p>
      <w:pPr>
        <w:pStyle w:val="ListHeading"/>
        <w:spacing w:before="0" w:after="0"/>
        <w:jc w:val="left"/>
        <w:rPr>
          <w:rFonts w:ascii="times" w:hAnsi="times"/>
          <w:position w:val="5"/>
          <w:sz w:val="11"/>
          <w:sz w:val="14"/>
        </w:rPr>
      </w:pPr>
      <w:r>
        <w:rPr>
          <w:rFonts w:ascii="times" w:hAnsi="times"/>
          <w:position w:val="5"/>
          <w:sz w:val="11"/>
          <w:sz w:val="14"/>
        </w:rPr>
        <w:t>(3)</w:t>
      </w:r>
    </w:p>
    <w:p>
      <w:pPr>
        <w:pStyle w:val="ListContents"/>
        <w:spacing w:before="0" w:after="283"/>
        <w:jc w:val="left"/>
        <w:rPr>
          <w:rFonts w:ascii="times" w:hAnsi="times"/>
          <w:sz w:val="14"/>
        </w:rPr>
      </w:pPr>
      <w:r>
        <w:rPr>
          <w:rFonts w:ascii="times" w:hAnsi="times"/>
          <w:sz w:val="14"/>
        </w:rPr>
        <w:t xml:space="preserve">Expected delivery quarters are presented. </w:t>
      </w:r>
    </w:p>
    <w:p>
      <w:pPr>
        <w:pStyle w:val="ListHeading"/>
        <w:spacing w:before="0" w:after="0"/>
        <w:jc w:val="left"/>
        <w:rPr>
          <w:rFonts w:ascii="times" w:hAnsi="times"/>
          <w:position w:val="5"/>
          <w:sz w:val="11"/>
          <w:sz w:val="14"/>
        </w:rPr>
      </w:pPr>
      <w:r>
        <w:rPr>
          <w:rFonts w:ascii="times" w:hAnsi="times"/>
          <w:position w:val="5"/>
          <w:sz w:val="11"/>
          <w:sz w:val="14"/>
        </w:rPr>
        <w:t>(4)</w:t>
      </w:r>
    </w:p>
    <w:p>
      <w:pPr>
        <w:pStyle w:val="ListContents"/>
        <w:spacing w:before="0" w:after="283"/>
        <w:jc w:val="left"/>
        <w:rPr>
          <w:rFonts w:ascii="times" w:hAnsi="times"/>
          <w:sz w:val="14"/>
        </w:rPr>
      </w:pPr>
      <w:r>
        <w:rPr>
          <w:rFonts w:ascii="times" w:hAnsi="times"/>
          <w:sz w:val="14"/>
        </w:rPr>
        <w:t xml:space="preserve">Charter expiration to be determined based upon actual date of delivery. </w:t>
      </w:r>
    </w:p>
    <w:p>
      <w:pPr>
        <w:pStyle w:val="TextBody"/>
        <w:ind w:left="200" w:right="0" w:hanging="200"/>
        <w:rPr>
          <w:rFonts w:ascii="times" w:hAnsi="times"/>
          <w:i/>
          <w:sz w:val="20"/>
          <w:bdr w:val="single" w:sz="8" w:space="12" w:color="000000"/>
        </w:rPr>
      </w:pPr>
      <w:r>
        <w:rPr>
          <w:rFonts w:ascii="times" w:hAnsi="times"/>
          <w:i/>
          <w:sz w:val="20"/>
          <w:bdr w:val="single" w:sz="8" w:space="12" w:color="000000"/>
        </w:rPr>
        <w:t xml:space="preserve">Rights of First Offer </w:t>
      </w:r>
    </w:p>
    <w:p>
      <w:pPr>
        <w:pStyle w:val="TextBody"/>
        <w:rPr>
          <w:rFonts w:ascii="times" w:hAnsi="times"/>
          <w:sz w:val="20"/>
          <w:bdr w:val="single" w:sz="8" w:space="12" w:color="000000"/>
        </w:rPr>
      </w:pPr>
      <w:r>
        <w:rPr>
          <w:rFonts w:ascii="times" w:hAnsi="times"/>
          <w:sz w:val="20"/>
          <w:bdr w:val="single" w:sz="8" w:space="12" w:color="000000"/>
        </w:rPr>
        <w:t xml:space="preserve">In addition, under the omnibus agreement, we will have a right of first offer with regard to any proposed sale, transfer or other disposition of any LNG carriers with cargo capacities greater than 75,000 cbm engaged in oceangoing LNG transportation under a charter of five full years or more that GasLog owns, as discussed elsewhere in this prospectus supplement. </w:t>
      </w:r>
    </w:p>
    <w:p>
      <w:pPr>
        <w:pStyle w:val="TextBody"/>
        <w:ind w:left="200" w:right="0" w:hanging="200"/>
        <w:rPr>
          <w:rFonts w:ascii="times" w:hAnsi="times"/>
          <w:i/>
          <w:sz w:val="20"/>
          <w:bdr w:val="single" w:sz="8" w:space="12" w:color="000000"/>
        </w:rPr>
      </w:pPr>
      <w:r>
        <w:rPr>
          <w:rFonts w:ascii="times" w:hAnsi="times"/>
          <w:i/>
          <w:sz w:val="20"/>
          <w:bdr w:val="single" w:sz="8" w:space="12" w:color="000000"/>
        </w:rPr>
        <w:t xml:space="preserve">Vessel Acquisition Considerations </w:t>
      </w:r>
    </w:p>
    <w:p>
      <w:pPr>
        <w:pStyle w:val="TextBody"/>
        <w:rPr>
          <w:rFonts w:ascii="times" w:hAnsi="times"/>
          <w:sz w:val="20"/>
          <w:bdr w:val="single" w:sz="8" w:space="12" w:color="000000"/>
        </w:rPr>
      </w:pPr>
      <w:r>
        <w:rPr>
          <w:rFonts w:ascii="times" w:hAnsi="times"/>
          <w:sz w:val="20"/>
          <w:bdr w:val="single" w:sz="8" w:space="12" w:color="000000"/>
        </w:rPr>
        <w:t xml:space="preserve">We are not obligated to purchase any of the vessels from GasLog described in the previous sections and, accordingly, we may not complete the purchase of any such vessels. Furthermore, our ability to purchase any additional vessels, including under the omnibus agreement from GasLog, is dependent on our ability to obtain financing to fund all or a portion of the acquisition costs of these vessels. Our ability to acquire additional vessels from GasLog is also subject to obtaining any applicable consents of governmental authorities and other non-affiliated third parties, including the relevant lenders and charterers. Under the omnibus agreement, GasLog is obligated to use reasonable efforts to obtain any </w:t>
      </w:r>
    </w:p>
    <w:p>
      <w:pPr>
        <w:pStyle w:val="TextBody"/>
        <w:jc w:val="center"/>
        <w:rPr>
          <w:rFonts w:ascii="times" w:hAnsi="times"/>
          <w:sz w:val="20"/>
        </w:rPr>
      </w:pPr>
      <w:r>
        <w:rPr>
          <w:rFonts w:ascii="times" w:hAnsi="times"/>
          <w:sz w:val="20"/>
        </w:rPr>
        <w:t>S-7</w:t>
      </w:r>
    </w:p>
    <w:p>
      <w:pPr>
        <w:pStyle w:val="HorizontalLine"/>
        <w:pBdr>
          <w:bottom w:val="single" w:sz="20" w:space="0" w:color="808080"/>
        </w:pBdr>
        <w:rPr/>
      </w:pPr>
      <w:r>
        <w:rPr/>
      </w:r>
      <w:r>
        <w:br w:type="page"/>
      </w:r>
    </w:p>
    <w:p>
      <w:pPr>
        <w:pStyle w:val="TextBody"/>
        <w:rPr/>
      </w:pPr>
      <w:hyperlink w:anchor="bE43504A_main_toc">
        <w:bookmarkStart w:id="28" w:name="page_bk43504_1_8"/>
        <w:bookmarkEnd w:id="28"/>
        <w:r>
          <w:rPr>
            <w:rStyle w:val="InternetLink"/>
            <w:rFonts w:ascii="times" w:hAnsi="times"/>
            <w:sz w:val="20"/>
          </w:rPr>
          <w:t>Table of Contents</w:t>
        </w:r>
      </w:hyperlink>
    </w:p>
    <w:p>
      <w:pPr>
        <w:pStyle w:val="TextBody"/>
        <w:rPr>
          <w:rFonts w:ascii="times" w:hAnsi="times"/>
          <w:sz w:val="20"/>
          <w:bdr w:val="single" w:sz="8" w:space="12" w:color="000000"/>
        </w:rPr>
      </w:pPr>
      <w:r>
        <w:rPr>
          <w:rFonts w:ascii="times" w:hAnsi="times"/>
          <w:sz w:val="20"/>
          <w:bdr w:val="single" w:sz="8" w:space="12" w:color="000000"/>
        </w:rPr>
        <w:t xml:space="preserve">such consents. We cannot assure you that in any particular case the necessary consent will be obtained. See "Item 3. Key InformationD. Risk FactorsRisks Inherent in Our Business" of our Annual Report on Form 20-F for a discussion of the risks we face in acquiring vessels. See also "Item 7. Major Unitholders and Related Party TransactionsB. Related Party TransactionsOmnibus Agreement" of our Annual Report on Form 20-F. </w:t>
      </w:r>
    </w:p>
    <w:p>
      <w:pPr>
        <w:pStyle w:val="TextBody"/>
        <w:jc w:val="center"/>
        <w:rPr>
          <w:rFonts w:ascii="times" w:hAnsi="times"/>
          <w:bdr w:val="single" w:sz="8" w:space="12" w:color="000000"/>
        </w:rPr>
      </w:pPr>
      <w:bookmarkStart w:id="29" w:name="toc_bk43504_6"/>
      <w:bookmarkStart w:id="30" w:name="bk43504_our_relationship_with_gaslog_ltd"/>
      <w:bookmarkEnd w:id="29"/>
      <w:bookmarkEnd w:id="30"/>
      <w:r>
        <w:rPr>
          <w:rFonts w:ascii="times" w:hAnsi="times"/>
          <w:sz w:val="20"/>
          <w:bdr w:val="single" w:sz="8" w:space="12" w:color="000000"/>
        </w:rPr>
        <w:br/>
      </w:r>
      <w:r>
        <w:rPr>
          <w:rFonts w:ascii="times" w:hAnsi="times"/>
          <w:b/>
          <w:sz w:val="20"/>
          <w:bdr w:val="single" w:sz="8" w:space="12" w:color="000000"/>
        </w:rPr>
        <w:t xml:space="preserve">Our Relationship with GasLog Ltd. </w:t>
      </w:r>
    </w:p>
    <w:p>
      <w:pPr>
        <w:pStyle w:val="TextBody"/>
        <w:rPr>
          <w:rFonts w:ascii="times" w:hAnsi="times"/>
          <w:bdr w:val="single" w:sz="8" w:space="12" w:color="000000"/>
        </w:rPr>
      </w:pPr>
      <w:r>
        <w:rPr>
          <w:rFonts w:ascii="times" w:hAnsi="times"/>
          <w:sz w:val="20"/>
          <w:bdr w:val="single" w:sz="8" w:space="12" w:color="000000"/>
        </w:rPr>
        <w:t xml:space="preserve">We believe that one of our principal strengths is our relationship with GasLog. We believe our relationship with GasLog gives us access to GasLog's relationships with leading energy companies, shipbuilders, financing sources and suppliers and to its technical, commercial and managerial expertise, which we believe will allow us to compete more effectively when seeking additional customers. As of March 31, 2021, GasLog's wholly owned fleet includes 17 LNG carriers (including 15 ships in operation and two LNG carriers on order). In addition, GasLog holds a 35.3% interest (including the 2% interest through general partner units) in the Partnership. GasLog was incorporated in 2003 and is effectively controlled by its chairman, Peter G. Livanos, who beneficially owns approximately 41.4% of GasLog's common shares. Mr. Livanos's family's shipping activities commenced more than 100 years ago. Since its initial public offering in April 2012, GasLog has increased by approximately 84% the total carrying capacity of its wholly owned fleet, which includes vessels on the water and newbuildings on order but excludes the vessels owned by the Partnership and the bareboat fleet. In addition, GasLog, through its wholly owned subsidiary GasLog LNG Services, provides ship management services to the LNG carriers in our fleet, except for the </w:t>
      </w:r>
      <w:r>
        <w:rPr>
          <w:rFonts w:ascii="times" w:hAnsi="times"/>
          <w:i/>
          <w:sz w:val="20"/>
          <w:bdr w:val="single" w:sz="8" w:space="12" w:color="000000"/>
        </w:rPr>
        <w:t>Solaris</w:t>
      </w:r>
      <w:r>
        <w:rPr>
          <w:rFonts w:ascii="times" w:hAnsi="times"/>
          <w:bdr w:val="single" w:sz="8" w:space="12" w:color="000000"/>
        </w:rPr>
        <w:t xml:space="preserve"> </w:t>
      </w:r>
      <w:r>
        <w:rPr>
          <w:rFonts w:ascii="times" w:hAnsi="times"/>
          <w:sz w:val="20"/>
          <w:bdr w:val="single" w:sz="8" w:space="12" w:color="000000"/>
        </w:rPr>
        <w:t xml:space="preserve">which is managed by a subsidiary of Shell and, subject to any alternative arrangements with the applicable charterer, additional ships we may acquire from GasLog. GasLog also provides certain administrative and commercial management services to the Partnership. There are also risks associated with GasLog that may affect us. See "Item 3. Key InformationD. Risk FactorsRisks Inherent in Our Business" of our Annual Report on Form 20-F. </w:t>
      </w:r>
    </w:p>
    <w:p>
      <w:pPr>
        <w:pStyle w:val="TextBody"/>
        <w:rPr>
          <w:rFonts w:ascii="times" w:hAnsi="times"/>
          <w:sz w:val="20"/>
          <w:bdr w:val="single" w:sz="8" w:space="12" w:color="000000"/>
        </w:rPr>
      </w:pPr>
      <w:r>
        <w:rPr>
          <w:rFonts w:ascii="times" w:hAnsi="times"/>
          <w:sz w:val="20"/>
          <w:bdr w:val="single" w:sz="8" w:space="12" w:color="000000"/>
        </w:rPr>
        <w:t xml:space="preserve">On February 22, 2021, GasLog announced that it had entered into a Merger Agreement with GEPIF. Under the Merger Agreement, GEPIF will acquire all of the outstanding common shares of GasLog that are not held by the Rolling Shareholders of GasLog in exchange for $5.80 in cash per common share. The Transaction is expected to close in the second quarter of 2021, subject to approval of the Transaction by GasLog shareholders at a special meeting, including by a majority of the shares held by the non-Rolling Shareholders present at the shareholders meeting that will be held in connection with the Transaction, and the satisfaction or waiver of certain customary closing conditions. GasLog's preference shares will remain outstanding and continue to trade on the NYSE immediately following the completion of the Transaction. The common and preference units of GasLog Partners LP will remain outstanding and continue to trade on the NYSE. </w:t>
      </w:r>
    </w:p>
    <w:p>
      <w:pPr>
        <w:pStyle w:val="TextBody"/>
        <w:rPr>
          <w:rFonts w:ascii="times" w:hAnsi="times"/>
          <w:sz w:val="20"/>
          <w:bdr w:val="single" w:sz="8" w:space="12" w:color="000000"/>
        </w:rPr>
      </w:pPr>
      <w:r>
        <w:rPr>
          <w:rFonts w:ascii="times" w:hAnsi="times"/>
          <w:sz w:val="20"/>
          <w:bdr w:val="single" w:sz="8" w:space="12" w:color="000000"/>
        </w:rPr>
        <w:t xml:space="preserve">As of March 31, 2021, GasLog owns our 2.0% general partner interest, 2,075,000 Class B Units and 14,791,602 common units. Our general partner, by virtue of its general partner interest, controls the appointment of three of our five directors (subject to its right to transfer the power to elect one director to the common unitholders so that they will thereafter elect a majority of our directors). </w:t>
      </w:r>
    </w:p>
    <w:p>
      <w:pPr>
        <w:pStyle w:val="TextBody"/>
        <w:jc w:val="center"/>
        <w:rPr>
          <w:rFonts w:ascii="times" w:hAnsi="times"/>
          <w:bdr w:val="single" w:sz="8" w:space="12" w:color="000000"/>
        </w:rPr>
      </w:pPr>
      <w:bookmarkStart w:id="31" w:name="toc_bk43504_7"/>
      <w:bookmarkStart w:id="32" w:name="bk43504_corporate_information"/>
      <w:bookmarkEnd w:id="31"/>
      <w:bookmarkEnd w:id="32"/>
      <w:r>
        <w:rPr>
          <w:rFonts w:ascii="times" w:hAnsi="times"/>
          <w:sz w:val="20"/>
          <w:bdr w:val="single" w:sz="8" w:space="12" w:color="000000"/>
        </w:rPr>
        <w:br/>
      </w:r>
      <w:r>
        <w:rPr>
          <w:rFonts w:ascii="times" w:hAnsi="times"/>
          <w:b/>
          <w:sz w:val="20"/>
          <w:bdr w:val="single" w:sz="8" w:space="12" w:color="000000"/>
        </w:rPr>
        <w:t xml:space="preserve">Corporate Information </w:t>
      </w:r>
    </w:p>
    <w:p>
      <w:pPr>
        <w:pStyle w:val="TextBody"/>
        <w:rPr>
          <w:rFonts w:ascii="times" w:hAnsi="times"/>
          <w:sz w:val="20"/>
          <w:bdr w:val="single" w:sz="8" w:space="12" w:color="000000"/>
        </w:rPr>
      </w:pPr>
      <w:r>
        <w:rPr>
          <w:rFonts w:ascii="times" w:hAnsi="times"/>
          <w:sz w:val="20"/>
          <w:bdr w:val="single" w:sz="8" w:space="12" w:color="000000"/>
        </w:rPr>
        <w:t xml:space="preserve">Our principal executive offices are located at 69 Akti Miaouli, 18537 Piraeus, Greece, and our phone number is + 30 210 459 1000. We have been organized under the laws of the Republic of the Marshall Islands. We make our periodic reports and other information filed with or furnished to the SEC available free of charge through our website at </w:t>
      </w:r>
      <w:r>
        <w:rPr>
          <w:rFonts w:ascii="times" w:hAnsi="times"/>
          <w:sz w:val="20"/>
          <w:u w:val="single"/>
          <w:bdr w:val="single" w:sz="8" w:space="12" w:color="000000"/>
        </w:rPr>
        <w:t>www.gaslogmlp.com</w:t>
      </w:r>
      <w:r>
        <w:rPr>
          <w:rFonts w:ascii="times" w:hAnsi="times"/>
          <w:sz w:val="20"/>
          <w:bdr w:val="single" w:sz="8" w:space="12" w:color="000000"/>
        </w:rPr>
        <w:t xml:space="preserve"> as soon as reasonably practicable after those reports and other information are electronically filed with or furnished to the SEC. See "Where You Can Find More Information" for an explanation of our reporting requirements as a foreign private issuer. </w:t>
      </w:r>
    </w:p>
    <w:p>
      <w:pPr>
        <w:pStyle w:val="TextBody"/>
        <w:jc w:val="center"/>
        <w:rPr>
          <w:rFonts w:ascii="times" w:hAnsi="times"/>
          <w:sz w:val="20"/>
        </w:rPr>
      </w:pPr>
      <w:r>
        <w:rPr>
          <w:rFonts w:ascii="times" w:hAnsi="times"/>
          <w:sz w:val="20"/>
        </w:rPr>
        <w:t>S-8</w:t>
      </w:r>
    </w:p>
    <w:p>
      <w:pPr>
        <w:pStyle w:val="HorizontalLine"/>
        <w:pBdr>
          <w:bottom w:val="single" w:sz="20" w:space="0" w:color="808080"/>
        </w:pBdr>
        <w:rPr/>
      </w:pPr>
      <w:r>
        <w:rPr/>
      </w:r>
      <w:r>
        <w:br w:type="page"/>
      </w:r>
    </w:p>
    <w:p>
      <w:pPr>
        <w:pStyle w:val="TextBody"/>
        <w:rPr/>
      </w:pPr>
      <w:hyperlink w:anchor="bE43504A_main_toc">
        <w:bookmarkStart w:id="33" w:name="page_bk43504_1_9"/>
        <w:bookmarkEnd w:id="33"/>
        <w:r>
          <w:rPr>
            <w:rStyle w:val="InternetLink"/>
            <w:rFonts w:ascii="times" w:hAnsi="times"/>
            <w:sz w:val="20"/>
          </w:rPr>
          <w:t>Table of Contents</w:t>
        </w:r>
      </w:hyperlink>
    </w:p>
    <w:p>
      <w:pPr>
        <w:pStyle w:val="TextBody"/>
        <w:jc w:val="center"/>
        <w:rPr>
          <w:rFonts w:ascii="times" w:hAnsi="times"/>
          <w:bdr w:val="single" w:sz="8" w:space="12" w:color="000000"/>
        </w:rPr>
      </w:pPr>
      <w:bookmarkStart w:id="34" w:name="toc_bk43504_8"/>
      <w:bookmarkStart w:id="35" w:name="bk43504_organizational_and_ownership_str"/>
      <w:bookmarkEnd w:id="34"/>
      <w:bookmarkEnd w:id="35"/>
      <w:r>
        <w:rPr>
          <w:rFonts w:ascii="times" w:hAnsi="times"/>
          <w:sz w:val="20"/>
          <w:bdr w:val="single" w:sz="8" w:space="12" w:color="000000"/>
        </w:rPr>
        <w:br/>
      </w:r>
      <w:r>
        <w:rPr>
          <w:rFonts w:ascii="times" w:hAnsi="times"/>
          <w:b/>
          <w:sz w:val="20"/>
          <w:bdr w:val="single" w:sz="8" w:space="12" w:color="000000"/>
        </w:rPr>
        <w:t xml:space="preserve">Organizational and Ownership Structure </w:t>
      </w:r>
    </w:p>
    <w:p>
      <w:pPr>
        <w:pStyle w:val="TextBody"/>
        <w:rPr>
          <w:rFonts w:ascii="times" w:hAnsi="times"/>
          <w:sz w:val="20"/>
          <w:bdr w:val="single" w:sz="8" w:space="12" w:color="000000"/>
        </w:rPr>
      </w:pPr>
      <w:r>
        <w:rPr>
          <w:rFonts w:ascii="times" w:hAnsi="times"/>
          <w:sz w:val="20"/>
          <w:bdr w:val="single" w:sz="8" w:space="12" w:color="000000"/>
        </w:rPr>
        <w:t xml:space="preserve">The following table and diagram depict our simplified organizational and ownership structure as of March 31, 2021: </w:t>
      </w:r>
    </w:p>
    <w:tbl>
      <w:tblPr>
        <w:tblW w:w="5000" w:type="pct"/>
        <w:jc w:val="center"/>
        <w:tblInd w:w="0" w:type="dxa"/>
        <w:tblCellMar>
          <w:top w:w="0" w:type="dxa"/>
          <w:left w:w="0" w:type="dxa"/>
          <w:bottom w:w="0" w:type="dxa"/>
          <w:right w:w="0" w:type="dxa"/>
        </w:tblCellMar>
      </w:tblPr>
      <w:tblGrid>
        <w:gridCol w:w="3116"/>
        <w:gridCol w:w="308"/>
        <w:gridCol w:w="3236"/>
        <w:gridCol w:w="308"/>
        <w:gridCol w:w="3237"/>
      </w:tblGrid>
      <w:tr>
        <w:trPr/>
        <w:tc>
          <w:tcPr>
            <w:tcW w:w="3116" w:type="dxa"/>
            <w:tcBorders/>
            <w:shd w:fill="auto" w:val="clear"/>
            <w:vAlign w:val="center"/>
          </w:tcPr>
          <w:p>
            <w:pPr>
              <w:pStyle w:val="TableContents"/>
              <w:spacing w:before="0" w:after="283"/>
              <w:rPr>
                <w:sz w:val="4"/>
                <w:szCs w:val="4"/>
              </w:rPr>
            </w:pPr>
            <w:r>
              <w:rPr>
                <w:sz w:val="4"/>
                <w:szCs w:val="4"/>
              </w:rPr>
            </w:r>
          </w:p>
        </w:tc>
        <w:tc>
          <w:tcPr>
            <w:tcW w:w="308" w:type="dxa"/>
            <w:tcBorders/>
            <w:shd w:fill="auto" w:val="clear"/>
            <w:vAlign w:val="center"/>
          </w:tcPr>
          <w:p>
            <w:pPr>
              <w:pStyle w:val="TableContents"/>
              <w:spacing w:before="0" w:after="283"/>
              <w:rPr>
                <w:sz w:val="4"/>
                <w:szCs w:val="4"/>
              </w:rPr>
            </w:pPr>
            <w:r>
              <w:rPr>
                <w:sz w:val="4"/>
                <w:szCs w:val="4"/>
              </w:rPr>
            </w:r>
          </w:p>
        </w:tc>
        <w:tc>
          <w:tcPr>
            <w:tcW w:w="3236" w:type="dxa"/>
            <w:tcBorders/>
            <w:shd w:fill="auto" w:val="clear"/>
            <w:vAlign w:val="center"/>
          </w:tcPr>
          <w:p>
            <w:pPr>
              <w:pStyle w:val="TableContents"/>
              <w:spacing w:before="0" w:after="283"/>
              <w:rPr>
                <w:sz w:val="4"/>
                <w:szCs w:val="4"/>
              </w:rPr>
            </w:pPr>
            <w:r>
              <w:rPr>
                <w:sz w:val="4"/>
                <w:szCs w:val="4"/>
              </w:rPr>
            </w:r>
          </w:p>
        </w:tc>
        <w:tc>
          <w:tcPr>
            <w:tcW w:w="308" w:type="dxa"/>
            <w:tcBorders/>
            <w:shd w:fill="auto" w:val="clear"/>
            <w:vAlign w:val="center"/>
          </w:tcPr>
          <w:p>
            <w:pPr>
              <w:pStyle w:val="TableContents"/>
              <w:spacing w:before="0" w:after="283"/>
              <w:rPr>
                <w:sz w:val="4"/>
                <w:szCs w:val="4"/>
              </w:rPr>
            </w:pPr>
            <w:r>
              <w:rPr>
                <w:sz w:val="4"/>
                <w:szCs w:val="4"/>
              </w:rPr>
            </w:r>
          </w:p>
        </w:tc>
        <w:tc>
          <w:tcPr>
            <w:tcW w:w="3237" w:type="dxa"/>
            <w:tcBorders/>
            <w:shd w:fill="auto" w:val="clear"/>
            <w:vAlign w:val="center"/>
          </w:tcPr>
          <w:p>
            <w:pPr>
              <w:pStyle w:val="TableContents"/>
              <w:spacing w:before="0" w:after="283"/>
              <w:rPr>
                <w:sz w:val="4"/>
                <w:szCs w:val="4"/>
              </w:rPr>
            </w:pPr>
            <w:r>
              <w:rPr>
                <w:sz w:val="4"/>
                <w:szCs w:val="4"/>
              </w:rPr>
            </w:r>
          </w:p>
        </w:tc>
      </w:tr>
      <w:tr>
        <w:trPr/>
        <w:tc>
          <w:tcPr>
            <w:tcW w:w="3116" w:type="dxa"/>
            <w:tcBorders/>
            <w:shd w:fill="auto" w:val="clear"/>
            <w:vAlign w:val="bottom"/>
          </w:tcPr>
          <w:p>
            <w:pPr>
              <w:pStyle w:val="TableHeading"/>
              <w:spacing w:before="0" w:after="283"/>
              <w:jc w:val="left"/>
              <w:rPr/>
            </w:pPr>
            <w:r>
              <w:rPr/>
              <w:t> </w:t>
            </w:r>
          </w:p>
        </w:tc>
        <w:tc>
          <w:tcPr>
            <w:tcW w:w="308" w:type="dxa"/>
            <w:tcBorders/>
            <w:shd w:fill="auto" w:val="clear"/>
            <w:vAlign w:val="bottom"/>
          </w:tcPr>
          <w:p>
            <w:pPr>
              <w:pStyle w:val="TableHeading"/>
              <w:suppressLineNumbers/>
              <w:spacing w:before="0" w:after="283"/>
              <w:jc w:val="center"/>
              <w:rPr/>
            </w:pPr>
            <w:r>
              <w:rPr/>
              <w:t> </w:t>
            </w:r>
          </w:p>
        </w:tc>
        <w:tc>
          <w:tcPr>
            <w:tcW w:w="3236" w:type="dxa"/>
            <w:tcBorders/>
            <w:shd w:fill="auto" w:val="clear"/>
            <w:vAlign w:val="bottom"/>
          </w:tcPr>
          <w:p>
            <w:pPr>
              <w:pStyle w:val="TableHeading"/>
              <w:spacing w:before="0" w:after="283"/>
              <w:jc w:val="center"/>
              <w:rPr>
                <w:rFonts w:ascii="times" w:hAnsi="times"/>
                <w:b/>
                <w:sz w:val="20"/>
              </w:rPr>
            </w:pPr>
            <w:r>
              <w:rPr>
                <w:rFonts w:ascii="times" w:hAnsi="times"/>
                <w:b/>
                <w:sz w:val="20"/>
              </w:rPr>
              <w:t>Number of</w:t>
              <w:br/>
              <w:t>Units</w:t>
            </w:r>
            <w:r>
              <w:rPr>
                <w:rFonts w:ascii="times" w:hAnsi="times"/>
                <w:b/>
                <w:position w:val="7"/>
                <w:sz w:val="16"/>
                <w:sz w:val="20"/>
              </w:rPr>
              <w:t>(1)</w:t>
            </w:r>
          </w:p>
        </w:tc>
        <w:tc>
          <w:tcPr>
            <w:tcW w:w="308" w:type="dxa"/>
            <w:tcBorders/>
            <w:shd w:fill="auto" w:val="clear"/>
            <w:vAlign w:val="bottom"/>
          </w:tcPr>
          <w:p>
            <w:pPr>
              <w:pStyle w:val="TableHeading"/>
              <w:suppressLineNumbers/>
              <w:spacing w:before="0" w:after="283"/>
              <w:jc w:val="center"/>
              <w:rPr/>
            </w:pPr>
            <w:r>
              <w:rPr/>
              <w:t> </w:t>
            </w:r>
          </w:p>
        </w:tc>
        <w:tc>
          <w:tcPr>
            <w:tcW w:w="3237" w:type="dxa"/>
            <w:tcBorders/>
            <w:shd w:fill="auto" w:val="clear"/>
            <w:vAlign w:val="bottom"/>
          </w:tcPr>
          <w:p>
            <w:pPr>
              <w:pStyle w:val="TableHeading"/>
              <w:spacing w:before="0" w:after="283"/>
              <w:jc w:val="center"/>
              <w:rPr>
                <w:rFonts w:ascii="times" w:hAnsi="times"/>
                <w:b/>
                <w:sz w:val="20"/>
              </w:rPr>
            </w:pPr>
            <w:r>
              <w:rPr>
                <w:rFonts w:ascii="times" w:hAnsi="times"/>
                <w:b/>
                <w:sz w:val="20"/>
              </w:rPr>
              <w:t>Percentage</w:t>
              <w:br/>
              <w:t>Ownership</w:t>
            </w:r>
          </w:p>
        </w:tc>
      </w:tr>
      <w:tr>
        <w:trPr/>
        <w:tc>
          <w:tcPr>
            <w:tcW w:w="3116" w:type="dxa"/>
            <w:tcBorders/>
            <w:shd w:fill="auto" w:val="clear"/>
            <w:vAlign w:val="bottom"/>
          </w:tcPr>
          <w:p>
            <w:pPr>
              <w:pStyle w:val="TableContents"/>
              <w:spacing w:before="0" w:after="283"/>
              <w:ind w:left="200" w:right="0" w:hanging="200"/>
              <w:rPr>
                <w:rFonts w:ascii="times" w:hAnsi="times"/>
                <w:sz w:val="20"/>
              </w:rPr>
            </w:pPr>
            <w:r>
              <w:rPr>
                <w:rFonts w:ascii="times" w:hAnsi="times"/>
                <w:sz w:val="20"/>
              </w:rPr>
              <w:t>Public Common Units</w:t>
            </w:r>
          </w:p>
        </w:tc>
        <w:tc>
          <w:tcPr>
            <w:tcW w:w="308" w:type="dxa"/>
            <w:tcBorders/>
            <w:shd w:fill="auto" w:val="clear"/>
            <w:vAlign w:val="bottom"/>
          </w:tcPr>
          <w:p>
            <w:pPr>
              <w:pStyle w:val="TableContents"/>
              <w:spacing w:before="0" w:after="283"/>
              <w:rPr/>
            </w:pPr>
            <w:r>
              <w:rPr/>
              <w:t> </w:t>
            </w:r>
          </w:p>
        </w:tc>
        <w:tc>
          <w:tcPr>
            <w:tcW w:w="3236" w:type="dxa"/>
            <w:tcBorders/>
            <w:shd w:fill="auto" w:val="clear"/>
            <w:vAlign w:val="bottom"/>
          </w:tcPr>
          <w:p>
            <w:pPr>
              <w:pStyle w:val="TableContents"/>
              <w:spacing w:before="0" w:after="283"/>
              <w:jc w:val="center"/>
              <w:rPr>
                <w:rFonts w:ascii="times" w:hAnsi="times"/>
                <w:sz w:val="20"/>
              </w:rPr>
            </w:pPr>
            <w:r>
              <w:rPr>
                <w:rFonts w:ascii="times" w:hAnsi="times"/>
                <w:sz w:val="20"/>
              </w:rPr>
              <w:t>47,517,824</w:t>
            </w:r>
          </w:p>
        </w:tc>
        <w:tc>
          <w:tcPr>
            <w:tcW w:w="308" w:type="dxa"/>
            <w:tcBorders/>
            <w:shd w:fill="auto" w:val="clear"/>
            <w:vAlign w:val="bottom"/>
          </w:tcPr>
          <w:p>
            <w:pPr>
              <w:pStyle w:val="TableContents"/>
              <w:spacing w:before="0" w:after="283"/>
              <w:rPr/>
            </w:pPr>
            <w:r>
              <w:rPr/>
              <w:t> </w:t>
            </w:r>
          </w:p>
        </w:tc>
        <w:tc>
          <w:tcPr>
            <w:tcW w:w="3237" w:type="dxa"/>
            <w:tcBorders/>
            <w:shd w:fill="auto" w:val="clear"/>
            <w:vAlign w:val="bottom"/>
          </w:tcPr>
          <w:p>
            <w:pPr>
              <w:pStyle w:val="TableContents"/>
              <w:spacing w:before="0" w:after="283"/>
              <w:jc w:val="center"/>
              <w:rPr>
                <w:rFonts w:ascii="times" w:hAnsi="times"/>
                <w:sz w:val="20"/>
              </w:rPr>
            </w:pPr>
            <w:r>
              <w:rPr>
                <w:rFonts w:ascii="times" w:hAnsi="times"/>
                <w:sz w:val="20"/>
              </w:rPr>
              <w:t>93.88%</w:t>
            </w:r>
          </w:p>
        </w:tc>
      </w:tr>
      <w:tr>
        <w:trPr/>
        <w:tc>
          <w:tcPr>
            <w:tcW w:w="3116" w:type="dxa"/>
            <w:tcBorders/>
            <w:shd w:fill="auto" w:val="clear"/>
            <w:vAlign w:val="bottom"/>
          </w:tcPr>
          <w:p>
            <w:pPr>
              <w:pStyle w:val="TableContents"/>
              <w:spacing w:before="0" w:after="283"/>
              <w:ind w:left="200" w:right="0" w:hanging="200"/>
              <w:rPr>
                <w:rFonts w:ascii="times" w:hAnsi="times"/>
                <w:sz w:val="20"/>
              </w:rPr>
            </w:pPr>
            <w:r>
              <w:rPr>
                <w:rFonts w:ascii="times" w:hAnsi="times"/>
                <w:sz w:val="20"/>
              </w:rPr>
              <w:t>Class B Units</w:t>
            </w:r>
          </w:p>
        </w:tc>
        <w:tc>
          <w:tcPr>
            <w:tcW w:w="308" w:type="dxa"/>
            <w:tcBorders/>
            <w:shd w:fill="auto" w:val="clear"/>
            <w:vAlign w:val="bottom"/>
          </w:tcPr>
          <w:p>
            <w:pPr>
              <w:pStyle w:val="TableContents"/>
              <w:spacing w:before="0" w:after="283"/>
              <w:rPr/>
            </w:pPr>
            <w:r>
              <w:rPr/>
              <w:t> </w:t>
            </w:r>
          </w:p>
        </w:tc>
        <w:tc>
          <w:tcPr>
            <w:tcW w:w="3236" w:type="dxa"/>
            <w:tcBorders/>
            <w:shd w:fill="auto" w:val="clear"/>
            <w:vAlign w:val="bottom"/>
          </w:tcPr>
          <w:p>
            <w:pPr>
              <w:pStyle w:val="TableContents"/>
              <w:spacing w:before="0" w:after="283"/>
              <w:jc w:val="center"/>
              <w:rPr>
                <w:rFonts w:ascii="times" w:hAnsi="times"/>
                <w:sz w:val="20"/>
              </w:rPr>
            </w:pPr>
            <w:r>
              <w:rPr>
                <w:rFonts w:ascii="times" w:hAnsi="times"/>
                <w:sz w:val="20"/>
              </w:rPr>
              <w:t>2,075,000</w:t>
            </w:r>
          </w:p>
        </w:tc>
        <w:tc>
          <w:tcPr>
            <w:tcW w:w="308" w:type="dxa"/>
            <w:tcBorders/>
            <w:shd w:fill="auto" w:val="clear"/>
            <w:vAlign w:val="bottom"/>
          </w:tcPr>
          <w:p>
            <w:pPr>
              <w:pStyle w:val="TableContents"/>
              <w:spacing w:before="0" w:after="283"/>
              <w:rPr/>
            </w:pPr>
            <w:r>
              <w:rPr/>
              <w:t> </w:t>
            </w:r>
          </w:p>
        </w:tc>
        <w:tc>
          <w:tcPr>
            <w:tcW w:w="3237" w:type="dxa"/>
            <w:tcBorders/>
            <w:shd w:fill="auto" w:val="clear"/>
            <w:vAlign w:val="bottom"/>
          </w:tcPr>
          <w:p>
            <w:pPr>
              <w:pStyle w:val="TableContents"/>
              <w:spacing w:before="0" w:after="283"/>
              <w:jc w:val="center"/>
              <w:rPr>
                <w:rFonts w:ascii="times" w:hAnsi="times"/>
                <w:sz w:val="20"/>
              </w:rPr>
            </w:pPr>
            <w:r>
              <w:rPr>
                <w:rFonts w:ascii="times" w:hAnsi="times"/>
                <w:sz w:val="20"/>
              </w:rPr>
              <w:t>4.10%</w:t>
            </w:r>
          </w:p>
        </w:tc>
      </w:tr>
      <w:tr>
        <w:trPr/>
        <w:tc>
          <w:tcPr>
            <w:tcW w:w="3116" w:type="dxa"/>
            <w:tcBorders/>
            <w:shd w:fill="auto" w:val="clear"/>
            <w:vAlign w:val="bottom"/>
          </w:tcPr>
          <w:p>
            <w:pPr>
              <w:pStyle w:val="TableContents"/>
              <w:spacing w:before="0" w:after="283"/>
              <w:ind w:left="200" w:right="0" w:hanging="200"/>
              <w:rPr>
                <w:rFonts w:ascii="times" w:hAnsi="times"/>
                <w:sz w:val="20"/>
              </w:rPr>
            </w:pPr>
            <w:r>
              <w:rPr>
                <w:rFonts w:ascii="times" w:hAnsi="times"/>
                <w:sz w:val="20"/>
              </w:rPr>
              <w:t>General Partner Units</w:t>
            </w:r>
          </w:p>
        </w:tc>
        <w:tc>
          <w:tcPr>
            <w:tcW w:w="308" w:type="dxa"/>
            <w:tcBorders/>
            <w:shd w:fill="auto" w:val="clear"/>
            <w:vAlign w:val="bottom"/>
          </w:tcPr>
          <w:p>
            <w:pPr>
              <w:pStyle w:val="TableContents"/>
              <w:spacing w:before="0" w:after="283"/>
              <w:rPr/>
            </w:pPr>
            <w:r>
              <w:rPr/>
              <w:t> </w:t>
            </w:r>
          </w:p>
        </w:tc>
        <w:tc>
          <w:tcPr>
            <w:tcW w:w="3236" w:type="dxa"/>
            <w:tcBorders/>
            <w:shd w:fill="auto" w:val="clear"/>
            <w:vAlign w:val="bottom"/>
          </w:tcPr>
          <w:p>
            <w:pPr>
              <w:pStyle w:val="TableContents"/>
              <w:spacing w:before="0" w:after="283"/>
              <w:jc w:val="center"/>
              <w:rPr>
                <w:rFonts w:ascii="times" w:hAnsi="times"/>
                <w:sz w:val="20"/>
              </w:rPr>
            </w:pPr>
            <w:r>
              <w:rPr>
                <w:rFonts w:ascii="times" w:hAnsi="times"/>
                <w:sz w:val="20"/>
              </w:rPr>
              <w:t>1,021,336</w:t>
            </w:r>
          </w:p>
        </w:tc>
        <w:tc>
          <w:tcPr>
            <w:tcW w:w="308" w:type="dxa"/>
            <w:tcBorders/>
            <w:shd w:fill="auto" w:val="clear"/>
            <w:vAlign w:val="bottom"/>
          </w:tcPr>
          <w:p>
            <w:pPr>
              <w:pStyle w:val="TableContents"/>
              <w:spacing w:before="0" w:after="283"/>
              <w:rPr/>
            </w:pPr>
            <w:r>
              <w:rPr/>
              <w:t> </w:t>
            </w:r>
          </w:p>
        </w:tc>
        <w:tc>
          <w:tcPr>
            <w:tcW w:w="3237" w:type="dxa"/>
            <w:tcBorders/>
            <w:shd w:fill="auto" w:val="clear"/>
            <w:vAlign w:val="bottom"/>
          </w:tcPr>
          <w:p>
            <w:pPr>
              <w:pStyle w:val="TableContents"/>
              <w:spacing w:before="0" w:after="283"/>
              <w:jc w:val="center"/>
              <w:rPr>
                <w:rFonts w:ascii="times" w:hAnsi="times"/>
                <w:sz w:val="20"/>
              </w:rPr>
            </w:pPr>
            <w:r>
              <w:rPr>
                <w:rFonts w:ascii="times" w:hAnsi="times"/>
                <w:sz w:val="20"/>
              </w:rPr>
              <w:t>2.02%</w:t>
            </w:r>
          </w:p>
        </w:tc>
      </w:tr>
      <w:tr>
        <w:trPr/>
        <w:tc>
          <w:tcPr>
            <w:tcW w:w="3116" w:type="dxa"/>
            <w:tcBorders/>
            <w:shd w:fill="auto" w:val="clear"/>
            <w:vAlign w:val="bottom"/>
          </w:tcPr>
          <w:p>
            <w:pPr>
              <w:pStyle w:val="TableContents"/>
              <w:spacing w:before="0" w:after="283"/>
              <w:ind w:left="200" w:right="0" w:hanging="200"/>
              <w:rPr>
                <w:sz w:val="4"/>
                <w:szCs w:val="4"/>
              </w:rPr>
            </w:pPr>
            <w:r>
              <w:rPr>
                <w:sz w:val="4"/>
                <w:szCs w:val="4"/>
              </w:rPr>
            </w:r>
          </w:p>
        </w:tc>
        <w:tc>
          <w:tcPr>
            <w:tcW w:w="308" w:type="dxa"/>
            <w:tcBorders/>
            <w:shd w:fill="auto" w:val="clear"/>
            <w:vAlign w:val="bottom"/>
          </w:tcPr>
          <w:p>
            <w:pPr>
              <w:pStyle w:val="TableContents"/>
              <w:spacing w:before="0" w:after="283"/>
              <w:rPr/>
            </w:pPr>
            <w:r>
              <w:rPr/>
              <w:t> </w:t>
            </w:r>
          </w:p>
        </w:tc>
        <w:tc>
          <w:tcPr>
            <w:tcW w:w="3236" w:type="dxa"/>
            <w:tcBorders/>
            <w:shd w:fill="auto" w:val="clear"/>
            <w:vAlign w:val="bottom"/>
          </w:tcPr>
          <w:p>
            <w:pPr>
              <w:pStyle w:val="TableContents"/>
              <w:spacing w:before="0" w:after="283"/>
              <w:jc w:val="center"/>
              <w:rPr>
                <w:rFonts w:ascii="times" w:hAnsi="times"/>
                <w:b/>
                <w:sz w:val="20"/>
              </w:rPr>
            </w:pPr>
            <w:r>
              <w:rPr>
                <w:rFonts w:ascii="times" w:hAnsi="times"/>
                <w:b/>
                <w:sz w:val="20"/>
              </w:rPr>
              <w:t>50,614,160</w:t>
            </w:r>
          </w:p>
        </w:tc>
        <w:tc>
          <w:tcPr>
            <w:tcW w:w="308" w:type="dxa"/>
            <w:tcBorders/>
            <w:shd w:fill="auto" w:val="clear"/>
            <w:vAlign w:val="bottom"/>
          </w:tcPr>
          <w:p>
            <w:pPr>
              <w:pStyle w:val="TableContents"/>
              <w:spacing w:before="0" w:after="283"/>
              <w:rPr/>
            </w:pPr>
            <w:r>
              <w:rPr/>
              <w:t> </w:t>
            </w:r>
          </w:p>
        </w:tc>
        <w:tc>
          <w:tcPr>
            <w:tcW w:w="3237" w:type="dxa"/>
            <w:tcBorders/>
            <w:shd w:fill="auto" w:val="clear"/>
            <w:vAlign w:val="bottom"/>
          </w:tcPr>
          <w:p>
            <w:pPr>
              <w:pStyle w:val="TableContents"/>
              <w:spacing w:before="0" w:after="283"/>
              <w:jc w:val="center"/>
              <w:rPr>
                <w:rFonts w:ascii="times" w:hAnsi="times"/>
                <w:b/>
                <w:sz w:val="20"/>
              </w:rPr>
            </w:pPr>
            <w:r>
              <w:rPr>
                <w:rFonts w:ascii="times" w:hAnsi="times"/>
                <w:b/>
                <w:sz w:val="20"/>
              </w:rPr>
              <w:t>100.00%</w:t>
            </w:r>
          </w:p>
        </w:tc>
      </w:tr>
      <w:tr>
        <w:trPr/>
        <w:tc>
          <w:tcPr>
            <w:tcW w:w="3116" w:type="dxa"/>
            <w:tcBorders/>
            <w:shd w:fill="FFFFFF" w:val="clear"/>
            <w:vAlign w:val="bottom"/>
          </w:tcPr>
          <w:p>
            <w:pPr>
              <w:pStyle w:val="TableContents"/>
              <w:spacing w:before="0" w:after="283"/>
              <w:rPr/>
            </w:pPr>
            <w:r>
              <w:rPr/>
              <w:t>​</w:t>
            </w:r>
          </w:p>
        </w:tc>
        <w:tc>
          <w:tcPr>
            <w:tcW w:w="308" w:type="dxa"/>
            <w:tcBorders/>
            <w:shd w:fill="FFFFFF" w:val="clear"/>
            <w:vAlign w:val="bottom"/>
          </w:tcPr>
          <w:p>
            <w:pPr>
              <w:pStyle w:val="TableContents"/>
              <w:spacing w:before="0" w:after="283"/>
              <w:rPr/>
            </w:pPr>
            <w:r>
              <w:rPr/>
              <w:t>​</w:t>
            </w:r>
          </w:p>
        </w:tc>
        <w:tc>
          <w:tcPr>
            <w:tcW w:w="3236" w:type="dxa"/>
            <w:tcBorders>
              <w:bottom w:val="single" w:sz="8" w:space="0" w:color="000000"/>
            </w:tcBorders>
            <w:shd w:fill="FFFFFF" w:val="clear"/>
            <w:tcMar>
              <w:bottom w:w="28" w:type="dxa"/>
            </w:tcMar>
            <w:vAlign w:val="bottom"/>
          </w:tcPr>
          <w:p>
            <w:pPr>
              <w:pStyle w:val="TableContents"/>
              <w:spacing w:before="0" w:after="283"/>
              <w:jc w:val="center"/>
              <w:rPr/>
            </w:pPr>
            <w:r>
              <w:rPr/>
              <w:t xml:space="preserve">​ </w:t>
            </w:r>
          </w:p>
        </w:tc>
        <w:tc>
          <w:tcPr>
            <w:tcW w:w="308" w:type="dxa"/>
            <w:tcBorders/>
            <w:shd w:fill="FFFFFF" w:val="clear"/>
            <w:vAlign w:val="bottom"/>
          </w:tcPr>
          <w:p>
            <w:pPr>
              <w:pStyle w:val="TableContents"/>
              <w:spacing w:before="0" w:after="283"/>
              <w:rPr/>
            </w:pPr>
            <w:r>
              <w:rPr/>
              <w:t>​</w:t>
            </w:r>
          </w:p>
        </w:tc>
        <w:tc>
          <w:tcPr>
            <w:tcW w:w="3237" w:type="dxa"/>
            <w:tcBorders>
              <w:bottom w:val="single" w:sz="8" w:space="0" w:color="000000"/>
            </w:tcBorders>
            <w:shd w:fill="FFFFFF" w:val="clear"/>
            <w:tcMar>
              <w:bottom w:w="28" w:type="dxa"/>
            </w:tcMar>
            <w:vAlign w:val="bottom"/>
          </w:tcPr>
          <w:p>
            <w:pPr>
              <w:pStyle w:val="TableContents"/>
              <w:spacing w:before="0" w:after="283"/>
              <w:jc w:val="center"/>
              <w:rPr/>
            </w:pPr>
            <w:r>
              <w:rPr/>
              <w:t xml:space="preserve">​ </w:t>
            </w:r>
          </w:p>
        </w:tc>
      </w:tr>
      <w:tr>
        <w:trPr/>
        <w:tc>
          <w:tcPr>
            <w:tcW w:w="3116" w:type="dxa"/>
            <w:tcBorders/>
            <w:shd w:fill="FFFFFF" w:val="clear"/>
            <w:vAlign w:val="bottom"/>
          </w:tcPr>
          <w:p>
            <w:pPr>
              <w:pStyle w:val="TableContents"/>
              <w:spacing w:lineRule="atLeast" w:line="141" w:before="0" w:after="283"/>
              <w:rPr/>
            </w:pPr>
            <w:r>
              <w:rPr/>
              <w:t>​</w:t>
            </w:r>
          </w:p>
        </w:tc>
        <w:tc>
          <w:tcPr>
            <w:tcW w:w="308" w:type="dxa"/>
            <w:tcBorders/>
            <w:shd w:fill="FFFFFF" w:val="clear"/>
            <w:vAlign w:val="bottom"/>
          </w:tcPr>
          <w:p>
            <w:pPr>
              <w:pStyle w:val="TableContents"/>
              <w:spacing w:lineRule="atLeast" w:line="141" w:before="0" w:after="283"/>
              <w:rPr/>
            </w:pPr>
            <w:r>
              <w:rPr/>
              <w:t>​</w:t>
            </w:r>
          </w:p>
        </w:tc>
        <w:tc>
          <w:tcPr>
            <w:tcW w:w="3236" w:type="dxa"/>
            <w:tcBorders/>
            <w:shd w:fill="FFFFFF" w:val="clear"/>
            <w:vAlign w:val="bottom"/>
          </w:tcPr>
          <w:p>
            <w:pPr>
              <w:pStyle w:val="TableContents"/>
              <w:spacing w:lineRule="atLeast" w:line="141" w:before="0" w:after="283"/>
              <w:jc w:val="center"/>
              <w:rPr/>
            </w:pPr>
            <w:r>
              <w:rPr/>
              <w:t>​</w:t>
            </w:r>
          </w:p>
        </w:tc>
        <w:tc>
          <w:tcPr>
            <w:tcW w:w="308" w:type="dxa"/>
            <w:tcBorders/>
            <w:shd w:fill="FFFFFF" w:val="clear"/>
            <w:vAlign w:val="bottom"/>
          </w:tcPr>
          <w:p>
            <w:pPr>
              <w:pStyle w:val="TableContents"/>
              <w:spacing w:lineRule="atLeast" w:line="141" w:before="0" w:after="283"/>
              <w:rPr/>
            </w:pPr>
            <w:r>
              <w:rPr/>
              <w:t>​</w:t>
            </w:r>
          </w:p>
        </w:tc>
        <w:tc>
          <w:tcPr>
            <w:tcW w:w="3237" w:type="dxa"/>
            <w:tcBorders/>
            <w:shd w:fill="FFFFFF" w:val="clear"/>
            <w:vAlign w:val="bottom"/>
          </w:tcPr>
          <w:p>
            <w:pPr>
              <w:pStyle w:val="TableContents"/>
              <w:spacing w:lineRule="atLeast" w:line="141" w:before="0" w:after="283"/>
              <w:jc w:val="center"/>
              <w:rPr/>
            </w:pPr>
            <w:r>
              <w:rPr/>
              <w:t>​</w:t>
            </w:r>
          </w:p>
        </w:tc>
      </w:tr>
      <w:tr>
        <w:trPr/>
        <w:tc>
          <w:tcPr>
            <w:tcW w:w="3116" w:type="dxa"/>
            <w:tcBorders/>
            <w:shd w:fill="FFFFFF" w:val="clear"/>
            <w:vAlign w:val="bottom"/>
          </w:tcPr>
          <w:p>
            <w:pPr>
              <w:pStyle w:val="TableContents"/>
              <w:spacing w:before="0" w:after="283"/>
              <w:rPr/>
            </w:pPr>
            <w:r>
              <w:rPr/>
              <w:t>​</w:t>
            </w:r>
          </w:p>
        </w:tc>
        <w:tc>
          <w:tcPr>
            <w:tcW w:w="308" w:type="dxa"/>
            <w:tcBorders/>
            <w:shd w:fill="FFFFFF" w:val="clear"/>
            <w:vAlign w:val="bottom"/>
          </w:tcPr>
          <w:p>
            <w:pPr>
              <w:pStyle w:val="TableContents"/>
              <w:spacing w:before="0" w:after="283"/>
              <w:rPr/>
            </w:pPr>
            <w:r>
              <w:rPr/>
              <w:t>​</w:t>
            </w:r>
          </w:p>
        </w:tc>
        <w:tc>
          <w:tcPr>
            <w:tcW w:w="3236" w:type="dxa"/>
            <w:tcBorders>
              <w:bottom w:val="single" w:sz="8" w:space="0" w:color="000000"/>
            </w:tcBorders>
            <w:shd w:fill="FFFFFF" w:val="clear"/>
            <w:tcMar>
              <w:bottom w:w="28" w:type="dxa"/>
            </w:tcMar>
            <w:vAlign w:val="bottom"/>
          </w:tcPr>
          <w:p>
            <w:pPr>
              <w:pStyle w:val="TableContents"/>
              <w:spacing w:before="0" w:after="283"/>
              <w:jc w:val="center"/>
              <w:rPr/>
            </w:pPr>
            <w:r>
              <w:rPr/>
              <w:t xml:space="preserve">​ </w:t>
            </w:r>
          </w:p>
        </w:tc>
        <w:tc>
          <w:tcPr>
            <w:tcW w:w="308" w:type="dxa"/>
            <w:tcBorders/>
            <w:shd w:fill="FFFFFF" w:val="clear"/>
            <w:vAlign w:val="bottom"/>
          </w:tcPr>
          <w:p>
            <w:pPr>
              <w:pStyle w:val="TableContents"/>
              <w:spacing w:before="0" w:after="283"/>
              <w:rPr/>
            </w:pPr>
            <w:r>
              <w:rPr/>
              <w:t>​</w:t>
            </w:r>
          </w:p>
        </w:tc>
        <w:tc>
          <w:tcPr>
            <w:tcW w:w="3237" w:type="dxa"/>
            <w:tcBorders>
              <w:bottom w:val="single" w:sz="8" w:space="0" w:color="000000"/>
            </w:tcBorders>
            <w:shd w:fill="FFFFFF" w:val="clear"/>
            <w:tcMar>
              <w:bottom w:w="28" w:type="dxa"/>
            </w:tcMar>
            <w:vAlign w:val="bottom"/>
          </w:tcPr>
          <w:p>
            <w:pPr>
              <w:pStyle w:val="TableContents"/>
              <w:spacing w:before="0" w:after="283"/>
              <w:jc w:val="center"/>
              <w:rPr/>
            </w:pPr>
            <w:r>
              <w:rPr/>
              <w:t xml:space="preserve">​ </w:t>
            </w:r>
          </w:p>
        </w:tc>
      </w:tr>
    </w:tbl>
    <w:p>
      <w:pPr>
        <w:pStyle w:val="HorizontalLine"/>
        <w:pBdr>
          <w:bottom w:val="single" w:sz="6" w:space="0" w:color="000000"/>
        </w:pBdr>
        <w:ind w:left="0" w:right="7042" w:hanging="0"/>
        <w:rPr/>
      </w:pPr>
      <w:r>
        <w:rPr/>
      </w:r>
    </w:p>
    <w:p>
      <w:pPr>
        <w:pStyle w:val="ListHeading"/>
        <w:spacing w:before="0" w:after="0"/>
        <w:jc w:val="left"/>
        <w:rPr>
          <w:rFonts w:ascii="times" w:hAnsi="times"/>
          <w:sz w:val="14"/>
        </w:rPr>
      </w:pPr>
      <w:r>
        <w:rPr>
          <w:rFonts w:ascii="times" w:hAnsi="times"/>
          <w:sz w:val="14"/>
        </w:rPr>
        <w:t>(1)</w:t>
      </w:r>
    </w:p>
    <w:p>
      <w:pPr>
        <w:pStyle w:val="ListContents"/>
        <w:spacing w:before="0" w:after="283"/>
        <w:jc w:val="left"/>
        <w:rPr>
          <w:rFonts w:ascii="times" w:hAnsi="times"/>
          <w:sz w:val="14"/>
        </w:rPr>
      </w:pPr>
      <w:r>
        <w:rPr>
          <w:rFonts w:ascii="times" w:hAnsi="times"/>
          <w:sz w:val="14"/>
        </w:rPr>
        <w:t xml:space="preserve">The above table does not include 5,750,000 Series A Preference Units which were issued on May 15, 2017, 4,600,000 Series B Preference Units which were issued on January 17, 2018 and the 4,000,000 Series C Preference Units which were issued on November 15, 2018. The preference units will not impact the other classes' percentage ownership, as the Series A Preference Units, the Series B Preference Units and the Series C Preference Units are not included in the calculation of "Percentage Interest" as defined in our Partnership Agreement. </w:t>
      </w:r>
    </w:p>
    <w:p>
      <w:pPr>
        <w:pStyle w:val="TextBody"/>
        <w:jc w:val="center"/>
        <w:rPr>
          <w:bdr w:val="single" w:sz="8" w:space="12" w:color="000000"/>
        </w:rPr>
      </w:pPr>
      <w:r>
        <w:rPr>
          <w:bdr w:val="single" w:sz="8" w:space="12" w:color="000000"/>
        </w:rPr>
        <w:drawing>
          <wp:inline distT="0" distB="0" distL="0" distR="0">
            <wp:extent cx="6486525" cy="415290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6486525" cy="4152900"/>
                    </a:xfrm>
                    <a:prstGeom prst="rect">
                      <a:avLst/>
                    </a:prstGeom>
                  </pic:spPr>
                </pic:pic>
              </a:graphicData>
            </a:graphic>
          </wp:inline>
        </w:drawing>
      </w:r>
      <w:r>
        <w:rPr>
          <w:bdr w:val="single" w:sz="8" w:space="12" w:color="000000"/>
        </w:rPr>
        <w:t xml:space="preserve"> </w:t>
      </w:r>
    </w:p>
    <w:p>
      <w:pPr>
        <w:pStyle w:val="TextBody"/>
        <w:jc w:val="center"/>
        <w:rPr>
          <w:rFonts w:ascii="times" w:hAnsi="times"/>
          <w:sz w:val="20"/>
        </w:rPr>
      </w:pPr>
      <w:r>
        <w:rPr>
          <w:rFonts w:ascii="times" w:hAnsi="times"/>
          <w:sz w:val="20"/>
        </w:rPr>
        <w:t>S-9</w:t>
      </w:r>
    </w:p>
    <w:p>
      <w:pPr>
        <w:pStyle w:val="HorizontalLine"/>
        <w:pBdr>
          <w:bottom w:val="single" w:sz="20" w:space="0" w:color="808080"/>
        </w:pBdr>
        <w:rPr/>
      </w:pPr>
      <w:r>
        <w:rPr/>
      </w:r>
      <w:r>
        <w:br w:type="page"/>
      </w:r>
    </w:p>
    <w:p>
      <w:pPr>
        <w:pStyle w:val="TextBody"/>
        <w:rPr/>
      </w:pPr>
      <w:hyperlink w:anchor="bE43504A_main_toc">
        <w:bookmarkStart w:id="36" w:name="page_bm43504_1_10"/>
        <w:bookmarkEnd w:id="36"/>
        <w:r>
          <w:rPr>
            <w:rStyle w:val="InternetLink"/>
            <w:rFonts w:ascii="times" w:hAnsi="times"/>
            <w:sz w:val="20"/>
          </w:rPr>
          <w:t>Table of Contents</w:t>
        </w:r>
      </w:hyperlink>
      <w:r>
        <w:rPr>
          <w:rFonts w:ascii="times" w:hAnsi="times"/>
          <w:sz w:val="20"/>
        </w:rPr>
        <w:t xml:space="preserve"> </w:t>
      </w:r>
    </w:p>
    <w:p>
      <w:pPr>
        <w:pStyle w:val="TextBody"/>
        <w:rPr>
          <w:sz w:val="20"/>
        </w:rPr>
      </w:pPr>
      <w:r>
        <w:rPr>
          <w:sz w:val="20"/>
        </w:rPr>
      </w:r>
    </w:p>
    <w:p>
      <w:pPr>
        <w:pStyle w:val="TextBody"/>
        <w:jc w:val="center"/>
        <w:rPr>
          <w:rFonts w:ascii="times" w:hAnsi="times"/>
          <w:bdr w:val="single" w:sz="8" w:space="12" w:color="000000"/>
        </w:rPr>
      </w:pPr>
      <w:bookmarkStart w:id="37" w:name="toc_bm43504_1"/>
      <w:bookmarkStart w:id="38" w:name="bm43504_the_offering"/>
      <w:bookmarkEnd w:id="37"/>
      <w:bookmarkEnd w:id="38"/>
      <w:r>
        <w:rPr>
          <w:rFonts w:ascii="times" w:hAnsi="times"/>
          <w:sz w:val="20"/>
          <w:bdr w:val="single" w:sz="8" w:space="12" w:color="000000"/>
        </w:rPr>
        <w:br/>
      </w:r>
      <w:r>
        <w:rPr>
          <w:rFonts w:ascii="times" w:hAnsi="times"/>
          <w:b/>
          <w:sz w:val="20"/>
          <w:bdr w:val="single" w:sz="8" w:space="12" w:color="000000"/>
        </w:rPr>
        <w:t xml:space="preserve">The Offering </w:t>
      </w:r>
    </w:p>
    <w:tbl>
      <w:tblPr>
        <w:tblW w:w="5000" w:type="pct"/>
        <w:jc w:val="center"/>
        <w:tblInd w:w="0" w:type="dxa"/>
        <w:tblCellMar>
          <w:top w:w="0" w:type="dxa"/>
          <w:left w:w="0" w:type="dxa"/>
          <w:bottom w:w="0" w:type="dxa"/>
          <w:right w:w="0" w:type="dxa"/>
        </w:tblCellMar>
      </w:tblPr>
      <w:tblGrid>
        <w:gridCol w:w="5072"/>
        <w:gridCol w:w="60"/>
        <w:gridCol w:w="5073"/>
      </w:tblGrid>
      <w:tr>
        <w:trPr/>
        <w:tc>
          <w:tcPr>
            <w:tcW w:w="5072"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5073" w:type="dxa"/>
            <w:tcBorders/>
            <w:shd w:fill="auto" w:val="clear"/>
            <w:vAlign w:val="center"/>
          </w:tcPr>
          <w:p>
            <w:pPr>
              <w:pStyle w:val="TableContents"/>
              <w:spacing w:before="0" w:after="283"/>
              <w:rPr>
                <w:sz w:val="4"/>
                <w:szCs w:val="4"/>
              </w:rPr>
            </w:pPr>
            <w:r>
              <w:rPr>
                <w:sz w:val="4"/>
                <w:szCs w:val="4"/>
              </w:rPr>
            </w:r>
          </w:p>
        </w:tc>
      </w:tr>
      <w:tr>
        <w:trPr/>
        <w:tc>
          <w:tcPr>
            <w:tcW w:w="5072" w:type="dxa"/>
            <w:tcBorders/>
            <w:shd w:fill="auto" w:val="clear"/>
          </w:tcPr>
          <w:p>
            <w:pPr>
              <w:pStyle w:val="TableContents"/>
              <w:spacing w:before="0" w:after="283"/>
              <w:rPr>
                <w:rFonts w:ascii="times" w:hAnsi="times"/>
                <w:sz w:val="20"/>
              </w:rPr>
            </w:pPr>
            <w:r>
              <w:rPr>
                <w:rFonts w:ascii="times" w:hAnsi="times"/>
                <w:sz w:val="20"/>
              </w:rPr>
              <w:t>Issuer</w:t>
            </w:r>
          </w:p>
        </w:tc>
        <w:tc>
          <w:tcPr>
            <w:tcW w:w="60" w:type="dxa"/>
            <w:tcBorders/>
            <w:shd w:fill="auto" w:val="clear"/>
          </w:tcPr>
          <w:p>
            <w:pPr>
              <w:pStyle w:val="TableContents"/>
              <w:spacing w:before="0" w:after="283"/>
              <w:rPr/>
            </w:pPr>
            <w:r>
              <w:rPr/>
              <w:t> </w:t>
            </w:r>
          </w:p>
        </w:tc>
        <w:tc>
          <w:tcPr>
            <w:tcW w:w="5073" w:type="dxa"/>
            <w:tcBorders/>
            <w:shd w:fill="auto" w:val="clear"/>
            <w:vAlign w:val="bottom"/>
          </w:tcPr>
          <w:p>
            <w:pPr>
              <w:pStyle w:val="TableContents"/>
              <w:spacing w:before="0" w:after="283"/>
              <w:rPr>
                <w:rFonts w:ascii="times" w:hAnsi="times"/>
                <w:sz w:val="20"/>
              </w:rPr>
            </w:pPr>
            <w:r>
              <w:rPr>
                <w:rFonts w:ascii="times" w:hAnsi="times"/>
                <w:sz w:val="20"/>
              </w:rPr>
              <w:t>GasLog Partners LP.</w:t>
            </w:r>
          </w:p>
        </w:tc>
      </w:tr>
      <w:tr>
        <w:trPr/>
        <w:tc>
          <w:tcPr>
            <w:tcW w:w="5072" w:type="dxa"/>
            <w:tcBorders/>
            <w:shd w:fill="auto" w:val="clear"/>
          </w:tcPr>
          <w:p>
            <w:pPr>
              <w:pStyle w:val="TableContents"/>
              <w:spacing w:before="0" w:after="283"/>
              <w:rPr>
                <w:rFonts w:ascii="times" w:hAnsi="times"/>
              </w:rPr>
            </w:pPr>
            <w:r>
              <w:rPr>
                <w:rFonts w:ascii="times" w:hAnsi="times"/>
              </w:rPr>
              <w:br/>
            </w:r>
            <w:r>
              <w:rPr>
                <w:rFonts w:ascii="times" w:hAnsi="times"/>
                <w:sz w:val="20"/>
              </w:rPr>
              <w:t>Common units offered by us</w:t>
            </w:r>
          </w:p>
        </w:tc>
        <w:tc>
          <w:tcPr>
            <w:tcW w:w="60" w:type="dxa"/>
            <w:tcBorders/>
            <w:shd w:fill="auto" w:val="clear"/>
          </w:tcPr>
          <w:p>
            <w:pPr>
              <w:pStyle w:val="TableContents"/>
              <w:spacing w:before="0" w:after="283"/>
              <w:rPr>
                <w:rFonts w:ascii="times" w:hAnsi="times"/>
                <w:sz w:val="20"/>
              </w:rPr>
            </w:pPr>
            <w:r>
              <w:rPr>
                <w:rFonts w:ascii="times" w:hAnsi="times"/>
                <w:sz w:val="20"/>
              </w:rPr>
              <w:br/>
              <w:t> </w:t>
            </w:r>
          </w:p>
        </w:tc>
        <w:tc>
          <w:tcPr>
            <w:tcW w:w="5073" w:type="dxa"/>
            <w:tcBorders/>
            <w:shd w:fill="auto" w:val="clear"/>
            <w:vAlign w:val="bottom"/>
          </w:tcPr>
          <w:p>
            <w:pPr>
              <w:pStyle w:val="TableContents"/>
              <w:spacing w:before="0" w:after="283"/>
              <w:rPr>
                <w:rFonts w:ascii="times" w:hAnsi="times"/>
              </w:rPr>
            </w:pPr>
            <w:r>
              <w:rPr>
                <w:rFonts w:ascii="times" w:hAnsi="times"/>
              </w:rPr>
              <w:br/>
            </w:r>
            <w:r>
              <w:rPr>
                <w:rFonts w:ascii="times" w:hAnsi="times"/>
                <w:sz w:val="20"/>
              </w:rPr>
              <w:t>Common units having an aggregate offering price of up to $250.0 million. As of the date of this prospectus supplement, we have issued and sold common units having an aggregate offering price of $123.4 million, which means that we may sell common units having an aggregate offering price of up to $126.6 million.</w:t>
            </w:r>
          </w:p>
        </w:tc>
      </w:tr>
      <w:tr>
        <w:trPr/>
        <w:tc>
          <w:tcPr>
            <w:tcW w:w="5072" w:type="dxa"/>
            <w:tcBorders/>
            <w:shd w:fill="auto" w:val="clear"/>
          </w:tcPr>
          <w:p>
            <w:pPr>
              <w:pStyle w:val="TableContents"/>
              <w:spacing w:before="0" w:after="283"/>
              <w:rPr>
                <w:rFonts w:ascii="times" w:hAnsi="times"/>
              </w:rPr>
            </w:pPr>
            <w:r>
              <w:rPr>
                <w:rFonts w:ascii="times" w:hAnsi="times"/>
              </w:rPr>
              <w:br/>
            </w:r>
            <w:r>
              <w:rPr>
                <w:rFonts w:ascii="times" w:hAnsi="times"/>
                <w:sz w:val="20"/>
              </w:rPr>
              <w:t>Manner of offering</w:t>
            </w:r>
          </w:p>
        </w:tc>
        <w:tc>
          <w:tcPr>
            <w:tcW w:w="60" w:type="dxa"/>
            <w:tcBorders/>
            <w:shd w:fill="auto" w:val="clear"/>
          </w:tcPr>
          <w:p>
            <w:pPr>
              <w:pStyle w:val="TableContents"/>
              <w:spacing w:before="0" w:after="283"/>
              <w:rPr>
                <w:rFonts w:ascii="times" w:hAnsi="times"/>
                <w:sz w:val="20"/>
              </w:rPr>
            </w:pPr>
            <w:r>
              <w:rPr>
                <w:rFonts w:ascii="times" w:hAnsi="times"/>
                <w:sz w:val="20"/>
              </w:rPr>
              <w:br/>
              <w:t> </w:t>
            </w:r>
          </w:p>
        </w:tc>
        <w:tc>
          <w:tcPr>
            <w:tcW w:w="5073" w:type="dxa"/>
            <w:tcBorders/>
            <w:shd w:fill="auto" w:val="clear"/>
            <w:vAlign w:val="bottom"/>
          </w:tcPr>
          <w:p>
            <w:pPr>
              <w:pStyle w:val="TableContents"/>
              <w:spacing w:before="0" w:after="283"/>
              <w:rPr>
                <w:rFonts w:ascii="times" w:hAnsi="times"/>
              </w:rPr>
            </w:pPr>
            <w:r>
              <w:rPr>
                <w:rFonts w:ascii="times" w:hAnsi="times"/>
              </w:rPr>
              <w:br/>
            </w:r>
            <w:r>
              <w:rPr>
                <w:rFonts w:ascii="times" w:hAnsi="times"/>
                <w:sz w:val="20"/>
              </w:rPr>
              <w:t>"At-the-market offering" that may be made from time to time through the sales agents. Please read "Plan of Distribution".</w:t>
            </w:r>
          </w:p>
        </w:tc>
      </w:tr>
      <w:tr>
        <w:trPr/>
        <w:tc>
          <w:tcPr>
            <w:tcW w:w="5072" w:type="dxa"/>
            <w:tcBorders/>
            <w:shd w:fill="auto" w:val="clear"/>
          </w:tcPr>
          <w:p>
            <w:pPr>
              <w:pStyle w:val="TableContents"/>
              <w:spacing w:before="0" w:after="283"/>
              <w:rPr>
                <w:rFonts w:ascii="times" w:hAnsi="times"/>
              </w:rPr>
            </w:pPr>
            <w:r>
              <w:rPr>
                <w:rFonts w:ascii="times" w:hAnsi="times"/>
              </w:rPr>
              <w:br/>
            </w:r>
            <w:r>
              <w:rPr>
                <w:rFonts w:ascii="times" w:hAnsi="times"/>
                <w:sz w:val="20"/>
              </w:rPr>
              <w:t>Use of proceeds</w:t>
            </w:r>
          </w:p>
        </w:tc>
        <w:tc>
          <w:tcPr>
            <w:tcW w:w="60" w:type="dxa"/>
            <w:tcBorders/>
            <w:shd w:fill="auto" w:val="clear"/>
          </w:tcPr>
          <w:p>
            <w:pPr>
              <w:pStyle w:val="TableContents"/>
              <w:spacing w:before="0" w:after="283"/>
              <w:rPr>
                <w:rFonts w:ascii="times" w:hAnsi="times"/>
                <w:sz w:val="20"/>
              </w:rPr>
            </w:pPr>
            <w:r>
              <w:rPr>
                <w:rFonts w:ascii="times" w:hAnsi="times"/>
                <w:sz w:val="20"/>
              </w:rPr>
              <w:br/>
              <w:t> </w:t>
            </w:r>
          </w:p>
        </w:tc>
        <w:tc>
          <w:tcPr>
            <w:tcW w:w="5073" w:type="dxa"/>
            <w:tcBorders/>
            <w:shd w:fill="auto" w:val="clear"/>
            <w:vAlign w:val="bottom"/>
          </w:tcPr>
          <w:p>
            <w:pPr>
              <w:pStyle w:val="TableContents"/>
              <w:spacing w:before="0" w:after="283"/>
              <w:rPr>
                <w:rFonts w:ascii="times" w:hAnsi="times"/>
              </w:rPr>
            </w:pPr>
            <w:r>
              <w:rPr>
                <w:rFonts w:ascii="times" w:hAnsi="times"/>
              </w:rPr>
              <w:br/>
            </w:r>
            <w:r>
              <w:rPr>
                <w:rFonts w:ascii="times" w:hAnsi="times"/>
                <w:sz w:val="20"/>
              </w:rPr>
              <w:t>We will use the net proceeds from the sale of the securities covered by this prospectus for general partnership purposes, which may include future acquisitions, debt repayment, capital expenditures and additions to working capital. This may include future acquisitions from GasLog. Please read "Use of Proceeds".</w:t>
            </w:r>
          </w:p>
        </w:tc>
      </w:tr>
      <w:tr>
        <w:trPr/>
        <w:tc>
          <w:tcPr>
            <w:tcW w:w="5072" w:type="dxa"/>
            <w:tcBorders/>
            <w:shd w:fill="auto" w:val="clear"/>
          </w:tcPr>
          <w:p>
            <w:pPr>
              <w:pStyle w:val="TableContents"/>
              <w:spacing w:before="0" w:after="283"/>
              <w:rPr>
                <w:rFonts w:ascii="times" w:hAnsi="times"/>
              </w:rPr>
            </w:pPr>
            <w:r>
              <w:rPr>
                <w:rFonts w:ascii="times" w:hAnsi="times"/>
              </w:rPr>
              <w:br/>
            </w:r>
            <w:r>
              <w:rPr>
                <w:rFonts w:ascii="times" w:hAnsi="times"/>
                <w:sz w:val="20"/>
              </w:rPr>
              <w:t>U.S. federal income tax considerations</w:t>
            </w:r>
          </w:p>
        </w:tc>
        <w:tc>
          <w:tcPr>
            <w:tcW w:w="60" w:type="dxa"/>
            <w:tcBorders/>
            <w:shd w:fill="auto" w:val="clear"/>
          </w:tcPr>
          <w:p>
            <w:pPr>
              <w:pStyle w:val="TableContents"/>
              <w:spacing w:before="0" w:after="283"/>
              <w:rPr>
                <w:rFonts w:ascii="times" w:hAnsi="times"/>
                <w:sz w:val="20"/>
              </w:rPr>
            </w:pPr>
            <w:r>
              <w:rPr>
                <w:rFonts w:ascii="times" w:hAnsi="times"/>
                <w:sz w:val="20"/>
              </w:rPr>
              <w:br/>
              <w:t> </w:t>
            </w:r>
          </w:p>
        </w:tc>
        <w:tc>
          <w:tcPr>
            <w:tcW w:w="5073" w:type="dxa"/>
            <w:tcBorders/>
            <w:shd w:fill="auto" w:val="clear"/>
            <w:vAlign w:val="bottom"/>
          </w:tcPr>
          <w:p>
            <w:pPr>
              <w:pStyle w:val="TableContents"/>
              <w:spacing w:before="0" w:after="283"/>
              <w:rPr>
                <w:rFonts w:ascii="times" w:hAnsi="times"/>
              </w:rPr>
            </w:pPr>
            <w:r>
              <w:rPr>
                <w:rFonts w:ascii="times" w:hAnsi="times"/>
              </w:rPr>
              <w:br/>
            </w:r>
            <w:r>
              <w:rPr>
                <w:rFonts w:ascii="times" w:hAnsi="times"/>
                <w:sz w:val="20"/>
              </w:rPr>
              <w:t>Although we are organized as a partnership, we have elected to be treated as a corporation solely for U.S. federal income tax purposes. Consequently, all or a portion of the distributions you receive from us will constitute dividends for such purposes. The remaining portion of such distributions will be treated first as a non-taxable return of capital to the extent of your tax basis in your common units and, thereafter, as capital gain. Please see "Risk FactorsTax Risks" in our Annual Report on Form 20-F, as filed with the SEC on March 2, 2021 and incorporated by reference into this prospectus, for a discussion relating to the taxation of distributions. For a discussion of other material U.S. federal income tax consequences that may be relevant to prospective unitholders, see "Material U.S. Federal Income Tax Considerations".</w:t>
            </w:r>
          </w:p>
        </w:tc>
      </w:tr>
    </w:tbl>
    <w:p>
      <w:pPr>
        <w:pStyle w:val="TextBody"/>
        <w:jc w:val="center"/>
        <w:rPr>
          <w:rFonts w:ascii="times" w:hAnsi="times"/>
          <w:sz w:val="20"/>
        </w:rPr>
      </w:pPr>
      <w:r>
        <w:rPr>
          <w:rFonts w:ascii="times" w:hAnsi="times"/>
          <w:sz w:val="20"/>
        </w:rPr>
        <w:t>S-10</w:t>
      </w:r>
    </w:p>
    <w:p>
      <w:pPr>
        <w:pStyle w:val="HorizontalLine"/>
        <w:pBdr>
          <w:bottom w:val="single" w:sz="20" w:space="0" w:color="808080"/>
        </w:pBdr>
        <w:rPr/>
      </w:pPr>
      <w:r>
        <w:rPr/>
      </w:r>
      <w:r>
        <w:br w:type="page"/>
      </w:r>
    </w:p>
    <w:p>
      <w:pPr>
        <w:pStyle w:val="TextBody"/>
        <w:rPr/>
      </w:pPr>
      <w:hyperlink w:anchor="bE43504A_main_toc">
        <w:bookmarkStart w:id="39" w:name="page_bm43504_1_11"/>
        <w:bookmarkEnd w:id="39"/>
        <w:r>
          <w:rPr>
            <w:rStyle w:val="InternetLink"/>
            <w:rFonts w:ascii="times" w:hAnsi="times"/>
            <w:sz w:val="20"/>
          </w:rPr>
          <w:t>Table of Contents</w:t>
        </w:r>
      </w:hyperlink>
    </w:p>
    <w:tbl>
      <w:tblPr>
        <w:tblW w:w="5000" w:type="pct"/>
        <w:jc w:val="center"/>
        <w:tblInd w:w="0" w:type="dxa"/>
        <w:tblCellMar>
          <w:top w:w="0" w:type="dxa"/>
          <w:left w:w="0" w:type="dxa"/>
          <w:bottom w:w="0" w:type="dxa"/>
          <w:right w:w="0" w:type="dxa"/>
        </w:tblCellMar>
      </w:tblPr>
      <w:tblGrid>
        <w:gridCol w:w="5072"/>
        <w:gridCol w:w="60"/>
        <w:gridCol w:w="5073"/>
      </w:tblGrid>
      <w:tr>
        <w:trPr/>
        <w:tc>
          <w:tcPr>
            <w:tcW w:w="5072"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5073" w:type="dxa"/>
            <w:tcBorders/>
            <w:shd w:fill="auto" w:val="clear"/>
            <w:vAlign w:val="center"/>
          </w:tcPr>
          <w:p>
            <w:pPr>
              <w:pStyle w:val="TableContents"/>
              <w:spacing w:before="0" w:after="283"/>
              <w:rPr>
                <w:sz w:val="4"/>
                <w:szCs w:val="4"/>
              </w:rPr>
            </w:pPr>
            <w:r>
              <w:rPr>
                <w:sz w:val="4"/>
                <w:szCs w:val="4"/>
              </w:rPr>
            </w:r>
          </w:p>
        </w:tc>
      </w:tr>
      <w:tr>
        <w:trPr/>
        <w:tc>
          <w:tcPr>
            <w:tcW w:w="5072" w:type="dxa"/>
            <w:tcBorders/>
            <w:shd w:fill="auto" w:val="clear"/>
          </w:tcPr>
          <w:p>
            <w:pPr>
              <w:pStyle w:val="TableContents"/>
              <w:spacing w:before="0" w:after="283"/>
              <w:rPr>
                <w:rFonts w:ascii="times" w:hAnsi="times"/>
                <w:sz w:val="20"/>
              </w:rPr>
            </w:pPr>
            <w:r>
              <w:rPr>
                <w:rFonts w:ascii="times" w:hAnsi="times"/>
                <w:sz w:val="20"/>
              </w:rPr>
              <w:t>Non-U.S. tax considerations</w:t>
            </w:r>
          </w:p>
        </w:tc>
        <w:tc>
          <w:tcPr>
            <w:tcW w:w="60" w:type="dxa"/>
            <w:tcBorders/>
            <w:shd w:fill="auto" w:val="clear"/>
          </w:tcPr>
          <w:p>
            <w:pPr>
              <w:pStyle w:val="TableContents"/>
              <w:spacing w:before="0" w:after="283"/>
              <w:rPr/>
            </w:pPr>
            <w:r>
              <w:rPr/>
              <w:t> </w:t>
            </w:r>
          </w:p>
        </w:tc>
        <w:tc>
          <w:tcPr>
            <w:tcW w:w="5073" w:type="dxa"/>
            <w:tcBorders/>
            <w:shd w:fill="auto" w:val="clear"/>
            <w:vAlign w:val="bottom"/>
          </w:tcPr>
          <w:p>
            <w:pPr>
              <w:pStyle w:val="TableContents"/>
              <w:spacing w:before="0" w:after="283"/>
              <w:rPr>
                <w:rFonts w:ascii="times" w:hAnsi="times"/>
                <w:sz w:val="20"/>
              </w:rPr>
            </w:pPr>
            <w:r>
              <w:rPr>
                <w:rFonts w:ascii="times" w:hAnsi="times"/>
                <w:sz w:val="20"/>
              </w:rPr>
              <w:t>We have been organized under the laws of the Republic of the Marshall Islands. As of March 31, 2021, we have 16 subsidiaries, one formed in the Marshall Islands and 15 incorporated in Bermuda. Of our subsidiaries, 15 own vessels in our fleet. GasLog Partners, GasLog LNG Services and our general partner are expected to be treated as managed and controlled in Greece. For a discussion of material Marshall Islands income tax considerations that may be relevant to prospective unitholders and for a discussion of the risk that unitholders may assume and for the activities we undertake in various jurisdictions for taxation purposes, see "Non-United States Tax Considerations" and "Risk FactorsTax Risks" starting on page 52 of our Annual Report on Form 20-F.</w:t>
            </w:r>
          </w:p>
        </w:tc>
      </w:tr>
      <w:tr>
        <w:trPr/>
        <w:tc>
          <w:tcPr>
            <w:tcW w:w="5072" w:type="dxa"/>
            <w:tcBorders/>
            <w:shd w:fill="auto" w:val="clear"/>
          </w:tcPr>
          <w:p>
            <w:pPr>
              <w:pStyle w:val="TableContents"/>
              <w:spacing w:before="0" w:after="283"/>
              <w:rPr>
                <w:rFonts w:ascii="times" w:hAnsi="times"/>
              </w:rPr>
            </w:pPr>
            <w:r>
              <w:rPr>
                <w:rFonts w:ascii="times" w:hAnsi="times"/>
              </w:rPr>
              <w:br/>
            </w:r>
            <w:r>
              <w:rPr>
                <w:rFonts w:ascii="times" w:hAnsi="times"/>
                <w:sz w:val="20"/>
              </w:rPr>
              <w:t>Exchange listing</w:t>
            </w:r>
          </w:p>
        </w:tc>
        <w:tc>
          <w:tcPr>
            <w:tcW w:w="60" w:type="dxa"/>
            <w:tcBorders/>
            <w:shd w:fill="auto" w:val="clear"/>
          </w:tcPr>
          <w:p>
            <w:pPr>
              <w:pStyle w:val="TableContents"/>
              <w:spacing w:before="0" w:after="283"/>
              <w:rPr>
                <w:rFonts w:ascii="times" w:hAnsi="times"/>
                <w:sz w:val="20"/>
              </w:rPr>
            </w:pPr>
            <w:r>
              <w:rPr>
                <w:rFonts w:ascii="times" w:hAnsi="times"/>
                <w:sz w:val="20"/>
              </w:rPr>
              <w:br/>
              <w:t> </w:t>
            </w:r>
          </w:p>
        </w:tc>
        <w:tc>
          <w:tcPr>
            <w:tcW w:w="5073" w:type="dxa"/>
            <w:tcBorders/>
            <w:shd w:fill="auto" w:val="clear"/>
            <w:vAlign w:val="bottom"/>
          </w:tcPr>
          <w:p>
            <w:pPr>
              <w:pStyle w:val="TableContents"/>
              <w:spacing w:before="0" w:after="283"/>
              <w:rPr>
                <w:rFonts w:ascii="times" w:hAnsi="times"/>
              </w:rPr>
            </w:pPr>
            <w:r>
              <w:rPr>
                <w:rFonts w:ascii="times" w:hAnsi="times"/>
              </w:rPr>
              <w:br/>
            </w:r>
            <w:r>
              <w:rPr>
                <w:rFonts w:ascii="times" w:hAnsi="times"/>
                <w:sz w:val="20"/>
              </w:rPr>
              <w:t>Our common units are listed on the NYSE under the symbol "GLOP".</w:t>
            </w:r>
          </w:p>
        </w:tc>
      </w:tr>
    </w:tbl>
    <w:p>
      <w:pPr>
        <w:pStyle w:val="TextBody"/>
        <w:jc w:val="center"/>
        <w:rPr>
          <w:rFonts w:ascii="times" w:hAnsi="times"/>
          <w:sz w:val="20"/>
        </w:rPr>
      </w:pPr>
      <w:r>
        <w:rPr>
          <w:rFonts w:ascii="times" w:hAnsi="times"/>
          <w:sz w:val="20"/>
        </w:rPr>
        <w:t>S-11</w:t>
      </w:r>
    </w:p>
    <w:p>
      <w:pPr>
        <w:pStyle w:val="HorizontalLine"/>
        <w:pBdr>
          <w:bottom w:val="single" w:sz="20" w:space="0" w:color="808080"/>
        </w:pBdr>
        <w:rPr/>
      </w:pPr>
      <w:r>
        <w:rPr/>
      </w:r>
      <w:r>
        <w:br w:type="page"/>
      </w:r>
    </w:p>
    <w:p>
      <w:pPr>
        <w:pStyle w:val="TextBody"/>
        <w:rPr/>
      </w:pPr>
      <w:hyperlink w:anchor="bE43504A_main_toc">
        <w:bookmarkStart w:id="40" w:name="page_bm43504_1_12"/>
        <w:bookmarkEnd w:id="40"/>
        <w:r>
          <w:rPr>
            <w:rStyle w:val="InternetLink"/>
            <w:rFonts w:ascii="times" w:hAnsi="times"/>
            <w:sz w:val="20"/>
          </w:rPr>
          <w:t>Table of Contents</w:t>
        </w:r>
      </w:hyperlink>
    </w:p>
    <w:p>
      <w:pPr>
        <w:pStyle w:val="TextBody"/>
        <w:jc w:val="center"/>
        <w:rPr>
          <w:rFonts w:ascii="times" w:hAnsi="times"/>
          <w:bdr w:val="single" w:sz="8" w:space="12" w:color="000000"/>
        </w:rPr>
      </w:pPr>
      <w:bookmarkStart w:id="41" w:name="toc_bm43504_2"/>
      <w:bookmarkStart w:id="42" w:name="bm43504_summary_financial_and_operating_"/>
      <w:bookmarkEnd w:id="41"/>
      <w:bookmarkEnd w:id="42"/>
      <w:r>
        <w:rPr>
          <w:rFonts w:ascii="times" w:hAnsi="times"/>
          <w:sz w:val="20"/>
          <w:bdr w:val="single" w:sz="8" w:space="12" w:color="000000"/>
        </w:rPr>
        <w:br/>
      </w:r>
      <w:r>
        <w:rPr>
          <w:rFonts w:ascii="times" w:hAnsi="times"/>
          <w:b/>
          <w:sz w:val="20"/>
          <w:bdr w:val="single" w:sz="8" w:space="12" w:color="000000"/>
        </w:rPr>
        <w:t xml:space="preserve">Summary Financial and Operating Data </w:t>
      </w:r>
    </w:p>
    <w:p>
      <w:pPr>
        <w:pStyle w:val="TextBody"/>
        <w:ind w:left="200" w:right="0" w:hanging="200"/>
        <w:rPr>
          <w:rFonts w:ascii="times" w:hAnsi="times"/>
          <w:b/>
          <w:sz w:val="20"/>
          <w:bdr w:val="single" w:sz="8" w:space="12" w:color="000000"/>
        </w:rPr>
      </w:pPr>
      <w:bookmarkStart w:id="43" w:name="toc_bm43504_3"/>
      <w:bookmarkStart w:id="44" w:name="bm43504_summary_financial_data"/>
      <w:bookmarkEnd w:id="43"/>
      <w:bookmarkEnd w:id="44"/>
      <w:r>
        <w:rPr>
          <w:rFonts w:ascii="times" w:hAnsi="times"/>
          <w:b/>
          <w:sz w:val="20"/>
          <w:bdr w:val="single" w:sz="8" w:space="12" w:color="000000"/>
        </w:rPr>
        <w:t xml:space="preserve">Summary Financial Data </w:t>
      </w:r>
    </w:p>
    <w:p>
      <w:pPr>
        <w:pStyle w:val="TextBody"/>
        <w:rPr>
          <w:rFonts w:ascii="times" w:hAnsi="times"/>
          <w:sz w:val="20"/>
          <w:bdr w:val="single" w:sz="8" w:space="12" w:color="000000"/>
        </w:rPr>
      </w:pPr>
      <w:r>
        <w:rPr>
          <w:rFonts w:ascii="times" w:hAnsi="times"/>
          <w:sz w:val="20"/>
          <w:bdr w:val="single" w:sz="8" w:space="12" w:color="000000"/>
        </w:rPr>
        <w:t xml:space="preserve">This information should be read together with, and is qualified in its entirety by, our consolidated financial statements and the notes thereto included in "Item 18. Financial Statements" of our Annual Report on Form 20-F for the year ended December 31, 2020, as filed with the SEC on March 2, 2021 and incorporated by reference into this prospectus. You should also read "Item 5. Operating and Financial Review and Prospects" of our Annual Report on Form 20-F. </w:t>
      </w:r>
    </w:p>
    <w:p>
      <w:pPr>
        <w:pStyle w:val="TextBody"/>
        <w:rPr>
          <w:rFonts w:ascii="times" w:hAnsi="times"/>
          <w:sz w:val="20"/>
          <w:bdr w:val="single" w:sz="8" w:space="12" w:color="000000"/>
        </w:rPr>
      </w:pPr>
      <w:r>
        <w:rPr>
          <w:rFonts w:ascii="times" w:hAnsi="times"/>
          <w:sz w:val="20"/>
          <w:bdr w:val="single" w:sz="8" w:space="12" w:color="000000"/>
        </w:rPr>
        <w:t xml:space="preserve">Certain numerical figures included in the below tables have been rounded. Discrepancies in tables between totals and the sums of the amounts listed may occur due to such rounding. </w:t>
      </w:r>
    </w:p>
    <w:p>
      <w:pPr>
        <w:pStyle w:val="TextBody"/>
        <w:ind w:left="200" w:right="0" w:hanging="200"/>
        <w:rPr>
          <w:rFonts w:ascii="times" w:hAnsi="times"/>
          <w:b/>
          <w:sz w:val="20"/>
          <w:bdr w:val="single" w:sz="8" w:space="12" w:color="000000"/>
        </w:rPr>
      </w:pPr>
      <w:bookmarkStart w:id="45" w:name="toc_bm43504_4"/>
      <w:bookmarkStart w:id="46" w:name="bm43504_ifrs_common_control_reported_res"/>
      <w:bookmarkEnd w:id="45"/>
      <w:bookmarkEnd w:id="46"/>
      <w:r>
        <w:rPr>
          <w:rFonts w:ascii="times" w:hAnsi="times"/>
          <w:b/>
          <w:sz w:val="20"/>
          <w:bdr w:val="single" w:sz="8" w:space="12" w:color="000000"/>
        </w:rPr>
        <w:t xml:space="preserve">IFRS Common Control Reported Results </w:t>
      </w:r>
    </w:p>
    <w:p>
      <w:pPr>
        <w:pStyle w:val="TextBody"/>
        <w:rPr>
          <w:rFonts w:ascii="times" w:hAnsi="times"/>
          <w:sz w:val="20"/>
          <w:bdr w:val="single" w:sz="8" w:space="12" w:color="000000"/>
        </w:rPr>
      </w:pPr>
      <w:r>
        <w:rPr>
          <w:rFonts w:ascii="times" w:hAnsi="times"/>
          <w:sz w:val="20"/>
          <w:bdr w:val="single" w:sz="8" w:space="12" w:color="000000"/>
        </w:rPr>
        <w:t xml:space="preserve">The following table presents, in each case for the periods and as of the dates indicated, selected historical financial and operating data. The selected historical financial data as of December 31, 2019 and 2020 and for each of the years in the three-year period ended December 31, 2020 has been derived from our audited consolidated financial statements included in "Item 18. Financial Statements" of our Annual Report on Form 20-F. The selected historical financial data as of December 31, 2016, 2017 and 2018 and for each of the years ended December 31, 2016 and 2017 is a summary of and is derived from our audited consolidated financial statements after retroactive restatement for the transfer of the vessels from GasLog to the Partnership that are not included in our Annual Report on Form 20-F. The financial statements have been prepared in accordance with IFRS, as issued by the IASB. </w:t>
      </w:r>
    </w:p>
    <w:p>
      <w:pPr>
        <w:pStyle w:val="TextBody"/>
        <w:rPr>
          <w:rFonts w:ascii="times" w:hAnsi="times"/>
          <w:sz w:val="20"/>
          <w:bdr w:val="single" w:sz="8" w:space="12" w:color="000000"/>
        </w:rPr>
      </w:pPr>
      <w:r>
        <w:rPr>
          <w:rFonts w:ascii="times" w:hAnsi="times"/>
          <w:sz w:val="20"/>
          <w:bdr w:val="single" w:sz="8" w:space="12" w:color="000000"/>
        </w:rPr>
        <w:t xml:space="preserve">The annual consolidated financial statements and our historical financial and operating data under "IFRS Common Control Reported Results" include the accounts of the Partnership and its subsidiaries assuming that they are consolidated from the date of their incorporation by GasLog, as they were under the common control of GasLog. The following transfers of vessels from GasLog to the Partnership were each accounted for as a reorganization of entities under common control under IFRS and prior periods were retroactively restated: </w:t>
      </w:r>
    </w:p>
    <w:tbl>
      <w:tblPr>
        <w:tblW w:w="5000" w:type="pct"/>
        <w:jc w:val="center"/>
        <w:tblInd w:w="0" w:type="dxa"/>
        <w:tblCellMar>
          <w:top w:w="0" w:type="dxa"/>
          <w:left w:w="0" w:type="dxa"/>
          <w:bottom w:w="0" w:type="dxa"/>
          <w:right w:w="0" w:type="dxa"/>
        </w:tblCellMar>
      </w:tblPr>
      <w:tblGrid>
        <w:gridCol w:w="5303"/>
        <w:gridCol w:w="439"/>
        <w:gridCol w:w="4463"/>
      </w:tblGrid>
      <w:tr>
        <w:trPr/>
        <w:tc>
          <w:tcPr>
            <w:tcW w:w="5303" w:type="dxa"/>
            <w:tcBorders/>
            <w:shd w:fill="auto" w:val="clear"/>
            <w:vAlign w:val="center"/>
          </w:tcPr>
          <w:p>
            <w:pPr>
              <w:pStyle w:val="TableContents"/>
              <w:spacing w:before="0" w:after="283"/>
              <w:rPr>
                <w:sz w:val="4"/>
                <w:szCs w:val="4"/>
              </w:rPr>
            </w:pPr>
            <w:r>
              <w:rPr>
                <w:sz w:val="4"/>
                <w:szCs w:val="4"/>
              </w:rPr>
            </w:r>
          </w:p>
        </w:tc>
        <w:tc>
          <w:tcPr>
            <w:tcW w:w="439" w:type="dxa"/>
            <w:tcBorders/>
            <w:shd w:fill="auto" w:val="clear"/>
            <w:vAlign w:val="center"/>
          </w:tcPr>
          <w:p>
            <w:pPr>
              <w:pStyle w:val="TableContents"/>
              <w:spacing w:before="0" w:after="283"/>
              <w:rPr>
                <w:sz w:val="4"/>
                <w:szCs w:val="4"/>
              </w:rPr>
            </w:pPr>
            <w:r>
              <w:rPr>
                <w:sz w:val="4"/>
                <w:szCs w:val="4"/>
              </w:rPr>
            </w:r>
          </w:p>
        </w:tc>
        <w:tc>
          <w:tcPr>
            <w:tcW w:w="4463" w:type="dxa"/>
            <w:tcBorders/>
            <w:shd w:fill="auto" w:val="clear"/>
            <w:vAlign w:val="center"/>
          </w:tcPr>
          <w:p>
            <w:pPr>
              <w:pStyle w:val="TableContents"/>
              <w:spacing w:before="0" w:after="283"/>
              <w:rPr>
                <w:sz w:val="4"/>
                <w:szCs w:val="4"/>
              </w:rPr>
            </w:pPr>
            <w:r>
              <w:rPr>
                <w:sz w:val="4"/>
                <w:szCs w:val="4"/>
              </w:rPr>
            </w:r>
          </w:p>
        </w:tc>
      </w:tr>
      <w:tr>
        <w:trPr/>
        <w:tc>
          <w:tcPr>
            <w:tcW w:w="5303" w:type="dxa"/>
            <w:tcBorders>
              <w:bottom w:val="single" w:sz="8" w:space="0" w:color="000000"/>
            </w:tcBorders>
            <w:shd w:fill="auto" w:val="clear"/>
            <w:tcMar>
              <w:bottom w:w="28" w:type="dxa"/>
            </w:tcMar>
            <w:vAlign w:val="bottom"/>
          </w:tcPr>
          <w:p>
            <w:pPr>
              <w:pStyle w:val="TableHeading"/>
              <w:spacing w:before="0" w:after="283"/>
              <w:jc w:val="left"/>
              <w:rPr>
                <w:rFonts w:ascii="times" w:hAnsi="times"/>
                <w:b/>
                <w:sz w:val="14"/>
              </w:rPr>
            </w:pPr>
            <w:r>
              <w:rPr>
                <w:rFonts w:ascii="times" w:hAnsi="times"/>
                <w:b/>
                <w:sz w:val="14"/>
              </w:rPr>
              <w:t xml:space="preserve">Date </w:t>
            </w:r>
          </w:p>
        </w:tc>
        <w:tc>
          <w:tcPr>
            <w:tcW w:w="439" w:type="dxa"/>
            <w:tcBorders/>
            <w:shd w:fill="auto" w:val="clear"/>
            <w:vAlign w:val="bottom"/>
          </w:tcPr>
          <w:p>
            <w:pPr>
              <w:pStyle w:val="TableHeading"/>
              <w:suppressLineNumbers/>
              <w:spacing w:before="0" w:after="283"/>
              <w:jc w:val="center"/>
              <w:rPr/>
            </w:pPr>
            <w:r>
              <w:rPr/>
              <w:t> </w:t>
            </w:r>
          </w:p>
        </w:tc>
        <w:tc>
          <w:tcPr>
            <w:tcW w:w="4463" w:type="dxa"/>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Vessel(s) Transferred </w:t>
            </w:r>
          </w:p>
        </w:tc>
      </w:tr>
      <w:tr>
        <w:trPr/>
        <w:tc>
          <w:tcPr>
            <w:tcW w:w="5303" w:type="dxa"/>
            <w:tcBorders/>
            <w:shd w:fill="CCEEFF" w:val="clear"/>
            <w:vAlign w:val="bottom"/>
          </w:tcPr>
          <w:p>
            <w:pPr>
              <w:pStyle w:val="TableContents"/>
              <w:spacing w:before="0" w:after="283"/>
              <w:ind w:left="200" w:right="0" w:hanging="200"/>
              <w:rPr>
                <w:rFonts w:ascii="times" w:hAnsi="times"/>
                <w:sz w:val="20"/>
              </w:rPr>
            </w:pPr>
            <w:r>
              <w:rPr>
                <w:rFonts w:ascii="times" w:hAnsi="times"/>
                <w:sz w:val="20"/>
              </w:rPr>
              <w:t>November 1, 2016</w:t>
            </w:r>
          </w:p>
        </w:tc>
        <w:tc>
          <w:tcPr>
            <w:tcW w:w="439" w:type="dxa"/>
            <w:tcBorders/>
            <w:shd w:fill="CCEEFF" w:val="clear"/>
            <w:vAlign w:val="bottom"/>
          </w:tcPr>
          <w:p>
            <w:pPr>
              <w:pStyle w:val="TableContents"/>
              <w:spacing w:before="0" w:after="283"/>
              <w:rPr/>
            </w:pPr>
            <w:r>
              <w:rPr/>
              <w:t> </w:t>
            </w:r>
          </w:p>
        </w:tc>
        <w:tc>
          <w:tcPr>
            <w:tcW w:w="4463" w:type="dxa"/>
            <w:tcBorders/>
            <w:shd w:fill="CCEEFF" w:val="clear"/>
            <w:vAlign w:val="bottom"/>
          </w:tcPr>
          <w:p>
            <w:pPr>
              <w:pStyle w:val="TableContents"/>
              <w:spacing w:before="0" w:after="283"/>
              <w:rPr>
                <w:rFonts w:ascii="times" w:hAnsi="times"/>
                <w:i/>
                <w:sz w:val="20"/>
              </w:rPr>
            </w:pPr>
            <w:r>
              <w:rPr>
                <w:rFonts w:ascii="times" w:hAnsi="times"/>
                <w:i/>
                <w:sz w:val="20"/>
              </w:rPr>
              <w:t>GasLog Seattle</w:t>
            </w:r>
          </w:p>
        </w:tc>
      </w:tr>
      <w:tr>
        <w:trPr/>
        <w:tc>
          <w:tcPr>
            <w:tcW w:w="5303" w:type="dxa"/>
            <w:tcBorders/>
            <w:shd w:fill="FFFFFF" w:val="clear"/>
            <w:vAlign w:val="bottom"/>
          </w:tcPr>
          <w:p>
            <w:pPr>
              <w:pStyle w:val="TableContents"/>
              <w:spacing w:before="0" w:after="283"/>
              <w:ind w:left="200" w:right="0" w:hanging="200"/>
              <w:rPr>
                <w:rFonts w:ascii="times" w:hAnsi="times"/>
                <w:sz w:val="20"/>
              </w:rPr>
            </w:pPr>
            <w:r>
              <w:rPr>
                <w:rFonts w:ascii="times" w:hAnsi="times"/>
                <w:sz w:val="20"/>
              </w:rPr>
              <w:t>May 3, 2017</w:t>
            </w:r>
          </w:p>
        </w:tc>
        <w:tc>
          <w:tcPr>
            <w:tcW w:w="439" w:type="dxa"/>
            <w:tcBorders/>
            <w:shd w:fill="FFFFFF" w:val="clear"/>
            <w:vAlign w:val="bottom"/>
          </w:tcPr>
          <w:p>
            <w:pPr>
              <w:pStyle w:val="TableContents"/>
              <w:spacing w:before="0" w:after="283"/>
              <w:rPr/>
            </w:pPr>
            <w:r>
              <w:rPr/>
              <w:t> </w:t>
            </w:r>
          </w:p>
        </w:tc>
        <w:tc>
          <w:tcPr>
            <w:tcW w:w="4463" w:type="dxa"/>
            <w:tcBorders/>
            <w:shd w:fill="FFFFFF" w:val="clear"/>
            <w:vAlign w:val="bottom"/>
          </w:tcPr>
          <w:p>
            <w:pPr>
              <w:pStyle w:val="TableContents"/>
              <w:spacing w:before="0" w:after="283"/>
              <w:rPr>
                <w:rFonts w:ascii="times" w:hAnsi="times"/>
                <w:i/>
                <w:sz w:val="20"/>
              </w:rPr>
            </w:pPr>
            <w:r>
              <w:rPr>
                <w:rFonts w:ascii="times" w:hAnsi="times"/>
                <w:i/>
                <w:sz w:val="20"/>
              </w:rPr>
              <w:t>GasLog Greece</w:t>
            </w:r>
          </w:p>
        </w:tc>
      </w:tr>
      <w:tr>
        <w:trPr/>
        <w:tc>
          <w:tcPr>
            <w:tcW w:w="5303" w:type="dxa"/>
            <w:tcBorders/>
            <w:shd w:fill="CCEEFF" w:val="clear"/>
            <w:vAlign w:val="bottom"/>
          </w:tcPr>
          <w:p>
            <w:pPr>
              <w:pStyle w:val="TableContents"/>
              <w:spacing w:before="0" w:after="283"/>
              <w:ind w:left="200" w:right="0" w:hanging="200"/>
              <w:rPr>
                <w:rFonts w:ascii="times" w:hAnsi="times"/>
                <w:sz w:val="20"/>
              </w:rPr>
            </w:pPr>
            <w:r>
              <w:rPr>
                <w:rFonts w:ascii="times" w:hAnsi="times"/>
                <w:sz w:val="20"/>
              </w:rPr>
              <w:t>July 3, 2017</w:t>
            </w:r>
          </w:p>
        </w:tc>
        <w:tc>
          <w:tcPr>
            <w:tcW w:w="439" w:type="dxa"/>
            <w:tcBorders/>
            <w:shd w:fill="CCEEFF" w:val="clear"/>
            <w:vAlign w:val="bottom"/>
          </w:tcPr>
          <w:p>
            <w:pPr>
              <w:pStyle w:val="TableContents"/>
              <w:spacing w:before="0" w:after="283"/>
              <w:rPr/>
            </w:pPr>
            <w:r>
              <w:rPr/>
              <w:t> </w:t>
            </w:r>
          </w:p>
        </w:tc>
        <w:tc>
          <w:tcPr>
            <w:tcW w:w="4463" w:type="dxa"/>
            <w:tcBorders/>
            <w:shd w:fill="CCEEFF" w:val="clear"/>
            <w:vAlign w:val="bottom"/>
          </w:tcPr>
          <w:p>
            <w:pPr>
              <w:pStyle w:val="TableContents"/>
              <w:spacing w:before="0" w:after="283"/>
              <w:rPr>
                <w:rFonts w:ascii="times" w:hAnsi="times"/>
                <w:i/>
                <w:sz w:val="20"/>
              </w:rPr>
            </w:pPr>
            <w:r>
              <w:rPr>
                <w:rFonts w:ascii="times" w:hAnsi="times"/>
                <w:i/>
                <w:sz w:val="20"/>
              </w:rPr>
              <w:t>GasLog Geneva</w:t>
            </w:r>
          </w:p>
        </w:tc>
      </w:tr>
      <w:tr>
        <w:trPr/>
        <w:tc>
          <w:tcPr>
            <w:tcW w:w="5303" w:type="dxa"/>
            <w:tcBorders/>
            <w:shd w:fill="FFFFFF" w:val="clear"/>
            <w:vAlign w:val="bottom"/>
          </w:tcPr>
          <w:p>
            <w:pPr>
              <w:pStyle w:val="TableContents"/>
              <w:spacing w:before="0" w:after="283"/>
              <w:ind w:left="200" w:right="0" w:hanging="200"/>
              <w:rPr>
                <w:rFonts w:ascii="times" w:hAnsi="times"/>
                <w:sz w:val="20"/>
              </w:rPr>
            </w:pPr>
            <w:r>
              <w:rPr>
                <w:rFonts w:ascii="times" w:hAnsi="times"/>
                <w:sz w:val="20"/>
              </w:rPr>
              <w:t>October 20, 2017</w:t>
            </w:r>
          </w:p>
        </w:tc>
        <w:tc>
          <w:tcPr>
            <w:tcW w:w="439" w:type="dxa"/>
            <w:tcBorders/>
            <w:shd w:fill="FFFFFF" w:val="clear"/>
            <w:vAlign w:val="bottom"/>
          </w:tcPr>
          <w:p>
            <w:pPr>
              <w:pStyle w:val="TableContents"/>
              <w:spacing w:before="0" w:after="283"/>
              <w:rPr/>
            </w:pPr>
            <w:r>
              <w:rPr/>
              <w:t> </w:t>
            </w:r>
          </w:p>
        </w:tc>
        <w:tc>
          <w:tcPr>
            <w:tcW w:w="4463" w:type="dxa"/>
            <w:tcBorders/>
            <w:shd w:fill="FFFFFF" w:val="clear"/>
            <w:vAlign w:val="bottom"/>
          </w:tcPr>
          <w:p>
            <w:pPr>
              <w:pStyle w:val="TableContents"/>
              <w:spacing w:before="0" w:after="283"/>
              <w:rPr>
                <w:rFonts w:ascii="times" w:hAnsi="times"/>
                <w:i/>
                <w:sz w:val="20"/>
              </w:rPr>
            </w:pPr>
            <w:r>
              <w:rPr>
                <w:rFonts w:ascii="times" w:hAnsi="times"/>
                <w:i/>
                <w:sz w:val="20"/>
              </w:rPr>
              <w:t>Solaris</w:t>
            </w:r>
          </w:p>
        </w:tc>
      </w:tr>
      <w:tr>
        <w:trPr/>
        <w:tc>
          <w:tcPr>
            <w:tcW w:w="5303" w:type="dxa"/>
            <w:tcBorders/>
            <w:shd w:fill="CCEEFF" w:val="clear"/>
            <w:vAlign w:val="bottom"/>
          </w:tcPr>
          <w:p>
            <w:pPr>
              <w:pStyle w:val="TableContents"/>
              <w:spacing w:before="0" w:after="283"/>
              <w:ind w:left="200" w:right="0" w:hanging="200"/>
              <w:rPr>
                <w:rFonts w:ascii="times" w:hAnsi="times"/>
                <w:sz w:val="20"/>
              </w:rPr>
            </w:pPr>
            <w:r>
              <w:rPr>
                <w:rFonts w:ascii="times" w:hAnsi="times"/>
                <w:sz w:val="20"/>
              </w:rPr>
              <w:t>April 26, 2018</w:t>
            </w:r>
          </w:p>
        </w:tc>
        <w:tc>
          <w:tcPr>
            <w:tcW w:w="439" w:type="dxa"/>
            <w:tcBorders/>
            <w:shd w:fill="CCEEFF" w:val="clear"/>
            <w:vAlign w:val="bottom"/>
          </w:tcPr>
          <w:p>
            <w:pPr>
              <w:pStyle w:val="TableContents"/>
              <w:spacing w:before="0" w:after="283"/>
              <w:rPr/>
            </w:pPr>
            <w:r>
              <w:rPr/>
              <w:t> </w:t>
            </w:r>
          </w:p>
        </w:tc>
        <w:tc>
          <w:tcPr>
            <w:tcW w:w="4463" w:type="dxa"/>
            <w:tcBorders/>
            <w:shd w:fill="CCEEFF" w:val="clear"/>
            <w:vAlign w:val="bottom"/>
          </w:tcPr>
          <w:p>
            <w:pPr>
              <w:pStyle w:val="TableContents"/>
              <w:spacing w:before="0" w:after="283"/>
              <w:rPr>
                <w:rFonts w:ascii="times" w:hAnsi="times"/>
                <w:i/>
                <w:sz w:val="20"/>
              </w:rPr>
            </w:pPr>
            <w:r>
              <w:rPr>
                <w:rFonts w:ascii="times" w:hAnsi="times"/>
                <w:i/>
                <w:sz w:val="20"/>
              </w:rPr>
              <w:t>GasLog Gibraltar</w:t>
            </w:r>
          </w:p>
        </w:tc>
      </w:tr>
      <w:tr>
        <w:trPr/>
        <w:tc>
          <w:tcPr>
            <w:tcW w:w="5303" w:type="dxa"/>
            <w:tcBorders/>
            <w:shd w:fill="FFFFFF" w:val="clear"/>
            <w:vAlign w:val="bottom"/>
          </w:tcPr>
          <w:p>
            <w:pPr>
              <w:pStyle w:val="TableContents"/>
              <w:spacing w:before="0" w:after="283"/>
              <w:ind w:left="200" w:right="0" w:hanging="200"/>
              <w:rPr>
                <w:rFonts w:ascii="times" w:hAnsi="times"/>
                <w:sz w:val="20"/>
              </w:rPr>
            </w:pPr>
            <w:r>
              <w:rPr>
                <w:rFonts w:ascii="times" w:hAnsi="times"/>
                <w:sz w:val="20"/>
              </w:rPr>
              <w:t>November 14, 2018</w:t>
            </w:r>
          </w:p>
        </w:tc>
        <w:tc>
          <w:tcPr>
            <w:tcW w:w="439" w:type="dxa"/>
            <w:tcBorders/>
            <w:shd w:fill="FFFFFF" w:val="clear"/>
            <w:vAlign w:val="bottom"/>
          </w:tcPr>
          <w:p>
            <w:pPr>
              <w:pStyle w:val="TableContents"/>
              <w:spacing w:before="0" w:after="283"/>
              <w:rPr/>
            </w:pPr>
            <w:r>
              <w:rPr/>
              <w:t> </w:t>
            </w:r>
          </w:p>
        </w:tc>
        <w:tc>
          <w:tcPr>
            <w:tcW w:w="4463" w:type="dxa"/>
            <w:tcBorders/>
            <w:shd w:fill="FFFFFF" w:val="clear"/>
            <w:vAlign w:val="bottom"/>
          </w:tcPr>
          <w:p>
            <w:pPr>
              <w:pStyle w:val="TableContents"/>
              <w:spacing w:before="0" w:after="283"/>
              <w:rPr>
                <w:rFonts w:ascii="times" w:hAnsi="times"/>
                <w:i/>
                <w:sz w:val="20"/>
              </w:rPr>
            </w:pPr>
            <w:r>
              <w:rPr>
                <w:rFonts w:ascii="times" w:hAnsi="times"/>
                <w:i/>
                <w:sz w:val="20"/>
              </w:rPr>
              <w:t>Methane Becki Anne</w:t>
            </w:r>
          </w:p>
        </w:tc>
      </w:tr>
      <w:tr>
        <w:trPr/>
        <w:tc>
          <w:tcPr>
            <w:tcW w:w="5303" w:type="dxa"/>
            <w:tcBorders/>
            <w:shd w:fill="CCEEFF" w:val="clear"/>
            <w:vAlign w:val="bottom"/>
          </w:tcPr>
          <w:p>
            <w:pPr>
              <w:pStyle w:val="TableContents"/>
              <w:spacing w:before="0" w:after="283"/>
              <w:ind w:left="200" w:right="0" w:hanging="200"/>
              <w:rPr>
                <w:rFonts w:ascii="times" w:hAnsi="times"/>
                <w:sz w:val="20"/>
              </w:rPr>
            </w:pPr>
            <w:r>
              <w:rPr>
                <w:rFonts w:ascii="times" w:hAnsi="times"/>
                <w:sz w:val="20"/>
              </w:rPr>
              <w:t>April 1, 2019</w:t>
            </w:r>
          </w:p>
        </w:tc>
        <w:tc>
          <w:tcPr>
            <w:tcW w:w="439" w:type="dxa"/>
            <w:tcBorders/>
            <w:shd w:fill="CCEEFF" w:val="clear"/>
            <w:vAlign w:val="bottom"/>
          </w:tcPr>
          <w:p>
            <w:pPr>
              <w:pStyle w:val="TableContents"/>
              <w:spacing w:before="0" w:after="283"/>
              <w:rPr/>
            </w:pPr>
            <w:r>
              <w:rPr/>
              <w:t> </w:t>
            </w:r>
          </w:p>
        </w:tc>
        <w:tc>
          <w:tcPr>
            <w:tcW w:w="4463" w:type="dxa"/>
            <w:tcBorders/>
            <w:shd w:fill="CCEEFF" w:val="clear"/>
            <w:vAlign w:val="bottom"/>
          </w:tcPr>
          <w:p>
            <w:pPr>
              <w:pStyle w:val="TableContents"/>
              <w:spacing w:before="0" w:after="283"/>
              <w:rPr>
                <w:rFonts w:ascii="times" w:hAnsi="times"/>
                <w:i/>
                <w:sz w:val="20"/>
              </w:rPr>
            </w:pPr>
            <w:r>
              <w:rPr>
                <w:rFonts w:ascii="times" w:hAnsi="times"/>
                <w:i/>
                <w:sz w:val="20"/>
              </w:rPr>
              <w:t>GasLog Glasgow</w:t>
            </w:r>
          </w:p>
        </w:tc>
      </w:tr>
    </w:tbl>
    <w:p>
      <w:pPr>
        <w:pStyle w:val="TextBody"/>
        <w:jc w:val="center"/>
        <w:rPr>
          <w:rFonts w:ascii="times" w:hAnsi="times"/>
          <w:sz w:val="20"/>
        </w:rPr>
      </w:pPr>
      <w:r>
        <w:rPr>
          <w:rFonts w:ascii="times" w:hAnsi="times"/>
          <w:sz w:val="20"/>
        </w:rPr>
        <w:t>S-12</w:t>
      </w:r>
    </w:p>
    <w:p>
      <w:pPr>
        <w:pStyle w:val="HorizontalLine"/>
        <w:pBdr>
          <w:bottom w:val="single" w:sz="20" w:space="0" w:color="808080"/>
        </w:pBdr>
        <w:rPr/>
      </w:pPr>
      <w:r>
        <w:rPr/>
      </w:r>
      <w:r>
        <w:br w:type="page"/>
      </w:r>
    </w:p>
    <w:p>
      <w:pPr>
        <w:pStyle w:val="TextBody"/>
        <w:rPr/>
      </w:pPr>
      <w:hyperlink w:anchor="bE43504A_main_toc">
        <w:bookmarkStart w:id="47" w:name="page_bm43504_1_13"/>
        <w:bookmarkEnd w:id="47"/>
        <w:r>
          <w:rPr>
            <w:rStyle w:val="InternetLink"/>
            <w:rFonts w:ascii="times" w:hAnsi="times"/>
            <w:sz w:val="20"/>
          </w:rPr>
          <w:t>Table of Contents</w:t>
        </w:r>
      </w:hyperlink>
    </w:p>
    <w:p>
      <w:pPr>
        <w:pStyle w:val="TextBody"/>
        <w:rPr>
          <w:bdr w:val="single" w:sz="8" w:space="12" w:color="000000"/>
        </w:rPr>
      </w:pPr>
      <w:r>
        <w:rPr>
          <w:bdr w:val="single" w:sz="8" w:space="12" w:color="000000"/>
        </w:rPr>
        <w:t> </w:t>
      </w:r>
    </w:p>
    <w:tbl>
      <w:tblPr>
        <w:tblW w:w="5000" w:type="pct"/>
        <w:jc w:val="center"/>
        <w:tblInd w:w="0" w:type="dxa"/>
        <w:tblCellMar>
          <w:top w:w="0" w:type="dxa"/>
          <w:left w:w="0" w:type="dxa"/>
          <w:bottom w:w="0" w:type="dxa"/>
          <w:right w:w="0" w:type="dxa"/>
        </w:tblCellMar>
      </w:tblPr>
      <w:tblGrid>
        <w:gridCol w:w="4323"/>
        <w:gridCol w:w="158"/>
        <w:gridCol w:w="95"/>
        <w:gridCol w:w="888"/>
        <w:gridCol w:w="159"/>
        <w:gridCol w:w="95"/>
        <w:gridCol w:w="888"/>
        <w:gridCol w:w="159"/>
        <w:gridCol w:w="95"/>
        <w:gridCol w:w="888"/>
        <w:gridCol w:w="159"/>
        <w:gridCol w:w="95"/>
        <w:gridCol w:w="896"/>
        <w:gridCol w:w="159"/>
        <w:gridCol w:w="95"/>
        <w:gridCol w:w="888"/>
        <w:gridCol w:w="165"/>
      </w:tblGrid>
      <w:tr>
        <w:trPr/>
        <w:tc>
          <w:tcPr>
            <w:tcW w:w="4323"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c>
          <w:tcPr>
            <w:tcW w:w="95" w:type="dxa"/>
            <w:tcBorders/>
            <w:shd w:fill="auto" w:val="clear"/>
            <w:vAlign w:val="center"/>
          </w:tcPr>
          <w:p>
            <w:pPr>
              <w:pStyle w:val="TableContents"/>
              <w:spacing w:before="0" w:after="283"/>
              <w:rPr>
                <w:sz w:val="4"/>
                <w:szCs w:val="4"/>
              </w:rPr>
            </w:pPr>
            <w:r>
              <w:rPr>
                <w:sz w:val="4"/>
                <w:szCs w:val="4"/>
              </w:rPr>
            </w:r>
          </w:p>
        </w:tc>
        <w:tc>
          <w:tcPr>
            <w:tcW w:w="888"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c>
          <w:tcPr>
            <w:tcW w:w="95" w:type="dxa"/>
            <w:tcBorders/>
            <w:shd w:fill="auto" w:val="clear"/>
            <w:vAlign w:val="center"/>
          </w:tcPr>
          <w:p>
            <w:pPr>
              <w:pStyle w:val="TableContents"/>
              <w:spacing w:before="0" w:after="283"/>
              <w:rPr>
                <w:sz w:val="4"/>
                <w:szCs w:val="4"/>
              </w:rPr>
            </w:pPr>
            <w:r>
              <w:rPr>
                <w:sz w:val="4"/>
                <w:szCs w:val="4"/>
              </w:rPr>
            </w:r>
          </w:p>
        </w:tc>
        <w:tc>
          <w:tcPr>
            <w:tcW w:w="888"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c>
          <w:tcPr>
            <w:tcW w:w="95" w:type="dxa"/>
            <w:tcBorders/>
            <w:shd w:fill="auto" w:val="clear"/>
            <w:vAlign w:val="center"/>
          </w:tcPr>
          <w:p>
            <w:pPr>
              <w:pStyle w:val="TableContents"/>
              <w:spacing w:before="0" w:after="283"/>
              <w:rPr>
                <w:sz w:val="4"/>
                <w:szCs w:val="4"/>
              </w:rPr>
            </w:pPr>
            <w:r>
              <w:rPr>
                <w:sz w:val="4"/>
                <w:szCs w:val="4"/>
              </w:rPr>
            </w:r>
          </w:p>
        </w:tc>
        <w:tc>
          <w:tcPr>
            <w:tcW w:w="888"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c>
          <w:tcPr>
            <w:tcW w:w="95" w:type="dxa"/>
            <w:tcBorders/>
            <w:shd w:fill="auto" w:val="clear"/>
            <w:vAlign w:val="center"/>
          </w:tcPr>
          <w:p>
            <w:pPr>
              <w:pStyle w:val="TableContents"/>
              <w:spacing w:before="0" w:after="283"/>
              <w:rPr>
                <w:sz w:val="4"/>
                <w:szCs w:val="4"/>
              </w:rPr>
            </w:pPr>
            <w:r>
              <w:rPr>
                <w:sz w:val="4"/>
                <w:szCs w:val="4"/>
              </w:rPr>
            </w:r>
          </w:p>
        </w:tc>
        <w:tc>
          <w:tcPr>
            <w:tcW w:w="896"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c>
          <w:tcPr>
            <w:tcW w:w="95" w:type="dxa"/>
            <w:tcBorders/>
            <w:shd w:fill="auto" w:val="clear"/>
            <w:vAlign w:val="center"/>
          </w:tcPr>
          <w:p>
            <w:pPr>
              <w:pStyle w:val="TableContents"/>
              <w:spacing w:before="0" w:after="283"/>
              <w:rPr>
                <w:sz w:val="4"/>
                <w:szCs w:val="4"/>
              </w:rPr>
            </w:pPr>
            <w:r>
              <w:rPr>
                <w:sz w:val="4"/>
                <w:szCs w:val="4"/>
              </w:rPr>
            </w:r>
          </w:p>
        </w:tc>
        <w:tc>
          <w:tcPr>
            <w:tcW w:w="888" w:type="dxa"/>
            <w:tcBorders/>
            <w:shd w:fill="auto" w:val="clear"/>
            <w:vAlign w:val="center"/>
          </w:tcPr>
          <w:p>
            <w:pPr>
              <w:pStyle w:val="TableContents"/>
              <w:spacing w:before="0" w:after="283"/>
              <w:rPr>
                <w:sz w:val="4"/>
                <w:szCs w:val="4"/>
              </w:rPr>
            </w:pPr>
            <w:r>
              <w:rPr>
                <w:sz w:val="4"/>
                <w:szCs w:val="4"/>
              </w:rPr>
            </w:r>
          </w:p>
        </w:tc>
        <w:tc>
          <w:tcPr>
            <w:tcW w:w="165" w:type="dxa"/>
            <w:tcBorders/>
            <w:shd w:fill="auto" w:val="clear"/>
            <w:vAlign w:val="center"/>
          </w:tcPr>
          <w:p>
            <w:pPr>
              <w:pStyle w:val="TableContents"/>
              <w:spacing w:before="0" w:after="283"/>
              <w:rPr>
                <w:sz w:val="4"/>
                <w:szCs w:val="4"/>
              </w:rPr>
            </w:pPr>
            <w:r>
              <w:rPr>
                <w:sz w:val="4"/>
                <w:szCs w:val="4"/>
              </w:rPr>
            </w:r>
          </w:p>
        </w:tc>
      </w:tr>
      <w:tr>
        <w:trPr/>
        <w:tc>
          <w:tcPr>
            <w:tcW w:w="4323" w:type="dxa"/>
            <w:tcBorders/>
            <w:shd w:fill="auto" w:val="clear"/>
            <w:vAlign w:val="bottom"/>
          </w:tcPr>
          <w:p>
            <w:pPr>
              <w:pStyle w:val="TableHeading"/>
              <w:spacing w:before="0" w:after="283"/>
              <w:jc w:val="left"/>
              <w:rPr/>
            </w:pPr>
            <w:r>
              <w:rPr/>
              <w:t> </w:t>
            </w:r>
          </w:p>
        </w:tc>
        <w:tc>
          <w:tcPr>
            <w:tcW w:w="158" w:type="dxa"/>
            <w:tcBorders/>
            <w:shd w:fill="auto" w:val="clear"/>
            <w:vAlign w:val="bottom"/>
          </w:tcPr>
          <w:p>
            <w:pPr>
              <w:pStyle w:val="TableHeading"/>
              <w:suppressLineNumbers/>
              <w:spacing w:before="0" w:after="283"/>
              <w:jc w:val="center"/>
              <w:rPr/>
            </w:pPr>
            <w:r>
              <w:rPr/>
              <w:t> </w:t>
            </w:r>
          </w:p>
        </w:tc>
        <w:tc>
          <w:tcPr>
            <w:tcW w:w="5559" w:type="dxa"/>
            <w:gridSpan w:val="14"/>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Year Ended December 31, </w:t>
            </w:r>
          </w:p>
        </w:tc>
        <w:tc>
          <w:tcPr>
            <w:tcW w:w="165" w:type="dxa"/>
            <w:tcBorders/>
            <w:shd w:fill="auto" w:val="clear"/>
            <w:vAlign w:val="bottom"/>
          </w:tcPr>
          <w:p>
            <w:pPr>
              <w:pStyle w:val="TableHeading"/>
              <w:suppressLineNumbers/>
              <w:spacing w:before="0" w:after="283"/>
              <w:jc w:val="center"/>
              <w:rPr/>
            </w:pPr>
            <w:r>
              <w:rPr/>
              <w:t> </w:t>
            </w:r>
          </w:p>
        </w:tc>
      </w:tr>
      <w:tr>
        <w:trPr/>
        <w:tc>
          <w:tcPr>
            <w:tcW w:w="4323" w:type="dxa"/>
            <w:tcBorders/>
            <w:shd w:fill="auto" w:val="clear"/>
            <w:vAlign w:val="bottom"/>
          </w:tcPr>
          <w:p>
            <w:pPr>
              <w:pStyle w:val="TableHeading"/>
              <w:spacing w:before="0" w:after="283"/>
              <w:jc w:val="left"/>
              <w:rPr/>
            </w:pPr>
            <w:r>
              <w:rPr/>
              <w:t> </w:t>
            </w:r>
          </w:p>
        </w:tc>
        <w:tc>
          <w:tcPr>
            <w:tcW w:w="158" w:type="dxa"/>
            <w:tcBorders/>
            <w:shd w:fill="auto" w:val="clear"/>
            <w:vAlign w:val="bottom"/>
          </w:tcPr>
          <w:p>
            <w:pPr>
              <w:pStyle w:val="TableHeading"/>
              <w:suppressLineNumbers/>
              <w:spacing w:before="0" w:after="283"/>
              <w:jc w:val="center"/>
              <w:rPr/>
            </w:pPr>
            <w:r>
              <w:rPr/>
              <w:t> </w:t>
            </w:r>
          </w:p>
        </w:tc>
        <w:tc>
          <w:tcPr>
            <w:tcW w:w="983" w:type="dxa"/>
            <w:gridSpan w:val="2"/>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2016 </w:t>
            </w:r>
          </w:p>
        </w:tc>
        <w:tc>
          <w:tcPr>
            <w:tcW w:w="159" w:type="dxa"/>
            <w:tcBorders/>
            <w:shd w:fill="auto" w:val="clear"/>
            <w:vAlign w:val="bottom"/>
          </w:tcPr>
          <w:p>
            <w:pPr>
              <w:pStyle w:val="TableHeading"/>
              <w:suppressLineNumbers/>
              <w:spacing w:before="0" w:after="283"/>
              <w:jc w:val="center"/>
              <w:rPr/>
            </w:pPr>
            <w:r>
              <w:rPr/>
              <w:t> </w:t>
            </w:r>
          </w:p>
        </w:tc>
        <w:tc>
          <w:tcPr>
            <w:tcW w:w="983" w:type="dxa"/>
            <w:gridSpan w:val="2"/>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2017 </w:t>
            </w:r>
          </w:p>
        </w:tc>
        <w:tc>
          <w:tcPr>
            <w:tcW w:w="159" w:type="dxa"/>
            <w:tcBorders/>
            <w:shd w:fill="auto" w:val="clear"/>
            <w:vAlign w:val="bottom"/>
          </w:tcPr>
          <w:p>
            <w:pPr>
              <w:pStyle w:val="TableHeading"/>
              <w:suppressLineNumbers/>
              <w:spacing w:before="0" w:after="283"/>
              <w:jc w:val="center"/>
              <w:rPr/>
            </w:pPr>
            <w:r>
              <w:rPr/>
              <w:t> </w:t>
            </w:r>
          </w:p>
        </w:tc>
        <w:tc>
          <w:tcPr>
            <w:tcW w:w="983" w:type="dxa"/>
            <w:gridSpan w:val="2"/>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2018 </w:t>
            </w:r>
          </w:p>
        </w:tc>
        <w:tc>
          <w:tcPr>
            <w:tcW w:w="159" w:type="dxa"/>
            <w:tcBorders/>
            <w:shd w:fill="auto" w:val="clear"/>
            <w:vAlign w:val="bottom"/>
          </w:tcPr>
          <w:p>
            <w:pPr>
              <w:pStyle w:val="TableHeading"/>
              <w:suppressLineNumbers/>
              <w:spacing w:before="0" w:after="283"/>
              <w:jc w:val="center"/>
              <w:rPr/>
            </w:pPr>
            <w:r>
              <w:rPr/>
              <w:t> </w:t>
            </w:r>
          </w:p>
        </w:tc>
        <w:tc>
          <w:tcPr>
            <w:tcW w:w="991" w:type="dxa"/>
            <w:gridSpan w:val="2"/>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2019 </w:t>
            </w:r>
          </w:p>
        </w:tc>
        <w:tc>
          <w:tcPr>
            <w:tcW w:w="159" w:type="dxa"/>
            <w:tcBorders/>
            <w:shd w:fill="auto" w:val="clear"/>
            <w:vAlign w:val="bottom"/>
          </w:tcPr>
          <w:p>
            <w:pPr>
              <w:pStyle w:val="TableHeading"/>
              <w:suppressLineNumbers/>
              <w:spacing w:before="0" w:after="283"/>
              <w:jc w:val="center"/>
              <w:rPr/>
            </w:pPr>
            <w:r>
              <w:rPr/>
              <w:t> </w:t>
            </w:r>
          </w:p>
        </w:tc>
        <w:tc>
          <w:tcPr>
            <w:tcW w:w="983" w:type="dxa"/>
            <w:gridSpan w:val="2"/>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2020 </w:t>
            </w:r>
          </w:p>
        </w:tc>
        <w:tc>
          <w:tcPr>
            <w:tcW w:w="165" w:type="dxa"/>
            <w:tcBorders/>
            <w:shd w:fill="auto" w:val="clear"/>
            <w:vAlign w:val="bottom"/>
          </w:tcPr>
          <w:p>
            <w:pPr>
              <w:pStyle w:val="TableHeading"/>
              <w:suppressLineNumbers/>
              <w:spacing w:before="0" w:after="283"/>
              <w:jc w:val="center"/>
              <w:rPr/>
            </w:pPr>
            <w:r>
              <w:rPr/>
              <w:t> </w:t>
            </w:r>
          </w:p>
        </w:tc>
      </w:tr>
      <w:tr>
        <w:trPr/>
        <w:tc>
          <w:tcPr>
            <w:tcW w:w="4323" w:type="dxa"/>
            <w:tcBorders/>
            <w:shd w:fill="auto" w:val="clear"/>
            <w:vAlign w:val="bottom"/>
          </w:tcPr>
          <w:p>
            <w:pPr>
              <w:pStyle w:val="TableHeading"/>
              <w:spacing w:before="0" w:after="283"/>
              <w:jc w:val="left"/>
              <w:rPr/>
            </w:pPr>
            <w:r>
              <w:rPr/>
              <w:t> </w:t>
            </w:r>
          </w:p>
        </w:tc>
        <w:tc>
          <w:tcPr>
            <w:tcW w:w="158" w:type="dxa"/>
            <w:tcBorders/>
            <w:shd w:fill="auto" w:val="clear"/>
            <w:vAlign w:val="bottom"/>
          </w:tcPr>
          <w:p>
            <w:pPr>
              <w:pStyle w:val="TableHeading"/>
              <w:suppressLineNumbers/>
              <w:spacing w:before="0" w:after="283"/>
              <w:jc w:val="center"/>
              <w:rPr/>
            </w:pPr>
            <w:r>
              <w:rPr/>
              <w:t> </w:t>
            </w:r>
          </w:p>
        </w:tc>
        <w:tc>
          <w:tcPr>
            <w:tcW w:w="983" w:type="dxa"/>
            <w:gridSpan w:val="2"/>
            <w:tcBorders/>
            <w:shd w:fill="auto" w:val="clear"/>
            <w:vAlign w:val="bottom"/>
          </w:tcPr>
          <w:p>
            <w:pPr>
              <w:pStyle w:val="TableHeading"/>
              <w:spacing w:before="0" w:after="283"/>
              <w:jc w:val="left"/>
              <w:rPr/>
            </w:pPr>
            <w:r>
              <w:rPr/>
              <w:t> </w:t>
            </w:r>
          </w:p>
        </w:tc>
        <w:tc>
          <w:tcPr>
            <w:tcW w:w="159" w:type="dxa"/>
            <w:tcBorders/>
            <w:shd w:fill="auto" w:val="clear"/>
            <w:vAlign w:val="bottom"/>
          </w:tcPr>
          <w:p>
            <w:pPr>
              <w:pStyle w:val="TableHeading"/>
              <w:suppressLineNumbers/>
              <w:spacing w:before="0" w:after="283"/>
              <w:jc w:val="center"/>
              <w:rPr/>
            </w:pPr>
            <w:r>
              <w:rPr/>
              <w:t> </w:t>
            </w:r>
          </w:p>
        </w:tc>
        <w:tc>
          <w:tcPr>
            <w:tcW w:w="3275" w:type="dxa"/>
            <w:gridSpan w:val="8"/>
            <w:tcBorders/>
            <w:shd w:fill="auto" w:val="clear"/>
            <w:vAlign w:val="bottom"/>
          </w:tcPr>
          <w:p>
            <w:pPr>
              <w:pStyle w:val="TableHeading"/>
              <w:spacing w:before="0" w:after="283"/>
              <w:jc w:val="center"/>
              <w:rPr>
                <w:rFonts w:ascii="times" w:hAnsi="times"/>
                <w:b/>
                <w:sz w:val="14"/>
              </w:rPr>
            </w:pPr>
            <w:r>
              <w:rPr>
                <w:rFonts w:ascii="times" w:hAnsi="times"/>
                <w:b/>
                <w:sz w:val="14"/>
              </w:rPr>
              <w:t>(in thousands of U.S. dollars, except per unit data)</w:t>
            </w:r>
          </w:p>
        </w:tc>
        <w:tc>
          <w:tcPr>
            <w:tcW w:w="159" w:type="dxa"/>
            <w:tcBorders/>
            <w:shd w:fill="auto" w:val="clear"/>
            <w:vAlign w:val="bottom"/>
          </w:tcPr>
          <w:p>
            <w:pPr>
              <w:pStyle w:val="TableHeading"/>
              <w:suppressLineNumbers/>
              <w:spacing w:before="0" w:after="283"/>
              <w:jc w:val="center"/>
              <w:rPr/>
            </w:pPr>
            <w:r>
              <w:rPr/>
              <w:t> </w:t>
            </w:r>
          </w:p>
        </w:tc>
        <w:tc>
          <w:tcPr>
            <w:tcW w:w="983" w:type="dxa"/>
            <w:gridSpan w:val="2"/>
            <w:tcBorders/>
            <w:shd w:fill="auto" w:val="clear"/>
            <w:vAlign w:val="bottom"/>
          </w:tcPr>
          <w:p>
            <w:pPr>
              <w:pStyle w:val="TableHeading"/>
              <w:spacing w:before="0" w:after="283"/>
              <w:jc w:val="left"/>
              <w:rPr/>
            </w:pPr>
            <w:r>
              <w:rPr/>
              <w:t> </w:t>
            </w:r>
          </w:p>
        </w:tc>
        <w:tc>
          <w:tcPr>
            <w:tcW w:w="165" w:type="dxa"/>
            <w:tcBorders/>
            <w:shd w:fill="auto" w:val="clear"/>
            <w:vAlign w:val="bottom"/>
          </w:tcPr>
          <w:p>
            <w:pPr>
              <w:pStyle w:val="TableHeading"/>
              <w:suppressLineNumbers/>
              <w:spacing w:before="0" w:after="283"/>
              <w:jc w:val="center"/>
              <w:rPr/>
            </w:pPr>
            <w:r>
              <w:rPr/>
              <w:t> </w:t>
            </w:r>
          </w:p>
        </w:tc>
      </w:tr>
      <w:tr>
        <w:trPr/>
        <w:tc>
          <w:tcPr>
            <w:tcW w:w="4323" w:type="dxa"/>
            <w:tcBorders/>
            <w:shd w:fill="auto" w:val="clear"/>
            <w:vAlign w:val="bottom"/>
          </w:tcPr>
          <w:p>
            <w:pPr>
              <w:pStyle w:val="TableContents"/>
              <w:spacing w:before="0" w:after="283"/>
              <w:ind w:left="140" w:right="0" w:hanging="140"/>
              <w:rPr>
                <w:rFonts w:ascii="times" w:hAnsi="times"/>
                <w:b/>
                <w:sz w:val="14"/>
              </w:rPr>
            </w:pPr>
            <w:r>
              <w:rPr>
                <w:rFonts w:ascii="times" w:hAnsi="times"/>
                <w:b/>
                <w:sz w:val="14"/>
              </w:rPr>
              <w:t>STATEMENT OF PROFIT OR LOSS</w:t>
            </w:r>
          </w:p>
        </w:tc>
        <w:tc>
          <w:tcPr>
            <w:tcW w:w="158"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888" w:type="dxa"/>
            <w:tcBorders/>
            <w:shd w:fill="auto" w:val="clear"/>
            <w:vAlign w:val="bottom"/>
          </w:tcPr>
          <w:p>
            <w:pPr>
              <w:pStyle w:val="TableContents"/>
              <w:spacing w:before="0" w:after="283"/>
              <w:jc w:val="right"/>
              <w:rPr/>
            </w:pPr>
            <w:r>
              <w:rPr/>
              <w:t> </w:t>
            </w:r>
          </w:p>
        </w:tc>
        <w:tc>
          <w:tcPr>
            <w:tcW w:w="159"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888" w:type="dxa"/>
            <w:tcBorders/>
            <w:shd w:fill="auto" w:val="clear"/>
            <w:vAlign w:val="bottom"/>
          </w:tcPr>
          <w:p>
            <w:pPr>
              <w:pStyle w:val="TableContents"/>
              <w:spacing w:before="0" w:after="283"/>
              <w:jc w:val="right"/>
              <w:rPr/>
            </w:pPr>
            <w:r>
              <w:rPr/>
              <w:t> </w:t>
            </w:r>
          </w:p>
        </w:tc>
        <w:tc>
          <w:tcPr>
            <w:tcW w:w="159"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888" w:type="dxa"/>
            <w:tcBorders/>
            <w:shd w:fill="auto" w:val="clear"/>
            <w:vAlign w:val="bottom"/>
          </w:tcPr>
          <w:p>
            <w:pPr>
              <w:pStyle w:val="TableContents"/>
              <w:spacing w:before="0" w:after="283"/>
              <w:jc w:val="right"/>
              <w:rPr/>
            </w:pPr>
            <w:r>
              <w:rPr/>
              <w:t> </w:t>
            </w:r>
          </w:p>
        </w:tc>
        <w:tc>
          <w:tcPr>
            <w:tcW w:w="159"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896" w:type="dxa"/>
            <w:tcBorders/>
            <w:shd w:fill="auto" w:val="clear"/>
            <w:vAlign w:val="bottom"/>
          </w:tcPr>
          <w:p>
            <w:pPr>
              <w:pStyle w:val="TableContents"/>
              <w:spacing w:before="0" w:after="283"/>
              <w:jc w:val="right"/>
              <w:rPr/>
            </w:pPr>
            <w:r>
              <w:rPr/>
              <w:t> </w:t>
            </w:r>
          </w:p>
        </w:tc>
        <w:tc>
          <w:tcPr>
            <w:tcW w:w="159"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888" w:type="dxa"/>
            <w:tcBorders/>
            <w:shd w:fill="auto" w:val="clear"/>
            <w:vAlign w:val="bottom"/>
          </w:tcPr>
          <w:p>
            <w:pPr>
              <w:pStyle w:val="TableContents"/>
              <w:spacing w:before="0" w:after="283"/>
              <w:jc w:val="right"/>
              <w:rPr/>
            </w:pPr>
            <w:r>
              <w:rPr/>
              <w:t> </w:t>
            </w:r>
          </w:p>
        </w:tc>
        <w:tc>
          <w:tcPr>
            <w:tcW w:w="165" w:type="dxa"/>
            <w:tcBorders/>
            <w:shd w:fill="auto" w:val="clear"/>
            <w:vAlign w:val="bottom"/>
          </w:tcPr>
          <w:p>
            <w:pPr>
              <w:pStyle w:val="TableContents"/>
              <w:spacing w:before="0" w:after="283"/>
              <w:rPr/>
            </w:pPr>
            <w:r>
              <w:rPr/>
              <w:t> </w:t>
            </w:r>
          </w:p>
        </w:tc>
      </w:tr>
      <w:tr>
        <w:trPr/>
        <w:tc>
          <w:tcPr>
            <w:tcW w:w="4323" w:type="dxa"/>
            <w:tcBorders/>
            <w:shd w:fill="auto" w:val="clear"/>
            <w:vAlign w:val="bottom"/>
          </w:tcPr>
          <w:p>
            <w:pPr>
              <w:pStyle w:val="TableContents"/>
              <w:spacing w:before="0" w:after="283"/>
              <w:ind w:left="140" w:right="0" w:hanging="140"/>
              <w:rPr>
                <w:rFonts w:ascii="times" w:hAnsi="times"/>
                <w:sz w:val="14"/>
              </w:rPr>
            </w:pPr>
            <w:r>
              <w:rPr>
                <w:rFonts w:ascii="times" w:hAnsi="times"/>
                <w:sz w:val="14"/>
              </w:rPr>
              <w:t>Revenues</w:t>
            </w:r>
          </w:p>
        </w:tc>
        <w:tc>
          <w:tcPr>
            <w:tcW w:w="158"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rFonts w:ascii="times" w:hAnsi="times"/>
                <w:sz w:val="14"/>
              </w:rPr>
            </w:pPr>
            <w:r>
              <w:rPr>
                <w:rFonts w:ascii="times" w:hAnsi="times"/>
                <w:sz w:val="14"/>
              </w:rPr>
              <w:t>$</w:t>
            </w:r>
          </w:p>
        </w:tc>
        <w:tc>
          <w:tcPr>
            <w:tcW w:w="888" w:type="dxa"/>
            <w:tcBorders/>
            <w:shd w:fill="auto" w:val="clear"/>
            <w:vAlign w:val="bottom"/>
          </w:tcPr>
          <w:p>
            <w:pPr>
              <w:pStyle w:val="TableContents"/>
              <w:spacing w:before="0" w:after="283"/>
              <w:jc w:val="right"/>
              <w:rPr>
                <w:rFonts w:ascii="times" w:hAnsi="times"/>
                <w:sz w:val="14"/>
              </w:rPr>
            </w:pPr>
            <w:r>
              <w:rPr>
                <w:rFonts w:ascii="times" w:hAnsi="times"/>
                <w:sz w:val="14"/>
              </w:rPr>
              <w:t>332,955</w:t>
            </w:r>
          </w:p>
        </w:tc>
        <w:tc>
          <w:tcPr>
            <w:tcW w:w="159"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rFonts w:ascii="times" w:hAnsi="times"/>
                <w:sz w:val="14"/>
              </w:rPr>
            </w:pPr>
            <w:r>
              <w:rPr>
                <w:rFonts w:ascii="times" w:hAnsi="times"/>
                <w:sz w:val="14"/>
              </w:rPr>
              <w:t>$</w:t>
            </w:r>
          </w:p>
        </w:tc>
        <w:tc>
          <w:tcPr>
            <w:tcW w:w="888" w:type="dxa"/>
            <w:tcBorders/>
            <w:shd w:fill="auto" w:val="clear"/>
            <w:vAlign w:val="bottom"/>
          </w:tcPr>
          <w:p>
            <w:pPr>
              <w:pStyle w:val="TableContents"/>
              <w:spacing w:before="0" w:after="283"/>
              <w:jc w:val="right"/>
              <w:rPr>
                <w:rFonts w:ascii="times" w:hAnsi="times"/>
                <w:sz w:val="14"/>
              </w:rPr>
            </w:pPr>
            <w:r>
              <w:rPr>
                <w:rFonts w:ascii="times" w:hAnsi="times"/>
                <w:sz w:val="14"/>
              </w:rPr>
              <w:t>401,806</w:t>
            </w:r>
          </w:p>
        </w:tc>
        <w:tc>
          <w:tcPr>
            <w:tcW w:w="159"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rFonts w:ascii="times" w:hAnsi="times"/>
                <w:sz w:val="14"/>
              </w:rPr>
            </w:pPr>
            <w:r>
              <w:rPr>
                <w:rFonts w:ascii="times" w:hAnsi="times"/>
                <w:sz w:val="14"/>
              </w:rPr>
              <w:t>$</w:t>
            </w:r>
          </w:p>
        </w:tc>
        <w:tc>
          <w:tcPr>
            <w:tcW w:w="888" w:type="dxa"/>
            <w:tcBorders/>
            <w:shd w:fill="auto" w:val="clear"/>
            <w:vAlign w:val="bottom"/>
          </w:tcPr>
          <w:p>
            <w:pPr>
              <w:pStyle w:val="TableContents"/>
              <w:spacing w:before="0" w:after="283"/>
              <w:jc w:val="right"/>
              <w:rPr>
                <w:rFonts w:ascii="times" w:hAnsi="times"/>
                <w:sz w:val="14"/>
              </w:rPr>
            </w:pPr>
            <w:r>
              <w:rPr>
                <w:rFonts w:ascii="times" w:hAnsi="times"/>
                <w:sz w:val="14"/>
              </w:rPr>
              <w:t>383,201</w:t>
            </w:r>
          </w:p>
        </w:tc>
        <w:tc>
          <w:tcPr>
            <w:tcW w:w="159"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rFonts w:ascii="times" w:hAnsi="times"/>
                <w:sz w:val="14"/>
              </w:rPr>
            </w:pPr>
            <w:r>
              <w:rPr>
                <w:rFonts w:ascii="times" w:hAnsi="times"/>
                <w:sz w:val="14"/>
              </w:rPr>
              <w:t>$</w:t>
            </w:r>
          </w:p>
        </w:tc>
        <w:tc>
          <w:tcPr>
            <w:tcW w:w="896" w:type="dxa"/>
            <w:tcBorders/>
            <w:shd w:fill="auto" w:val="clear"/>
            <w:vAlign w:val="bottom"/>
          </w:tcPr>
          <w:p>
            <w:pPr>
              <w:pStyle w:val="TableContents"/>
              <w:spacing w:before="0" w:after="283"/>
              <w:jc w:val="right"/>
              <w:rPr>
                <w:rFonts w:ascii="times" w:hAnsi="times"/>
                <w:sz w:val="14"/>
              </w:rPr>
            </w:pPr>
            <w:r>
              <w:rPr>
                <w:rFonts w:ascii="times" w:hAnsi="times"/>
                <w:sz w:val="14"/>
              </w:rPr>
              <w:t>378,687</w:t>
            </w:r>
          </w:p>
        </w:tc>
        <w:tc>
          <w:tcPr>
            <w:tcW w:w="159"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rFonts w:ascii="times" w:hAnsi="times"/>
                <w:sz w:val="14"/>
              </w:rPr>
            </w:pPr>
            <w:r>
              <w:rPr>
                <w:rFonts w:ascii="times" w:hAnsi="times"/>
                <w:sz w:val="14"/>
              </w:rPr>
              <w:t>$</w:t>
            </w:r>
          </w:p>
        </w:tc>
        <w:tc>
          <w:tcPr>
            <w:tcW w:w="888" w:type="dxa"/>
            <w:tcBorders/>
            <w:shd w:fill="auto" w:val="clear"/>
            <w:vAlign w:val="bottom"/>
          </w:tcPr>
          <w:p>
            <w:pPr>
              <w:pStyle w:val="TableContents"/>
              <w:spacing w:before="0" w:after="283"/>
              <w:jc w:val="right"/>
              <w:rPr>
                <w:rFonts w:ascii="times" w:hAnsi="times"/>
                <w:sz w:val="14"/>
              </w:rPr>
            </w:pPr>
            <w:r>
              <w:rPr>
                <w:rFonts w:ascii="times" w:hAnsi="times"/>
                <w:sz w:val="14"/>
              </w:rPr>
              <w:t>333,662</w:t>
            </w:r>
          </w:p>
        </w:tc>
        <w:tc>
          <w:tcPr>
            <w:tcW w:w="165" w:type="dxa"/>
            <w:tcBorders/>
            <w:shd w:fill="auto" w:val="clear"/>
            <w:vAlign w:val="bottom"/>
          </w:tcPr>
          <w:p>
            <w:pPr>
              <w:pStyle w:val="TableContents"/>
              <w:spacing w:before="0" w:after="283"/>
              <w:rPr/>
            </w:pPr>
            <w:r>
              <w:rPr/>
              <w:t> </w:t>
            </w:r>
          </w:p>
        </w:tc>
      </w:tr>
      <w:tr>
        <w:trPr/>
        <w:tc>
          <w:tcPr>
            <w:tcW w:w="4323" w:type="dxa"/>
            <w:tcBorders/>
            <w:shd w:fill="auto" w:val="clear"/>
            <w:vAlign w:val="bottom"/>
          </w:tcPr>
          <w:p>
            <w:pPr>
              <w:pStyle w:val="TableContents"/>
              <w:spacing w:before="0" w:after="283"/>
              <w:ind w:left="140" w:right="0" w:hanging="140"/>
              <w:rPr>
                <w:rFonts w:ascii="times" w:hAnsi="times"/>
                <w:sz w:val="14"/>
              </w:rPr>
            </w:pPr>
            <w:r>
              <w:rPr>
                <w:rFonts w:ascii="times" w:hAnsi="times"/>
                <w:sz w:val="14"/>
              </w:rPr>
              <w:t>Net pool allocation</w:t>
            </w:r>
          </w:p>
        </w:tc>
        <w:tc>
          <w:tcPr>
            <w:tcW w:w="158"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888" w:type="dxa"/>
            <w:tcBorders/>
            <w:shd w:fill="auto" w:val="clear"/>
            <w:vAlign w:val="bottom"/>
          </w:tcPr>
          <w:p>
            <w:pPr>
              <w:pStyle w:val="TableContents"/>
              <w:spacing w:before="0" w:after="283"/>
              <w:jc w:val="right"/>
              <w:rPr>
                <w:rFonts w:ascii="times" w:hAnsi="times"/>
                <w:sz w:val="14"/>
              </w:rPr>
            </w:pPr>
            <w:r>
              <w:rPr>
                <w:rFonts w:ascii="times" w:hAnsi="times"/>
                <w:sz w:val="14"/>
              </w:rPr>
              <w:t></w:t>
            </w:r>
          </w:p>
        </w:tc>
        <w:tc>
          <w:tcPr>
            <w:tcW w:w="159"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888" w:type="dxa"/>
            <w:tcBorders/>
            <w:shd w:fill="auto" w:val="clear"/>
            <w:vAlign w:val="bottom"/>
          </w:tcPr>
          <w:p>
            <w:pPr>
              <w:pStyle w:val="TableContents"/>
              <w:spacing w:before="0" w:after="283"/>
              <w:jc w:val="right"/>
              <w:rPr>
                <w:rFonts w:ascii="times" w:hAnsi="times"/>
                <w:sz w:val="14"/>
              </w:rPr>
            </w:pPr>
            <w:r>
              <w:rPr>
                <w:rFonts w:ascii="times" w:hAnsi="times"/>
                <w:sz w:val="14"/>
              </w:rPr>
              <w:t></w:t>
            </w:r>
          </w:p>
        </w:tc>
        <w:tc>
          <w:tcPr>
            <w:tcW w:w="159"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888" w:type="dxa"/>
            <w:tcBorders/>
            <w:shd w:fill="auto" w:val="clear"/>
            <w:vAlign w:val="bottom"/>
          </w:tcPr>
          <w:p>
            <w:pPr>
              <w:pStyle w:val="TableContents"/>
              <w:spacing w:before="0" w:after="283"/>
              <w:jc w:val="right"/>
              <w:rPr>
                <w:rFonts w:ascii="times" w:hAnsi="times"/>
                <w:sz w:val="14"/>
              </w:rPr>
            </w:pPr>
            <w:r>
              <w:rPr>
                <w:rFonts w:ascii="times" w:hAnsi="times"/>
                <w:sz w:val="14"/>
              </w:rPr>
              <w:t>3,700</w:t>
            </w:r>
          </w:p>
        </w:tc>
        <w:tc>
          <w:tcPr>
            <w:tcW w:w="159"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896" w:type="dxa"/>
            <w:tcBorders/>
            <w:shd w:fill="auto" w:val="clear"/>
            <w:vAlign w:val="bottom"/>
          </w:tcPr>
          <w:p>
            <w:pPr>
              <w:pStyle w:val="TableContents"/>
              <w:spacing w:before="0" w:after="283"/>
              <w:jc w:val="right"/>
              <w:rPr>
                <w:rFonts w:ascii="times" w:hAnsi="times"/>
                <w:sz w:val="14"/>
              </w:rPr>
            </w:pPr>
            <w:r>
              <w:rPr>
                <w:rFonts w:ascii="times" w:hAnsi="times"/>
                <w:sz w:val="14"/>
              </w:rPr>
              <w:t>1,058</w:t>
            </w:r>
          </w:p>
        </w:tc>
        <w:tc>
          <w:tcPr>
            <w:tcW w:w="159"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888" w:type="dxa"/>
            <w:tcBorders/>
            <w:shd w:fill="auto" w:val="clear"/>
            <w:vAlign w:val="bottom"/>
          </w:tcPr>
          <w:p>
            <w:pPr>
              <w:pStyle w:val="TableContents"/>
              <w:spacing w:before="0" w:after="283"/>
              <w:jc w:val="right"/>
              <w:rPr>
                <w:rFonts w:ascii="times" w:hAnsi="times"/>
                <w:sz w:val="14"/>
              </w:rPr>
            </w:pPr>
            <w:r>
              <w:rPr>
                <w:rFonts w:ascii="times" w:hAnsi="times"/>
                <w:sz w:val="14"/>
              </w:rPr>
              <w:t></w:t>
            </w:r>
          </w:p>
        </w:tc>
        <w:tc>
          <w:tcPr>
            <w:tcW w:w="165" w:type="dxa"/>
            <w:tcBorders/>
            <w:shd w:fill="auto" w:val="clear"/>
            <w:vAlign w:val="bottom"/>
          </w:tcPr>
          <w:p>
            <w:pPr>
              <w:pStyle w:val="TableContents"/>
              <w:spacing w:before="0" w:after="283"/>
              <w:rPr/>
            </w:pPr>
            <w:r>
              <w:rPr/>
              <w:t> </w:t>
            </w:r>
          </w:p>
        </w:tc>
      </w:tr>
      <w:tr>
        <w:trPr/>
        <w:tc>
          <w:tcPr>
            <w:tcW w:w="4323" w:type="dxa"/>
            <w:tcBorders/>
            <w:shd w:fill="auto" w:val="clear"/>
            <w:vAlign w:val="bottom"/>
          </w:tcPr>
          <w:p>
            <w:pPr>
              <w:pStyle w:val="TableContents"/>
              <w:spacing w:before="0" w:after="283"/>
              <w:ind w:left="140" w:right="0" w:hanging="140"/>
              <w:rPr>
                <w:rFonts w:ascii="times" w:hAnsi="times"/>
                <w:sz w:val="14"/>
              </w:rPr>
            </w:pPr>
            <w:r>
              <w:rPr>
                <w:rFonts w:ascii="times" w:hAnsi="times"/>
                <w:sz w:val="14"/>
              </w:rPr>
              <w:t>Voyage expenses and commissions</w:t>
            </w:r>
          </w:p>
        </w:tc>
        <w:tc>
          <w:tcPr>
            <w:tcW w:w="158"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888" w:type="dxa"/>
            <w:tcBorders/>
            <w:shd w:fill="auto" w:val="clear"/>
            <w:vAlign w:val="bottom"/>
          </w:tcPr>
          <w:p>
            <w:pPr>
              <w:pStyle w:val="TableContents"/>
              <w:spacing w:before="0" w:after="283"/>
              <w:jc w:val="right"/>
              <w:rPr>
                <w:rFonts w:ascii="times" w:hAnsi="times"/>
                <w:sz w:val="14"/>
              </w:rPr>
            </w:pPr>
            <w:r>
              <w:rPr>
                <w:rFonts w:ascii="times" w:hAnsi="times"/>
                <w:sz w:val="14"/>
              </w:rPr>
              <w:t>(4,557</w:t>
            </w:r>
          </w:p>
        </w:tc>
        <w:tc>
          <w:tcPr>
            <w:tcW w:w="159" w:type="dxa"/>
            <w:tcBorders/>
            <w:shd w:fill="auto" w:val="clear"/>
            <w:vAlign w:val="bottom"/>
          </w:tcPr>
          <w:p>
            <w:pPr>
              <w:pStyle w:val="TableContents"/>
              <w:spacing w:before="0" w:after="283"/>
              <w:rPr>
                <w:rFonts w:ascii="times" w:hAnsi="times"/>
                <w:sz w:val="14"/>
              </w:rPr>
            </w:pPr>
            <w:r>
              <w:rPr>
                <w:rFonts w:ascii="times" w:hAnsi="times"/>
                <w:sz w:val="14"/>
              </w:rPr>
              <w:t>)</w:t>
            </w:r>
          </w:p>
        </w:tc>
        <w:tc>
          <w:tcPr>
            <w:tcW w:w="95" w:type="dxa"/>
            <w:tcBorders/>
            <w:shd w:fill="auto" w:val="clear"/>
            <w:vAlign w:val="bottom"/>
          </w:tcPr>
          <w:p>
            <w:pPr>
              <w:pStyle w:val="TableContents"/>
              <w:spacing w:before="0" w:after="283"/>
              <w:rPr/>
            </w:pPr>
            <w:r>
              <w:rPr/>
              <w:t> </w:t>
            </w:r>
          </w:p>
        </w:tc>
        <w:tc>
          <w:tcPr>
            <w:tcW w:w="888" w:type="dxa"/>
            <w:tcBorders/>
            <w:shd w:fill="auto" w:val="clear"/>
            <w:vAlign w:val="bottom"/>
          </w:tcPr>
          <w:p>
            <w:pPr>
              <w:pStyle w:val="TableContents"/>
              <w:spacing w:before="0" w:after="283"/>
              <w:jc w:val="right"/>
              <w:rPr>
                <w:rFonts w:ascii="times" w:hAnsi="times"/>
                <w:sz w:val="14"/>
              </w:rPr>
            </w:pPr>
            <w:r>
              <w:rPr>
                <w:rFonts w:ascii="times" w:hAnsi="times"/>
                <w:sz w:val="14"/>
              </w:rPr>
              <w:t>(5,033</w:t>
            </w:r>
          </w:p>
        </w:tc>
        <w:tc>
          <w:tcPr>
            <w:tcW w:w="159" w:type="dxa"/>
            <w:tcBorders/>
            <w:shd w:fill="auto" w:val="clear"/>
            <w:vAlign w:val="bottom"/>
          </w:tcPr>
          <w:p>
            <w:pPr>
              <w:pStyle w:val="TableContents"/>
              <w:spacing w:before="0" w:after="283"/>
              <w:rPr>
                <w:rFonts w:ascii="times" w:hAnsi="times"/>
                <w:sz w:val="14"/>
              </w:rPr>
            </w:pPr>
            <w:r>
              <w:rPr>
                <w:rFonts w:ascii="times" w:hAnsi="times"/>
                <w:sz w:val="14"/>
              </w:rPr>
              <w:t>)</w:t>
            </w:r>
          </w:p>
        </w:tc>
        <w:tc>
          <w:tcPr>
            <w:tcW w:w="95" w:type="dxa"/>
            <w:tcBorders/>
            <w:shd w:fill="auto" w:val="clear"/>
            <w:vAlign w:val="bottom"/>
          </w:tcPr>
          <w:p>
            <w:pPr>
              <w:pStyle w:val="TableContents"/>
              <w:spacing w:before="0" w:after="283"/>
              <w:rPr/>
            </w:pPr>
            <w:r>
              <w:rPr/>
              <w:t> </w:t>
            </w:r>
          </w:p>
        </w:tc>
        <w:tc>
          <w:tcPr>
            <w:tcW w:w="888" w:type="dxa"/>
            <w:tcBorders/>
            <w:shd w:fill="auto" w:val="clear"/>
            <w:vAlign w:val="bottom"/>
          </w:tcPr>
          <w:p>
            <w:pPr>
              <w:pStyle w:val="TableContents"/>
              <w:spacing w:before="0" w:after="283"/>
              <w:jc w:val="right"/>
              <w:rPr>
                <w:rFonts w:ascii="times" w:hAnsi="times"/>
                <w:sz w:val="14"/>
              </w:rPr>
            </w:pPr>
            <w:r>
              <w:rPr>
                <w:rFonts w:ascii="times" w:hAnsi="times"/>
                <w:sz w:val="14"/>
              </w:rPr>
              <w:t>(7,506</w:t>
            </w:r>
          </w:p>
        </w:tc>
        <w:tc>
          <w:tcPr>
            <w:tcW w:w="159" w:type="dxa"/>
            <w:tcBorders/>
            <w:shd w:fill="auto" w:val="clear"/>
            <w:vAlign w:val="bottom"/>
          </w:tcPr>
          <w:p>
            <w:pPr>
              <w:pStyle w:val="TableContents"/>
              <w:spacing w:before="0" w:after="283"/>
              <w:rPr>
                <w:rFonts w:ascii="times" w:hAnsi="times"/>
                <w:sz w:val="14"/>
              </w:rPr>
            </w:pPr>
            <w:r>
              <w:rPr>
                <w:rFonts w:ascii="times" w:hAnsi="times"/>
                <w:sz w:val="14"/>
              </w:rPr>
              <w:t>)</w:t>
            </w:r>
          </w:p>
        </w:tc>
        <w:tc>
          <w:tcPr>
            <w:tcW w:w="95" w:type="dxa"/>
            <w:tcBorders/>
            <w:shd w:fill="auto" w:val="clear"/>
            <w:vAlign w:val="bottom"/>
          </w:tcPr>
          <w:p>
            <w:pPr>
              <w:pStyle w:val="TableContents"/>
              <w:spacing w:before="0" w:after="283"/>
              <w:rPr/>
            </w:pPr>
            <w:r>
              <w:rPr/>
              <w:t> </w:t>
            </w:r>
          </w:p>
        </w:tc>
        <w:tc>
          <w:tcPr>
            <w:tcW w:w="896" w:type="dxa"/>
            <w:tcBorders/>
            <w:shd w:fill="auto" w:val="clear"/>
            <w:vAlign w:val="bottom"/>
          </w:tcPr>
          <w:p>
            <w:pPr>
              <w:pStyle w:val="TableContents"/>
              <w:spacing w:before="0" w:after="283"/>
              <w:jc w:val="right"/>
              <w:rPr>
                <w:rFonts w:ascii="times" w:hAnsi="times"/>
                <w:sz w:val="14"/>
              </w:rPr>
            </w:pPr>
            <w:r>
              <w:rPr>
                <w:rFonts w:ascii="times" w:hAnsi="times"/>
                <w:sz w:val="14"/>
              </w:rPr>
              <w:t>(7,308</w:t>
            </w:r>
          </w:p>
        </w:tc>
        <w:tc>
          <w:tcPr>
            <w:tcW w:w="159" w:type="dxa"/>
            <w:tcBorders/>
            <w:shd w:fill="auto" w:val="clear"/>
            <w:vAlign w:val="bottom"/>
          </w:tcPr>
          <w:p>
            <w:pPr>
              <w:pStyle w:val="TableContents"/>
              <w:spacing w:before="0" w:after="283"/>
              <w:rPr>
                <w:rFonts w:ascii="times" w:hAnsi="times"/>
                <w:sz w:val="14"/>
              </w:rPr>
            </w:pPr>
            <w:r>
              <w:rPr>
                <w:rFonts w:ascii="times" w:hAnsi="times"/>
                <w:sz w:val="14"/>
              </w:rPr>
              <w:t>)</w:t>
            </w:r>
          </w:p>
        </w:tc>
        <w:tc>
          <w:tcPr>
            <w:tcW w:w="95" w:type="dxa"/>
            <w:tcBorders/>
            <w:shd w:fill="auto" w:val="clear"/>
            <w:vAlign w:val="bottom"/>
          </w:tcPr>
          <w:p>
            <w:pPr>
              <w:pStyle w:val="TableContents"/>
              <w:spacing w:before="0" w:after="283"/>
              <w:rPr/>
            </w:pPr>
            <w:r>
              <w:rPr/>
              <w:t> </w:t>
            </w:r>
          </w:p>
        </w:tc>
        <w:tc>
          <w:tcPr>
            <w:tcW w:w="888" w:type="dxa"/>
            <w:tcBorders/>
            <w:shd w:fill="auto" w:val="clear"/>
            <w:vAlign w:val="bottom"/>
          </w:tcPr>
          <w:p>
            <w:pPr>
              <w:pStyle w:val="TableContents"/>
              <w:spacing w:before="0" w:after="283"/>
              <w:jc w:val="right"/>
              <w:rPr>
                <w:rFonts w:ascii="times" w:hAnsi="times"/>
                <w:sz w:val="14"/>
              </w:rPr>
            </w:pPr>
            <w:r>
              <w:rPr>
                <w:rFonts w:ascii="times" w:hAnsi="times"/>
                <w:sz w:val="14"/>
              </w:rPr>
              <w:t>(10,443</w:t>
            </w:r>
          </w:p>
        </w:tc>
        <w:tc>
          <w:tcPr>
            <w:tcW w:w="165" w:type="dxa"/>
            <w:tcBorders/>
            <w:shd w:fill="auto" w:val="clear"/>
            <w:vAlign w:val="bottom"/>
          </w:tcPr>
          <w:p>
            <w:pPr>
              <w:pStyle w:val="TableContents"/>
              <w:spacing w:before="0" w:after="283"/>
              <w:rPr>
                <w:rFonts w:ascii="times" w:hAnsi="times"/>
                <w:sz w:val="14"/>
              </w:rPr>
            </w:pPr>
            <w:r>
              <w:rPr>
                <w:rFonts w:ascii="times" w:hAnsi="times"/>
                <w:sz w:val="14"/>
              </w:rPr>
              <w:t>)</w:t>
            </w:r>
          </w:p>
        </w:tc>
      </w:tr>
      <w:tr>
        <w:trPr/>
        <w:tc>
          <w:tcPr>
            <w:tcW w:w="4323" w:type="dxa"/>
            <w:tcBorders/>
            <w:shd w:fill="auto" w:val="clear"/>
            <w:vAlign w:val="bottom"/>
          </w:tcPr>
          <w:p>
            <w:pPr>
              <w:pStyle w:val="TableContents"/>
              <w:spacing w:before="0" w:after="283"/>
              <w:ind w:left="140" w:right="0" w:hanging="140"/>
              <w:rPr>
                <w:rFonts w:ascii="times" w:hAnsi="times"/>
                <w:sz w:val="14"/>
              </w:rPr>
            </w:pPr>
            <w:r>
              <w:rPr>
                <w:rFonts w:ascii="times" w:hAnsi="times"/>
                <w:sz w:val="14"/>
              </w:rPr>
              <w:t>Vessel operating costs</w:t>
            </w:r>
          </w:p>
        </w:tc>
        <w:tc>
          <w:tcPr>
            <w:tcW w:w="158"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888" w:type="dxa"/>
            <w:tcBorders/>
            <w:shd w:fill="auto" w:val="clear"/>
            <w:vAlign w:val="bottom"/>
          </w:tcPr>
          <w:p>
            <w:pPr>
              <w:pStyle w:val="TableContents"/>
              <w:spacing w:before="0" w:after="283"/>
              <w:jc w:val="right"/>
              <w:rPr>
                <w:rFonts w:ascii="times" w:hAnsi="times"/>
                <w:sz w:val="14"/>
              </w:rPr>
            </w:pPr>
            <w:r>
              <w:rPr>
                <w:rFonts w:ascii="times" w:hAnsi="times"/>
                <w:sz w:val="14"/>
              </w:rPr>
              <w:t>(65,686</w:t>
            </w:r>
          </w:p>
        </w:tc>
        <w:tc>
          <w:tcPr>
            <w:tcW w:w="159" w:type="dxa"/>
            <w:tcBorders/>
            <w:shd w:fill="auto" w:val="clear"/>
            <w:vAlign w:val="bottom"/>
          </w:tcPr>
          <w:p>
            <w:pPr>
              <w:pStyle w:val="TableContents"/>
              <w:spacing w:before="0" w:after="283"/>
              <w:rPr>
                <w:rFonts w:ascii="times" w:hAnsi="times"/>
                <w:sz w:val="14"/>
              </w:rPr>
            </w:pPr>
            <w:r>
              <w:rPr>
                <w:rFonts w:ascii="times" w:hAnsi="times"/>
                <w:sz w:val="14"/>
              </w:rPr>
              <w:t>)</w:t>
            </w:r>
          </w:p>
        </w:tc>
        <w:tc>
          <w:tcPr>
            <w:tcW w:w="95" w:type="dxa"/>
            <w:tcBorders/>
            <w:shd w:fill="auto" w:val="clear"/>
            <w:vAlign w:val="bottom"/>
          </w:tcPr>
          <w:p>
            <w:pPr>
              <w:pStyle w:val="TableContents"/>
              <w:spacing w:before="0" w:after="283"/>
              <w:rPr/>
            </w:pPr>
            <w:r>
              <w:rPr/>
              <w:t> </w:t>
            </w:r>
          </w:p>
        </w:tc>
        <w:tc>
          <w:tcPr>
            <w:tcW w:w="888" w:type="dxa"/>
            <w:tcBorders/>
            <w:shd w:fill="auto" w:val="clear"/>
            <w:vAlign w:val="bottom"/>
          </w:tcPr>
          <w:p>
            <w:pPr>
              <w:pStyle w:val="TableContents"/>
              <w:spacing w:before="0" w:after="283"/>
              <w:jc w:val="right"/>
              <w:rPr>
                <w:rFonts w:ascii="times" w:hAnsi="times"/>
                <w:sz w:val="14"/>
              </w:rPr>
            </w:pPr>
            <w:r>
              <w:rPr>
                <w:rFonts w:ascii="times" w:hAnsi="times"/>
                <w:sz w:val="14"/>
              </w:rPr>
              <w:t>(76,272</w:t>
            </w:r>
          </w:p>
        </w:tc>
        <w:tc>
          <w:tcPr>
            <w:tcW w:w="159" w:type="dxa"/>
            <w:tcBorders/>
            <w:shd w:fill="auto" w:val="clear"/>
            <w:vAlign w:val="bottom"/>
          </w:tcPr>
          <w:p>
            <w:pPr>
              <w:pStyle w:val="TableContents"/>
              <w:spacing w:before="0" w:after="283"/>
              <w:rPr>
                <w:rFonts w:ascii="times" w:hAnsi="times"/>
                <w:sz w:val="14"/>
              </w:rPr>
            </w:pPr>
            <w:r>
              <w:rPr>
                <w:rFonts w:ascii="times" w:hAnsi="times"/>
                <w:sz w:val="14"/>
              </w:rPr>
              <w:t>)</w:t>
            </w:r>
          </w:p>
        </w:tc>
        <w:tc>
          <w:tcPr>
            <w:tcW w:w="95" w:type="dxa"/>
            <w:tcBorders/>
            <w:shd w:fill="auto" w:val="clear"/>
            <w:vAlign w:val="bottom"/>
          </w:tcPr>
          <w:p>
            <w:pPr>
              <w:pStyle w:val="TableContents"/>
              <w:spacing w:before="0" w:after="283"/>
              <w:rPr/>
            </w:pPr>
            <w:r>
              <w:rPr/>
              <w:t> </w:t>
            </w:r>
          </w:p>
        </w:tc>
        <w:tc>
          <w:tcPr>
            <w:tcW w:w="888" w:type="dxa"/>
            <w:tcBorders/>
            <w:shd w:fill="auto" w:val="clear"/>
            <w:vAlign w:val="bottom"/>
          </w:tcPr>
          <w:p>
            <w:pPr>
              <w:pStyle w:val="TableContents"/>
              <w:spacing w:before="0" w:after="283"/>
              <w:jc w:val="right"/>
              <w:rPr>
                <w:rFonts w:ascii="times" w:hAnsi="times"/>
                <w:sz w:val="14"/>
              </w:rPr>
            </w:pPr>
            <w:r>
              <w:rPr>
                <w:rFonts w:ascii="times" w:hAnsi="times"/>
                <w:sz w:val="14"/>
              </w:rPr>
              <w:t>(73,697</w:t>
            </w:r>
          </w:p>
        </w:tc>
        <w:tc>
          <w:tcPr>
            <w:tcW w:w="159" w:type="dxa"/>
            <w:tcBorders/>
            <w:shd w:fill="auto" w:val="clear"/>
            <w:vAlign w:val="bottom"/>
          </w:tcPr>
          <w:p>
            <w:pPr>
              <w:pStyle w:val="TableContents"/>
              <w:spacing w:before="0" w:after="283"/>
              <w:rPr>
                <w:rFonts w:ascii="times" w:hAnsi="times"/>
                <w:sz w:val="14"/>
              </w:rPr>
            </w:pPr>
            <w:r>
              <w:rPr>
                <w:rFonts w:ascii="times" w:hAnsi="times"/>
                <w:sz w:val="14"/>
              </w:rPr>
              <w:t>)</w:t>
            </w:r>
          </w:p>
        </w:tc>
        <w:tc>
          <w:tcPr>
            <w:tcW w:w="95" w:type="dxa"/>
            <w:tcBorders/>
            <w:shd w:fill="auto" w:val="clear"/>
            <w:vAlign w:val="bottom"/>
          </w:tcPr>
          <w:p>
            <w:pPr>
              <w:pStyle w:val="TableContents"/>
              <w:spacing w:before="0" w:after="283"/>
              <w:rPr/>
            </w:pPr>
            <w:r>
              <w:rPr/>
              <w:t> </w:t>
            </w:r>
          </w:p>
        </w:tc>
        <w:tc>
          <w:tcPr>
            <w:tcW w:w="896" w:type="dxa"/>
            <w:tcBorders/>
            <w:shd w:fill="auto" w:val="clear"/>
            <w:vAlign w:val="bottom"/>
          </w:tcPr>
          <w:p>
            <w:pPr>
              <w:pStyle w:val="TableContents"/>
              <w:spacing w:before="0" w:after="283"/>
              <w:jc w:val="right"/>
              <w:rPr>
                <w:rFonts w:ascii="times" w:hAnsi="times"/>
                <w:sz w:val="14"/>
              </w:rPr>
            </w:pPr>
            <w:r>
              <w:rPr>
                <w:rFonts w:ascii="times" w:hAnsi="times"/>
                <w:sz w:val="14"/>
              </w:rPr>
              <w:t>(76,742</w:t>
            </w:r>
          </w:p>
        </w:tc>
        <w:tc>
          <w:tcPr>
            <w:tcW w:w="159" w:type="dxa"/>
            <w:tcBorders/>
            <w:shd w:fill="auto" w:val="clear"/>
            <w:vAlign w:val="bottom"/>
          </w:tcPr>
          <w:p>
            <w:pPr>
              <w:pStyle w:val="TableContents"/>
              <w:spacing w:before="0" w:after="283"/>
              <w:rPr>
                <w:rFonts w:ascii="times" w:hAnsi="times"/>
                <w:sz w:val="14"/>
              </w:rPr>
            </w:pPr>
            <w:r>
              <w:rPr>
                <w:rFonts w:ascii="times" w:hAnsi="times"/>
                <w:sz w:val="14"/>
              </w:rPr>
              <w:t>)</w:t>
            </w:r>
          </w:p>
        </w:tc>
        <w:tc>
          <w:tcPr>
            <w:tcW w:w="95" w:type="dxa"/>
            <w:tcBorders/>
            <w:shd w:fill="auto" w:val="clear"/>
            <w:vAlign w:val="bottom"/>
          </w:tcPr>
          <w:p>
            <w:pPr>
              <w:pStyle w:val="TableContents"/>
              <w:spacing w:before="0" w:after="283"/>
              <w:rPr/>
            </w:pPr>
            <w:r>
              <w:rPr/>
              <w:t> </w:t>
            </w:r>
          </w:p>
        </w:tc>
        <w:tc>
          <w:tcPr>
            <w:tcW w:w="888" w:type="dxa"/>
            <w:tcBorders/>
            <w:shd w:fill="auto" w:val="clear"/>
            <w:vAlign w:val="bottom"/>
          </w:tcPr>
          <w:p>
            <w:pPr>
              <w:pStyle w:val="TableContents"/>
              <w:spacing w:before="0" w:after="283"/>
              <w:jc w:val="right"/>
              <w:rPr>
                <w:rFonts w:ascii="times" w:hAnsi="times"/>
                <w:sz w:val="14"/>
              </w:rPr>
            </w:pPr>
            <w:r>
              <w:rPr>
                <w:rFonts w:ascii="times" w:hAnsi="times"/>
                <w:sz w:val="14"/>
              </w:rPr>
              <w:t>(74,798</w:t>
            </w:r>
          </w:p>
        </w:tc>
        <w:tc>
          <w:tcPr>
            <w:tcW w:w="165" w:type="dxa"/>
            <w:tcBorders/>
            <w:shd w:fill="auto" w:val="clear"/>
            <w:vAlign w:val="bottom"/>
          </w:tcPr>
          <w:p>
            <w:pPr>
              <w:pStyle w:val="TableContents"/>
              <w:spacing w:before="0" w:after="283"/>
              <w:rPr>
                <w:rFonts w:ascii="times" w:hAnsi="times"/>
                <w:sz w:val="14"/>
              </w:rPr>
            </w:pPr>
            <w:r>
              <w:rPr>
                <w:rFonts w:ascii="times" w:hAnsi="times"/>
                <w:sz w:val="14"/>
              </w:rPr>
              <w:t>)</w:t>
            </w:r>
          </w:p>
        </w:tc>
      </w:tr>
      <w:tr>
        <w:trPr/>
        <w:tc>
          <w:tcPr>
            <w:tcW w:w="4323" w:type="dxa"/>
            <w:tcBorders/>
            <w:shd w:fill="auto" w:val="clear"/>
            <w:vAlign w:val="bottom"/>
          </w:tcPr>
          <w:p>
            <w:pPr>
              <w:pStyle w:val="TableContents"/>
              <w:spacing w:before="0" w:after="283"/>
              <w:ind w:left="140" w:right="0" w:hanging="140"/>
              <w:rPr>
                <w:rFonts w:ascii="times" w:hAnsi="times"/>
                <w:sz w:val="14"/>
              </w:rPr>
            </w:pPr>
            <w:r>
              <w:rPr>
                <w:rFonts w:ascii="times" w:hAnsi="times"/>
                <w:sz w:val="14"/>
              </w:rPr>
              <w:t>Depreciation</w:t>
            </w:r>
          </w:p>
        </w:tc>
        <w:tc>
          <w:tcPr>
            <w:tcW w:w="158"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888" w:type="dxa"/>
            <w:tcBorders/>
            <w:shd w:fill="auto" w:val="clear"/>
            <w:vAlign w:val="bottom"/>
          </w:tcPr>
          <w:p>
            <w:pPr>
              <w:pStyle w:val="TableContents"/>
              <w:spacing w:before="0" w:after="283"/>
              <w:jc w:val="right"/>
              <w:rPr>
                <w:rFonts w:ascii="times" w:hAnsi="times"/>
                <w:sz w:val="14"/>
              </w:rPr>
            </w:pPr>
            <w:r>
              <w:rPr>
                <w:rFonts w:ascii="times" w:hAnsi="times"/>
                <w:sz w:val="14"/>
              </w:rPr>
              <w:t>(73,297</w:t>
            </w:r>
          </w:p>
        </w:tc>
        <w:tc>
          <w:tcPr>
            <w:tcW w:w="159" w:type="dxa"/>
            <w:tcBorders/>
            <w:shd w:fill="auto" w:val="clear"/>
            <w:vAlign w:val="bottom"/>
          </w:tcPr>
          <w:p>
            <w:pPr>
              <w:pStyle w:val="TableContents"/>
              <w:spacing w:before="0" w:after="283"/>
              <w:rPr>
                <w:rFonts w:ascii="times" w:hAnsi="times"/>
                <w:sz w:val="14"/>
              </w:rPr>
            </w:pPr>
            <w:r>
              <w:rPr>
                <w:rFonts w:ascii="times" w:hAnsi="times"/>
                <w:sz w:val="14"/>
              </w:rPr>
              <w:t>)</w:t>
            </w:r>
          </w:p>
        </w:tc>
        <w:tc>
          <w:tcPr>
            <w:tcW w:w="95" w:type="dxa"/>
            <w:tcBorders/>
            <w:shd w:fill="auto" w:val="clear"/>
            <w:vAlign w:val="bottom"/>
          </w:tcPr>
          <w:p>
            <w:pPr>
              <w:pStyle w:val="TableContents"/>
              <w:spacing w:before="0" w:after="283"/>
              <w:rPr/>
            </w:pPr>
            <w:r>
              <w:rPr/>
              <w:t> </w:t>
            </w:r>
          </w:p>
        </w:tc>
        <w:tc>
          <w:tcPr>
            <w:tcW w:w="888" w:type="dxa"/>
            <w:tcBorders/>
            <w:shd w:fill="auto" w:val="clear"/>
            <w:vAlign w:val="bottom"/>
          </w:tcPr>
          <w:p>
            <w:pPr>
              <w:pStyle w:val="TableContents"/>
              <w:spacing w:before="0" w:after="283"/>
              <w:jc w:val="right"/>
              <w:rPr>
                <w:rFonts w:ascii="times" w:hAnsi="times"/>
                <w:sz w:val="14"/>
              </w:rPr>
            </w:pPr>
            <w:r>
              <w:rPr>
                <w:rFonts w:ascii="times" w:hAnsi="times"/>
                <w:sz w:val="14"/>
              </w:rPr>
              <w:t>(87,048</w:t>
            </w:r>
          </w:p>
        </w:tc>
        <w:tc>
          <w:tcPr>
            <w:tcW w:w="159" w:type="dxa"/>
            <w:tcBorders/>
            <w:shd w:fill="auto" w:val="clear"/>
            <w:vAlign w:val="bottom"/>
          </w:tcPr>
          <w:p>
            <w:pPr>
              <w:pStyle w:val="TableContents"/>
              <w:spacing w:before="0" w:after="283"/>
              <w:rPr>
                <w:rFonts w:ascii="times" w:hAnsi="times"/>
                <w:sz w:val="14"/>
              </w:rPr>
            </w:pPr>
            <w:r>
              <w:rPr>
                <w:rFonts w:ascii="times" w:hAnsi="times"/>
                <w:sz w:val="14"/>
              </w:rPr>
              <w:t>)</w:t>
            </w:r>
          </w:p>
        </w:tc>
        <w:tc>
          <w:tcPr>
            <w:tcW w:w="95" w:type="dxa"/>
            <w:tcBorders/>
            <w:shd w:fill="auto" w:val="clear"/>
            <w:vAlign w:val="bottom"/>
          </w:tcPr>
          <w:p>
            <w:pPr>
              <w:pStyle w:val="TableContents"/>
              <w:spacing w:before="0" w:after="283"/>
              <w:rPr/>
            </w:pPr>
            <w:r>
              <w:rPr/>
              <w:t> </w:t>
            </w:r>
          </w:p>
        </w:tc>
        <w:tc>
          <w:tcPr>
            <w:tcW w:w="888" w:type="dxa"/>
            <w:tcBorders/>
            <w:shd w:fill="auto" w:val="clear"/>
            <w:vAlign w:val="bottom"/>
          </w:tcPr>
          <w:p>
            <w:pPr>
              <w:pStyle w:val="TableContents"/>
              <w:spacing w:before="0" w:after="283"/>
              <w:jc w:val="right"/>
              <w:rPr>
                <w:rFonts w:ascii="times" w:hAnsi="times"/>
                <w:sz w:val="14"/>
              </w:rPr>
            </w:pPr>
            <w:r>
              <w:rPr>
                <w:rFonts w:ascii="times" w:hAnsi="times"/>
                <w:sz w:val="14"/>
              </w:rPr>
              <w:t>(87,584</w:t>
            </w:r>
          </w:p>
        </w:tc>
        <w:tc>
          <w:tcPr>
            <w:tcW w:w="159" w:type="dxa"/>
            <w:tcBorders/>
            <w:shd w:fill="auto" w:val="clear"/>
            <w:vAlign w:val="bottom"/>
          </w:tcPr>
          <w:p>
            <w:pPr>
              <w:pStyle w:val="TableContents"/>
              <w:spacing w:before="0" w:after="283"/>
              <w:rPr>
                <w:rFonts w:ascii="times" w:hAnsi="times"/>
                <w:sz w:val="14"/>
              </w:rPr>
            </w:pPr>
            <w:r>
              <w:rPr>
                <w:rFonts w:ascii="times" w:hAnsi="times"/>
                <w:sz w:val="14"/>
              </w:rPr>
              <w:t>)</w:t>
            </w:r>
          </w:p>
        </w:tc>
        <w:tc>
          <w:tcPr>
            <w:tcW w:w="95" w:type="dxa"/>
            <w:tcBorders/>
            <w:shd w:fill="auto" w:val="clear"/>
            <w:vAlign w:val="bottom"/>
          </w:tcPr>
          <w:p>
            <w:pPr>
              <w:pStyle w:val="TableContents"/>
              <w:spacing w:before="0" w:after="283"/>
              <w:rPr/>
            </w:pPr>
            <w:r>
              <w:rPr/>
              <w:t> </w:t>
            </w:r>
          </w:p>
        </w:tc>
        <w:tc>
          <w:tcPr>
            <w:tcW w:w="896" w:type="dxa"/>
            <w:tcBorders/>
            <w:shd w:fill="auto" w:val="clear"/>
            <w:vAlign w:val="bottom"/>
          </w:tcPr>
          <w:p>
            <w:pPr>
              <w:pStyle w:val="TableContents"/>
              <w:spacing w:before="0" w:after="283"/>
              <w:jc w:val="right"/>
              <w:rPr>
                <w:rFonts w:ascii="times" w:hAnsi="times"/>
                <w:sz w:val="14"/>
              </w:rPr>
            </w:pPr>
            <w:r>
              <w:rPr>
                <w:rFonts w:ascii="times" w:hAnsi="times"/>
                <w:sz w:val="14"/>
              </w:rPr>
              <w:t>(89,309</w:t>
            </w:r>
          </w:p>
        </w:tc>
        <w:tc>
          <w:tcPr>
            <w:tcW w:w="159" w:type="dxa"/>
            <w:tcBorders/>
            <w:shd w:fill="auto" w:val="clear"/>
            <w:vAlign w:val="bottom"/>
          </w:tcPr>
          <w:p>
            <w:pPr>
              <w:pStyle w:val="TableContents"/>
              <w:spacing w:before="0" w:after="283"/>
              <w:rPr>
                <w:rFonts w:ascii="times" w:hAnsi="times"/>
                <w:sz w:val="14"/>
              </w:rPr>
            </w:pPr>
            <w:r>
              <w:rPr>
                <w:rFonts w:ascii="times" w:hAnsi="times"/>
                <w:sz w:val="14"/>
              </w:rPr>
              <w:t>)</w:t>
            </w:r>
          </w:p>
        </w:tc>
        <w:tc>
          <w:tcPr>
            <w:tcW w:w="95" w:type="dxa"/>
            <w:tcBorders/>
            <w:shd w:fill="auto" w:val="clear"/>
            <w:vAlign w:val="bottom"/>
          </w:tcPr>
          <w:p>
            <w:pPr>
              <w:pStyle w:val="TableContents"/>
              <w:spacing w:before="0" w:after="283"/>
              <w:rPr/>
            </w:pPr>
            <w:r>
              <w:rPr/>
              <w:t> </w:t>
            </w:r>
          </w:p>
        </w:tc>
        <w:tc>
          <w:tcPr>
            <w:tcW w:w="888" w:type="dxa"/>
            <w:tcBorders/>
            <w:shd w:fill="auto" w:val="clear"/>
            <w:vAlign w:val="bottom"/>
          </w:tcPr>
          <w:p>
            <w:pPr>
              <w:pStyle w:val="TableContents"/>
              <w:spacing w:before="0" w:after="283"/>
              <w:jc w:val="right"/>
              <w:rPr>
                <w:rFonts w:ascii="times" w:hAnsi="times"/>
                <w:sz w:val="14"/>
              </w:rPr>
            </w:pPr>
            <w:r>
              <w:rPr>
                <w:rFonts w:ascii="times" w:hAnsi="times"/>
                <w:sz w:val="14"/>
              </w:rPr>
              <w:t>(83,058</w:t>
            </w:r>
          </w:p>
        </w:tc>
        <w:tc>
          <w:tcPr>
            <w:tcW w:w="165" w:type="dxa"/>
            <w:tcBorders/>
            <w:shd w:fill="auto" w:val="clear"/>
            <w:vAlign w:val="bottom"/>
          </w:tcPr>
          <w:p>
            <w:pPr>
              <w:pStyle w:val="TableContents"/>
              <w:spacing w:before="0" w:after="283"/>
              <w:rPr>
                <w:rFonts w:ascii="times" w:hAnsi="times"/>
                <w:sz w:val="14"/>
              </w:rPr>
            </w:pPr>
            <w:r>
              <w:rPr>
                <w:rFonts w:ascii="times" w:hAnsi="times"/>
                <w:sz w:val="14"/>
              </w:rPr>
              <w:t>)</w:t>
            </w:r>
          </w:p>
        </w:tc>
      </w:tr>
      <w:tr>
        <w:trPr/>
        <w:tc>
          <w:tcPr>
            <w:tcW w:w="4323" w:type="dxa"/>
            <w:tcBorders/>
            <w:shd w:fill="auto" w:val="clear"/>
            <w:vAlign w:val="bottom"/>
          </w:tcPr>
          <w:p>
            <w:pPr>
              <w:pStyle w:val="TableContents"/>
              <w:spacing w:before="0" w:after="283"/>
              <w:ind w:left="140" w:right="0" w:hanging="140"/>
              <w:rPr>
                <w:rFonts w:ascii="times" w:hAnsi="times"/>
                <w:sz w:val="14"/>
              </w:rPr>
            </w:pPr>
            <w:r>
              <w:rPr>
                <w:rFonts w:ascii="times" w:hAnsi="times"/>
                <w:sz w:val="14"/>
              </w:rPr>
              <w:t>General and administrative expenses</w:t>
            </w:r>
          </w:p>
        </w:tc>
        <w:tc>
          <w:tcPr>
            <w:tcW w:w="158"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888" w:type="dxa"/>
            <w:tcBorders/>
            <w:shd w:fill="auto" w:val="clear"/>
            <w:vAlign w:val="bottom"/>
          </w:tcPr>
          <w:p>
            <w:pPr>
              <w:pStyle w:val="TableContents"/>
              <w:spacing w:before="0" w:after="283"/>
              <w:jc w:val="right"/>
              <w:rPr>
                <w:rFonts w:ascii="times" w:hAnsi="times"/>
                <w:sz w:val="14"/>
              </w:rPr>
            </w:pPr>
            <w:r>
              <w:rPr>
                <w:rFonts w:ascii="times" w:hAnsi="times"/>
                <w:sz w:val="14"/>
              </w:rPr>
              <w:t>(13,437</w:t>
            </w:r>
          </w:p>
        </w:tc>
        <w:tc>
          <w:tcPr>
            <w:tcW w:w="159" w:type="dxa"/>
            <w:tcBorders/>
            <w:shd w:fill="auto" w:val="clear"/>
            <w:vAlign w:val="bottom"/>
          </w:tcPr>
          <w:p>
            <w:pPr>
              <w:pStyle w:val="TableContents"/>
              <w:spacing w:before="0" w:after="283"/>
              <w:rPr>
                <w:rFonts w:ascii="times" w:hAnsi="times"/>
                <w:sz w:val="14"/>
              </w:rPr>
            </w:pPr>
            <w:r>
              <w:rPr>
                <w:rFonts w:ascii="times" w:hAnsi="times"/>
                <w:sz w:val="14"/>
              </w:rPr>
              <w:t>)</w:t>
            </w:r>
          </w:p>
        </w:tc>
        <w:tc>
          <w:tcPr>
            <w:tcW w:w="95" w:type="dxa"/>
            <w:tcBorders/>
            <w:shd w:fill="auto" w:val="clear"/>
            <w:vAlign w:val="bottom"/>
          </w:tcPr>
          <w:p>
            <w:pPr>
              <w:pStyle w:val="TableContents"/>
              <w:spacing w:before="0" w:after="283"/>
              <w:rPr/>
            </w:pPr>
            <w:r>
              <w:rPr/>
              <w:t> </w:t>
            </w:r>
          </w:p>
        </w:tc>
        <w:tc>
          <w:tcPr>
            <w:tcW w:w="888" w:type="dxa"/>
            <w:tcBorders/>
            <w:shd w:fill="auto" w:val="clear"/>
            <w:vAlign w:val="bottom"/>
          </w:tcPr>
          <w:p>
            <w:pPr>
              <w:pStyle w:val="TableContents"/>
              <w:spacing w:before="0" w:after="283"/>
              <w:jc w:val="right"/>
              <w:rPr>
                <w:rFonts w:ascii="times" w:hAnsi="times"/>
                <w:sz w:val="14"/>
              </w:rPr>
            </w:pPr>
            <w:r>
              <w:rPr>
                <w:rFonts w:ascii="times" w:hAnsi="times"/>
                <w:sz w:val="14"/>
              </w:rPr>
              <w:t>(15,719</w:t>
            </w:r>
          </w:p>
        </w:tc>
        <w:tc>
          <w:tcPr>
            <w:tcW w:w="159" w:type="dxa"/>
            <w:tcBorders/>
            <w:shd w:fill="auto" w:val="clear"/>
            <w:vAlign w:val="bottom"/>
          </w:tcPr>
          <w:p>
            <w:pPr>
              <w:pStyle w:val="TableContents"/>
              <w:spacing w:before="0" w:after="283"/>
              <w:rPr>
                <w:rFonts w:ascii="times" w:hAnsi="times"/>
                <w:sz w:val="14"/>
              </w:rPr>
            </w:pPr>
            <w:r>
              <w:rPr>
                <w:rFonts w:ascii="times" w:hAnsi="times"/>
                <w:sz w:val="14"/>
              </w:rPr>
              <w:t>)</w:t>
            </w:r>
          </w:p>
        </w:tc>
        <w:tc>
          <w:tcPr>
            <w:tcW w:w="95" w:type="dxa"/>
            <w:tcBorders/>
            <w:shd w:fill="auto" w:val="clear"/>
            <w:vAlign w:val="bottom"/>
          </w:tcPr>
          <w:p>
            <w:pPr>
              <w:pStyle w:val="TableContents"/>
              <w:spacing w:before="0" w:after="283"/>
              <w:rPr/>
            </w:pPr>
            <w:r>
              <w:rPr/>
              <w:t> </w:t>
            </w:r>
          </w:p>
        </w:tc>
        <w:tc>
          <w:tcPr>
            <w:tcW w:w="888" w:type="dxa"/>
            <w:tcBorders/>
            <w:shd w:fill="auto" w:val="clear"/>
            <w:vAlign w:val="bottom"/>
          </w:tcPr>
          <w:p>
            <w:pPr>
              <w:pStyle w:val="TableContents"/>
              <w:spacing w:before="0" w:after="283"/>
              <w:jc w:val="right"/>
              <w:rPr>
                <w:rFonts w:ascii="times" w:hAnsi="times"/>
                <w:sz w:val="14"/>
              </w:rPr>
            </w:pPr>
            <w:r>
              <w:rPr>
                <w:rFonts w:ascii="times" w:hAnsi="times"/>
                <w:sz w:val="14"/>
              </w:rPr>
              <w:t>(19,754</w:t>
            </w:r>
          </w:p>
        </w:tc>
        <w:tc>
          <w:tcPr>
            <w:tcW w:w="159" w:type="dxa"/>
            <w:tcBorders/>
            <w:shd w:fill="auto" w:val="clear"/>
            <w:vAlign w:val="bottom"/>
          </w:tcPr>
          <w:p>
            <w:pPr>
              <w:pStyle w:val="TableContents"/>
              <w:spacing w:before="0" w:after="283"/>
              <w:rPr>
                <w:rFonts w:ascii="times" w:hAnsi="times"/>
                <w:sz w:val="14"/>
              </w:rPr>
            </w:pPr>
            <w:r>
              <w:rPr>
                <w:rFonts w:ascii="times" w:hAnsi="times"/>
                <w:sz w:val="14"/>
              </w:rPr>
              <w:t>)</w:t>
            </w:r>
          </w:p>
        </w:tc>
        <w:tc>
          <w:tcPr>
            <w:tcW w:w="95" w:type="dxa"/>
            <w:tcBorders/>
            <w:shd w:fill="auto" w:val="clear"/>
            <w:vAlign w:val="bottom"/>
          </w:tcPr>
          <w:p>
            <w:pPr>
              <w:pStyle w:val="TableContents"/>
              <w:spacing w:before="0" w:after="283"/>
              <w:rPr/>
            </w:pPr>
            <w:r>
              <w:rPr/>
              <w:t> </w:t>
            </w:r>
          </w:p>
        </w:tc>
        <w:tc>
          <w:tcPr>
            <w:tcW w:w="896" w:type="dxa"/>
            <w:tcBorders/>
            <w:shd w:fill="auto" w:val="clear"/>
            <w:vAlign w:val="bottom"/>
          </w:tcPr>
          <w:p>
            <w:pPr>
              <w:pStyle w:val="TableContents"/>
              <w:spacing w:before="0" w:after="283"/>
              <w:jc w:val="right"/>
              <w:rPr>
                <w:rFonts w:ascii="times" w:hAnsi="times"/>
                <w:sz w:val="14"/>
              </w:rPr>
            </w:pPr>
            <w:r>
              <w:rPr>
                <w:rFonts w:ascii="times" w:hAnsi="times"/>
                <w:sz w:val="14"/>
              </w:rPr>
              <w:t>(19,401</w:t>
            </w:r>
          </w:p>
        </w:tc>
        <w:tc>
          <w:tcPr>
            <w:tcW w:w="159" w:type="dxa"/>
            <w:tcBorders/>
            <w:shd w:fill="auto" w:val="clear"/>
            <w:vAlign w:val="bottom"/>
          </w:tcPr>
          <w:p>
            <w:pPr>
              <w:pStyle w:val="TableContents"/>
              <w:spacing w:before="0" w:after="283"/>
              <w:rPr>
                <w:rFonts w:ascii="times" w:hAnsi="times"/>
                <w:sz w:val="14"/>
              </w:rPr>
            </w:pPr>
            <w:r>
              <w:rPr>
                <w:rFonts w:ascii="times" w:hAnsi="times"/>
                <w:sz w:val="14"/>
              </w:rPr>
              <w:t>)</w:t>
            </w:r>
          </w:p>
        </w:tc>
        <w:tc>
          <w:tcPr>
            <w:tcW w:w="95" w:type="dxa"/>
            <w:tcBorders/>
            <w:shd w:fill="auto" w:val="clear"/>
            <w:vAlign w:val="bottom"/>
          </w:tcPr>
          <w:p>
            <w:pPr>
              <w:pStyle w:val="TableContents"/>
              <w:spacing w:before="0" w:after="283"/>
              <w:rPr/>
            </w:pPr>
            <w:r>
              <w:rPr/>
              <w:t> </w:t>
            </w:r>
          </w:p>
        </w:tc>
        <w:tc>
          <w:tcPr>
            <w:tcW w:w="888" w:type="dxa"/>
            <w:tcBorders/>
            <w:shd w:fill="auto" w:val="clear"/>
            <w:vAlign w:val="bottom"/>
          </w:tcPr>
          <w:p>
            <w:pPr>
              <w:pStyle w:val="TableContents"/>
              <w:spacing w:before="0" w:after="283"/>
              <w:jc w:val="right"/>
              <w:rPr>
                <w:rFonts w:ascii="times" w:hAnsi="times"/>
                <w:sz w:val="14"/>
              </w:rPr>
            </w:pPr>
            <w:r>
              <w:rPr>
                <w:rFonts w:ascii="times" w:hAnsi="times"/>
                <w:sz w:val="14"/>
              </w:rPr>
              <w:t>(18,960</w:t>
            </w:r>
          </w:p>
        </w:tc>
        <w:tc>
          <w:tcPr>
            <w:tcW w:w="165" w:type="dxa"/>
            <w:tcBorders/>
            <w:shd w:fill="auto" w:val="clear"/>
            <w:vAlign w:val="bottom"/>
          </w:tcPr>
          <w:p>
            <w:pPr>
              <w:pStyle w:val="TableContents"/>
              <w:spacing w:before="0" w:after="283"/>
              <w:rPr>
                <w:rFonts w:ascii="times" w:hAnsi="times"/>
                <w:sz w:val="14"/>
              </w:rPr>
            </w:pPr>
            <w:r>
              <w:rPr>
                <w:rFonts w:ascii="times" w:hAnsi="times"/>
                <w:sz w:val="14"/>
              </w:rPr>
              <w:t>)</w:t>
            </w:r>
          </w:p>
        </w:tc>
      </w:tr>
      <w:tr>
        <w:trPr/>
        <w:tc>
          <w:tcPr>
            <w:tcW w:w="4323" w:type="dxa"/>
            <w:tcBorders/>
            <w:shd w:fill="auto" w:val="clear"/>
            <w:vAlign w:val="bottom"/>
          </w:tcPr>
          <w:p>
            <w:pPr>
              <w:pStyle w:val="TableContents"/>
              <w:spacing w:before="0" w:after="283"/>
              <w:ind w:left="140" w:right="0" w:hanging="140"/>
              <w:rPr>
                <w:rFonts w:ascii="times" w:hAnsi="times"/>
                <w:sz w:val="14"/>
              </w:rPr>
            </w:pPr>
            <w:r>
              <w:rPr>
                <w:rFonts w:ascii="times" w:hAnsi="times"/>
                <w:sz w:val="14"/>
              </w:rPr>
              <w:t>Impairment loss on vessels</w:t>
            </w:r>
          </w:p>
        </w:tc>
        <w:tc>
          <w:tcPr>
            <w:tcW w:w="158"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888" w:type="dxa"/>
            <w:tcBorders/>
            <w:shd w:fill="auto" w:val="clear"/>
            <w:vAlign w:val="bottom"/>
          </w:tcPr>
          <w:p>
            <w:pPr>
              <w:pStyle w:val="TableContents"/>
              <w:spacing w:before="0" w:after="283"/>
              <w:jc w:val="right"/>
              <w:rPr>
                <w:rFonts w:ascii="times" w:hAnsi="times"/>
                <w:sz w:val="14"/>
              </w:rPr>
            </w:pPr>
            <w:r>
              <w:rPr>
                <w:rFonts w:ascii="times" w:hAnsi="times"/>
                <w:sz w:val="14"/>
              </w:rPr>
              <w:t></w:t>
            </w:r>
          </w:p>
        </w:tc>
        <w:tc>
          <w:tcPr>
            <w:tcW w:w="159"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888" w:type="dxa"/>
            <w:tcBorders/>
            <w:shd w:fill="auto" w:val="clear"/>
            <w:vAlign w:val="bottom"/>
          </w:tcPr>
          <w:p>
            <w:pPr>
              <w:pStyle w:val="TableContents"/>
              <w:spacing w:before="0" w:after="283"/>
              <w:jc w:val="right"/>
              <w:rPr>
                <w:rFonts w:ascii="times" w:hAnsi="times"/>
                <w:sz w:val="14"/>
              </w:rPr>
            </w:pPr>
            <w:r>
              <w:rPr>
                <w:rFonts w:ascii="times" w:hAnsi="times"/>
                <w:sz w:val="14"/>
              </w:rPr>
              <w:t></w:t>
            </w:r>
          </w:p>
        </w:tc>
        <w:tc>
          <w:tcPr>
            <w:tcW w:w="159"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888" w:type="dxa"/>
            <w:tcBorders/>
            <w:shd w:fill="auto" w:val="clear"/>
            <w:vAlign w:val="bottom"/>
          </w:tcPr>
          <w:p>
            <w:pPr>
              <w:pStyle w:val="TableContents"/>
              <w:spacing w:before="0" w:after="283"/>
              <w:jc w:val="right"/>
              <w:rPr>
                <w:rFonts w:ascii="times" w:hAnsi="times"/>
                <w:sz w:val="14"/>
              </w:rPr>
            </w:pPr>
            <w:r>
              <w:rPr>
                <w:rFonts w:ascii="times" w:hAnsi="times"/>
                <w:sz w:val="14"/>
              </w:rPr>
              <w:t></w:t>
            </w:r>
          </w:p>
        </w:tc>
        <w:tc>
          <w:tcPr>
            <w:tcW w:w="159"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896" w:type="dxa"/>
            <w:tcBorders/>
            <w:shd w:fill="auto" w:val="clear"/>
            <w:vAlign w:val="bottom"/>
          </w:tcPr>
          <w:p>
            <w:pPr>
              <w:pStyle w:val="TableContents"/>
              <w:spacing w:before="0" w:after="283"/>
              <w:jc w:val="right"/>
              <w:rPr>
                <w:rFonts w:ascii="times" w:hAnsi="times"/>
                <w:sz w:val="14"/>
              </w:rPr>
            </w:pPr>
            <w:r>
              <w:rPr>
                <w:rFonts w:ascii="times" w:hAnsi="times"/>
                <w:sz w:val="14"/>
              </w:rPr>
              <w:t>(138,848</w:t>
            </w:r>
          </w:p>
        </w:tc>
        <w:tc>
          <w:tcPr>
            <w:tcW w:w="159" w:type="dxa"/>
            <w:tcBorders/>
            <w:shd w:fill="auto" w:val="clear"/>
            <w:vAlign w:val="bottom"/>
          </w:tcPr>
          <w:p>
            <w:pPr>
              <w:pStyle w:val="TableContents"/>
              <w:spacing w:before="0" w:after="283"/>
              <w:rPr>
                <w:rFonts w:ascii="times" w:hAnsi="times"/>
                <w:sz w:val="14"/>
              </w:rPr>
            </w:pPr>
            <w:r>
              <w:rPr>
                <w:rFonts w:ascii="times" w:hAnsi="times"/>
                <w:sz w:val="14"/>
              </w:rPr>
              <w:t>)</w:t>
            </w:r>
          </w:p>
        </w:tc>
        <w:tc>
          <w:tcPr>
            <w:tcW w:w="95" w:type="dxa"/>
            <w:tcBorders/>
            <w:shd w:fill="auto" w:val="clear"/>
            <w:vAlign w:val="bottom"/>
          </w:tcPr>
          <w:p>
            <w:pPr>
              <w:pStyle w:val="TableContents"/>
              <w:spacing w:before="0" w:after="283"/>
              <w:rPr/>
            </w:pPr>
            <w:r>
              <w:rPr/>
              <w:t> </w:t>
            </w:r>
          </w:p>
        </w:tc>
        <w:tc>
          <w:tcPr>
            <w:tcW w:w="888" w:type="dxa"/>
            <w:tcBorders/>
            <w:shd w:fill="auto" w:val="clear"/>
            <w:vAlign w:val="bottom"/>
          </w:tcPr>
          <w:p>
            <w:pPr>
              <w:pStyle w:val="TableContents"/>
              <w:spacing w:before="0" w:after="283"/>
              <w:jc w:val="right"/>
              <w:rPr>
                <w:rFonts w:ascii="times" w:hAnsi="times"/>
                <w:sz w:val="14"/>
              </w:rPr>
            </w:pPr>
            <w:r>
              <w:rPr>
                <w:rFonts w:ascii="times" w:hAnsi="times"/>
                <w:sz w:val="14"/>
              </w:rPr>
              <w:t>(23,923</w:t>
            </w:r>
          </w:p>
        </w:tc>
        <w:tc>
          <w:tcPr>
            <w:tcW w:w="165" w:type="dxa"/>
            <w:tcBorders/>
            <w:shd w:fill="auto" w:val="clear"/>
            <w:vAlign w:val="bottom"/>
          </w:tcPr>
          <w:p>
            <w:pPr>
              <w:pStyle w:val="TableContents"/>
              <w:spacing w:before="0" w:after="283"/>
              <w:rPr>
                <w:rFonts w:ascii="times" w:hAnsi="times"/>
                <w:sz w:val="14"/>
              </w:rPr>
            </w:pPr>
            <w:r>
              <w:rPr>
                <w:rFonts w:ascii="times" w:hAnsi="times"/>
                <w:sz w:val="14"/>
              </w:rPr>
              <w:t xml:space="preserve">) </w:t>
            </w:r>
          </w:p>
        </w:tc>
      </w:tr>
      <w:tr>
        <w:trPr/>
        <w:tc>
          <w:tcPr>
            <w:tcW w:w="4323" w:type="dxa"/>
            <w:tcBorders/>
            <w:shd w:fill="FFFFFF" w:val="clear"/>
            <w:vAlign w:val="bottom"/>
          </w:tcPr>
          <w:p>
            <w:pPr>
              <w:pStyle w:val="TableContents"/>
              <w:spacing w:before="0" w:after="283"/>
              <w:rPr/>
            </w:pPr>
            <w:r>
              <w:rPr/>
              <w:t>​</w:t>
            </w:r>
          </w:p>
        </w:tc>
        <w:tc>
          <w:tcPr>
            <w:tcW w:w="158" w:type="dxa"/>
            <w:tcBorders/>
            <w:shd w:fill="FFFFFF" w:val="clear"/>
            <w:vAlign w:val="bottom"/>
          </w:tcPr>
          <w:p>
            <w:pPr>
              <w:pStyle w:val="TableContents"/>
              <w:spacing w:before="0" w:after="283"/>
              <w:rPr/>
            </w:pPr>
            <w:r>
              <w:rPr/>
              <w:t>​</w:t>
            </w:r>
          </w:p>
        </w:tc>
        <w:tc>
          <w:tcPr>
            <w:tcW w:w="95" w:type="dxa"/>
            <w:tcBorders>
              <w:bottom w:val="single" w:sz="8" w:space="0" w:color="000000"/>
            </w:tcBorders>
            <w:shd w:fill="FFFFFF" w:val="clear"/>
            <w:tcMar>
              <w:bottom w:w="28" w:type="dxa"/>
            </w:tcMar>
            <w:vAlign w:val="bottom"/>
          </w:tcPr>
          <w:p>
            <w:pPr>
              <w:pStyle w:val="TableContents"/>
              <w:spacing w:before="0" w:after="283"/>
              <w:rPr/>
            </w:pPr>
            <w:r>
              <w:rPr/>
              <w:t xml:space="preserve">​ </w:t>
            </w:r>
          </w:p>
        </w:tc>
        <w:tc>
          <w:tcPr>
            <w:tcW w:w="888" w:type="dxa"/>
            <w:tcBorders>
              <w:bottom w:val="single" w:sz="8" w:space="0" w:color="000000"/>
            </w:tcBorders>
            <w:shd w:fill="FFFFFF" w:val="clear"/>
            <w:tcMar>
              <w:bottom w:w="28" w:type="dxa"/>
            </w:tcMar>
            <w:vAlign w:val="bottom"/>
          </w:tcPr>
          <w:p>
            <w:pPr>
              <w:pStyle w:val="TableContents"/>
              <w:spacing w:before="0" w:after="283"/>
              <w:jc w:val="right"/>
              <w:rPr/>
            </w:pPr>
            <w:r>
              <w:rPr/>
              <w:t xml:space="preserve">​ </w:t>
            </w:r>
          </w:p>
        </w:tc>
        <w:tc>
          <w:tcPr>
            <w:tcW w:w="159" w:type="dxa"/>
            <w:tcBorders/>
            <w:shd w:fill="FFFFFF" w:val="clear"/>
            <w:vAlign w:val="bottom"/>
          </w:tcPr>
          <w:p>
            <w:pPr>
              <w:pStyle w:val="TableContents"/>
              <w:spacing w:before="0" w:after="283"/>
              <w:rPr/>
            </w:pPr>
            <w:r>
              <w:rPr/>
              <w:t>​</w:t>
            </w:r>
          </w:p>
        </w:tc>
        <w:tc>
          <w:tcPr>
            <w:tcW w:w="95" w:type="dxa"/>
            <w:tcBorders>
              <w:bottom w:val="single" w:sz="8" w:space="0" w:color="000000"/>
            </w:tcBorders>
            <w:shd w:fill="FFFFFF" w:val="clear"/>
            <w:tcMar>
              <w:bottom w:w="28" w:type="dxa"/>
            </w:tcMar>
            <w:vAlign w:val="bottom"/>
          </w:tcPr>
          <w:p>
            <w:pPr>
              <w:pStyle w:val="TableContents"/>
              <w:spacing w:before="0" w:after="283"/>
              <w:rPr/>
            </w:pPr>
            <w:r>
              <w:rPr/>
              <w:t xml:space="preserve">​ </w:t>
            </w:r>
          </w:p>
        </w:tc>
        <w:tc>
          <w:tcPr>
            <w:tcW w:w="888" w:type="dxa"/>
            <w:tcBorders>
              <w:bottom w:val="single" w:sz="8" w:space="0" w:color="000000"/>
            </w:tcBorders>
            <w:shd w:fill="FFFFFF" w:val="clear"/>
            <w:tcMar>
              <w:bottom w:w="28" w:type="dxa"/>
            </w:tcMar>
            <w:vAlign w:val="bottom"/>
          </w:tcPr>
          <w:p>
            <w:pPr>
              <w:pStyle w:val="TableContents"/>
              <w:spacing w:before="0" w:after="283"/>
              <w:jc w:val="right"/>
              <w:rPr/>
            </w:pPr>
            <w:r>
              <w:rPr/>
              <w:t xml:space="preserve">​ </w:t>
            </w:r>
          </w:p>
        </w:tc>
        <w:tc>
          <w:tcPr>
            <w:tcW w:w="159" w:type="dxa"/>
            <w:tcBorders/>
            <w:shd w:fill="FFFFFF" w:val="clear"/>
            <w:vAlign w:val="bottom"/>
          </w:tcPr>
          <w:p>
            <w:pPr>
              <w:pStyle w:val="TableContents"/>
              <w:spacing w:before="0" w:after="283"/>
              <w:rPr/>
            </w:pPr>
            <w:r>
              <w:rPr/>
              <w:t>​</w:t>
            </w:r>
          </w:p>
        </w:tc>
        <w:tc>
          <w:tcPr>
            <w:tcW w:w="95" w:type="dxa"/>
            <w:tcBorders>
              <w:bottom w:val="single" w:sz="8" w:space="0" w:color="000000"/>
            </w:tcBorders>
            <w:shd w:fill="FFFFFF" w:val="clear"/>
            <w:tcMar>
              <w:bottom w:w="28" w:type="dxa"/>
            </w:tcMar>
            <w:vAlign w:val="bottom"/>
          </w:tcPr>
          <w:p>
            <w:pPr>
              <w:pStyle w:val="TableContents"/>
              <w:spacing w:before="0" w:after="283"/>
              <w:rPr/>
            </w:pPr>
            <w:r>
              <w:rPr/>
              <w:t xml:space="preserve">​ </w:t>
            </w:r>
          </w:p>
        </w:tc>
        <w:tc>
          <w:tcPr>
            <w:tcW w:w="888" w:type="dxa"/>
            <w:tcBorders>
              <w:bottom w:val="single" w:sz="8" w:space="0" w:color="000000"/>
            </w:tcBorders>
            <w:shd w:fill="FFFFFF" w:val="clear"/>
            <w:tcMar>
              <w:bottom w:w="28" w:type="dxa"/>
            </w:tcMar>
            <w:vAlign w:val="bottom"/>
          </w:tcPr>
          <w:p>
            <w:pPr>
              <w:pStyle w:val="TableContents"/>
              <w:spacing w:before="0" w:after="283"/>
              <w:jc w:val="right"/>
              <w:rPr/>
            </w:pPr>
            <w:r>
              <w:rPr/>
              <w:t xml:space="preserve">​ </w:t>
            </w:r>
          </w:p>
        </w:tc>
        <w:tc>
          <w:tcPr>
            <w:tcW w:w="159" w:type="dxa"/>
            <w:tcBorders/>
            <w:shd w:fill="FFFFFF" w:val="clear"/>
            <w:vAlign w:val="bottom"/>
          </w:tcPr>
          <w:p>
            <w:pPr>
              <w:pStyle w:val="TableContents"/>
              <w:spacing w:before="0" w:after="283"/>
              <w:rPr/>
            </w:pPr>
            <w:r>
              <w:rPr/>
              <w:t>​</w:t>
            </w:r>
          </w:p>
        </w:tc>
        <w:tc>
          <w:tcPr>
            <w:tcW w:w="95" w:type="dxa"/>
            <w:tcBorders>
              <w:bottom w:val="single" w:sz="8" w:space="0" w:color="000000"/>
            </w:tcBorders>
            <w:shd w:fill="FFFFFF" w:val="clear"/>
            <w:tcMar>
              <w:bottom w:w="28" w:type="dxa"/>
            </w:tcMar>
            <w:vAlign w:val="bottom"/>
          </w:tcPr>
          <w:p>
            <w:pPr>
              <w:pStyle w:val="TableContents"/>
              <w:spacing w:before="0" w:after="283"/>
              <w:rPr/>
            </w:pPr>
            <w:r>
              <w:rPr/>
              <w:t xml:space="preserve">​ </w:t>
            </w:r>
          </w:p>
        </w:tc>
        <w:tc>
          <w:tcPr>
            <w:tcW w:w="896" w:type="dxa"/>
            <w:tcBorders>
              <w:bottom w:val="single" w:sz="8" w:space="0" w:color="000000"/>
            </w:tcBorders>
            <w:shd w:fill="FFFFFF" w:val="clear"/>
            <w:tcMar>
              <w:bottom w:w="28" w:type="dxa"/>
            </w:tcMar>
            <w:vAlign w:val="bottom"/>
          </w:tcPr>
          <w:p>
            <w:pPr>
              <w:pStyle w:val="TableContents"/>
              <w:spacing w:before="0" w:after="283"/>
              <w:jc w:val="right"/>
              <w:rPr/>
            </w:pPr>
            <w:r>
              <w:rPr/>
              <w:t xml:space="preserve">​ </w:t>
            </w:r>
          </w:p>
        </w:tc>
        <w:tc>
          <w:tcPr>
            <w:tcW w:w="159" w:type="dxa"/>
            <w:tcBorders/>
            <w:shd w:fill="FFFFFF" w:val="clear"/>
            <w:vAlign w:val="bottom"/>
          </w:tcPr>
          <w:p>
            <w:pPr>
              <w:pStyle w:val="TableContents"/>
              <w:spacing w:before="0" w:after="283"/>
              <w:rPr/>
            </w:pPr>
            <w:r>
              <w:rPr/>
              <w:t>​</w:t>
            </w:r>
          </w:p>
        </w:tc>
        <w:tc>
          <w:tcPr>
            <w:tcW w:w="95" w:type="dxa"/>
            <w:tcBorders>
              <w:bottom w:val="single" w:sz="8" w:space="0" w:color="000000"/>
            </w:tcBorders>
            <w:shd w:fill="FFFFFF" w:val="clear"/>
            <w:tcMar>
              <w:bottom w:w="28" w:type="dxa"/>
            </w:tcMar>
            <w:vAlign w:val="bottom"/>
          </w:tcPr>
          <w:p>
            <w:pPr>
              <w:pStyle w:val="TableContents"/>
              <w:spacing w:before="0" w:after="283"/>
              <w:rPr/>
            </w:pPr>
            <w:r>
              <w:rPr/>
              <w:t xml:space="preserve">​ </w:t>
            </w:r>
          </w:p>
        </w:tc>
        <w:tc>
          <w:tcPr>
            <w:tcW w:w="888" w:type="dxa"/>
            <w:tcBorders>
              <w:bottom w:val="single" w:sz="8" w:space="0" w:color="000000"/>
            </w:tcBorders>
            <w:shd w:fill="FFFFFF" w:val="clear"/>
            <w:tcMar>
              <w:bottom w:w="28" w:type="dxa"/>
            </w:tcMar>
            <w:vAlign w:val="bottom"/>
          </w:tcPr>
          <w:p>
            <w:pPr>
              <w:pStyle w:val="TableContents"/>
              <w:spacing w:before="0" w:after="283"/>
              <w:jc w:val="right"/>
              <w:rPr/>
            </w:pPr>
            <w:r>
              <w:rPr/>
              <w:t xml:space="preserve">​ </w:t>
            </w:r>
          </w:p>
        </w:tc>
        <w:tc>
          <w:tcPr>
            <w:tcW w:w="165" w:type="dxa"/>
            <w:tcBorders/>
            <w:shd w:fill="FFFFFF" w:val="clear"/>
            <w:vAlign w:val="bottom"/>
          </w:tcPr>
          <w:p>
            <w:pPr>
              <w:pStyle w:val="TableContents"/>
              <w:spacing w:before="0" w:after="283"/>
              <w:rPr/>
            </w:pPr>
            <w:r>
              <w:rPr/>
              <w:t>​</w:t>
            </w:r>
          </w:p>
        </w:tc>
      </w:tr>
      <w:tr>
        <w:trPr/>
        <w:tc>
          <w:tcPr>
            <w:tcW w:w="4323" w:type="dxa"/>
            <w:tcBorders/>
            <w:shd w:fill="auto" w:val="clear"/>
            <w:vAlign w:val="bottom"/>
          </w:tcPr>
          <w:p>
            <w:pPr>
              <w:pStyle w:val="TableContents"/>
              <w:spacing w:before="0" w:after="283"/>
              <w:ind w:left="140" w:right="0" w:hanging="140"/>
              <w:rPr>
                <w:rFonts w:ascii="times" w:hAnsi="times"/>
                <w:b/>
                <w:sz w:val="14"/>
              </w:rPr>
            </w:pPr>
            <w:r>
              <w:rPr>
                <w:rFonts w:ascii="times" w:hAnsi="times"/>
                <w:b/>
                <w:sz w:val="14"/>
              </w:rPr>
              <w:t>Profit from operations</w:t>
            </w:r>
          </w:p>
        </w:tc>
        <w:tc>
          <w:tcPr>
            <w:tcW w:w="158"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888" w:type="dxa"/>
            <w:tcBorders/>
            <w:shd w:fill="auto" w:val="clear"/>
            <w:vAlign w:val="bottom"/>
          </w:tcPr>
          <w:p>
            <w:pPr>
              <w:pStyle w:val="TableContents"/>
              <w:spacing w:before="0" w:after="283"/>
              <w:jc w:val="right"/>
              <w:rPr>
                <w:rFonts w:ascii="times" w:hAnsi="times"/>
                <w:b/>
                <w:sz w:val="14"/>
              </w:rPr>
            </w:pPr>
            <w:r>
              <w:rPr>
                <w:rFonts w:ascii="times" w:hAnsi="times"/>
                <w:b/>
                <w:sz w:val="14"/>
              </w:rPr>
              <w:t>175,978</w:t>
            </w:r>
          </w:p>
        </w:tc>
        <w:tc>
          <w:tcPr>
            <w:tcW w:w="159"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888" w:type="dxa"/>
            <w:tcBorders/>
            <w:shd w:fill="auto" w:val="clear"/>
            <w:vAlign w:val="bottom"/>
          </w:tcPr>
          <w:p>
            <w:pPr>
              <w:pStyle w:val="TableContents"/>
              <w:spacing w:before="0" w:after="283"/>
              <w:jc w:val="right"/>
              <w:rPr>
                <w:rFonts w:ascii="times" w:hAnsi="times"/>
                <w:b/>
                <w:sz w:val="14"/>
              </w:rPr>
            </w:pPr>
            <w:r>
              <w:rPr>
                <w:rFonts w:ascii="times" w:hAnsi="times"/>
                <w:b/>
                <w:sz w:val="14"/>
              </w:rPr>
              <w:t>217,734</w:t>
            </w:r>
          </w:p>
        </w:tc>
        <w:tc>
          <w:tcPr>
            <w:tcW w:w="159"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888" w:type="dxa"/>
            <w:tcBorders/>
            <w:shd w:fill="auto" w:val="clear"/>
            <w:vAlign w:val="bottom"/>
          </w:tcPr>
          <w:p>
            <w:pPr>
              <w:pStyle w:val="TableContents"/>
              <w:spacing w:before="0" w:after="283"/>
              <w:jc w:val="right"/>
              <w:rPr>
                <w:rFonts w:ascii="times" w:hAnsi="times"/>
                <w:b/>
                <w:sz w:val="14"/>
              </w:rPr>
            </w:pPr>
            <w:r>
              <w:rPr>
                <w:rFonts w:ascii="times" w:hAnsi="times"/>
                <w:b/>
                <w:sz w:val="14"/>
              </w:rPr>
              <w:t>198,360</w:t>
            </w:r>
          </w:p>
        </w:tc>
        <w:tc>
          <w:tcPr>
            <w:tcW w:w="159"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896" w:type="dxa"/>
            <w:tcBorders/>
            <w:shd w:fill="auto" w:val="clear"/>
            <w:vAlign w:val="bottom"/>
          </w:tcPr>
          <w:p>
            <w:pPr>
              <w:pStyle w:val="TableContents"/>
              <w:spacing w:before="0" w:after="283"/>
              <w:jc w:val="right"/>
              <w:rPr>
                <w:rFonts w:ascii="times" w:hAnsi="times"/>
                <w:b/>
                <w:sz w:val="14"/>
              </w:rPr>
            </w:pPr>
            <w:r>
              <w:rPr>
                <w:rFonts w:ascii="times" w:hAnsi="times"/>
                <w:b/>
                <w:sz w:val="14"/>
              </w:rPr>
              <w:t>48,137</w:t>
            </w:r>
          </w:p>
        </w:tc>
        <w:tc>
          <w:tcPr>
            <w:tcW w:w="159"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888" w:type="dxa"/>
            <w:tcBorders/>
            <w:shd w:fill="auto" w:val="clear"/>
            <w:vAlign w:val="bottom"/>
          </w:tcPr>
          <w:p>
            <w:pPr>
              <w:pStyle w:val="TableContents"/>
              <w:spacing w:before="0" w:after="283"/>
              <w:jc w:val="right"/>
              <w:rPr>
                <w:rFonts w:ascii="times" w:hAnsi="times"/>
                <w:b/>
                <w:sz w:val="14"/>
              </w:rPr>
            </w:pPr>
            <w:r>
              <w:rPr>
                <w:rFonts w:ascii="times" w:hAnsi="times"/>
                <w:b/>
                <w:sz w:val="14"/>
              </w:rPr>
              <w:t>122,480</w:t>
            </w:r>
          </w:p>
        </w:tc>
        <w:tc>
          <w:tcPr>
            <w:tcW w:w="165" w:type="dxa"/>
            <w:tcBorders/>
            <w:shd w:fill="auto" w:val="clear"/>
            <w:vAlign w:val="bottom"/>
          </w:tcPr>
          <w:p>
            <w:pPr>
              <w:pStyle w:val="TableContents"/>
              <w:spacing w:before="0" w:after="283"/>
              <w:rPr/>
            </w:pPr>
            <w:r>
              <w:rPr/>
              <w:t> </w:t>
            </w:r>
          </w:p>
        </w:tc>
      </w:tr>
      <w:tr>
        <w:trPr/>
        <w:tc>
          <w:tcPr>
            <w:tcW w:w="4323" w:type="dxa"/>
            <w:tcBorders/>
            <w:shd w:fill="FFFFFF" w:val="clear"/>
            <w:vAlign w:val="bottom"/>
          </w:tcPr>
          <w:p>
            <w:pPr>
              <w:pStyle w:val="TableContents"/>
              <w:spacing w:before="0" w:after="283"/>
              <w:rPr/>
            </w:pPr>
            <w:r>
              <w:rPr/>
              <w:t>​</w:t>
            </w:r>
          </w:p>
        </w:tc>
        <w:tc>
          <w:tcPr>
            <w:tcW w:w="158" w:type="dxa"/>
            <w:tcBorders/>
            <w:shd w:fill="FFFFFF" w:val="clear"/>
            <w:vAlign w:val="bottom"/>
          </w:tcPr>
          <w:p>
            <w:pPr>
              <w:pStyle w:val="TableContents"/>
              <w:spacing w:before="0" w:after="283"/>
              <w:rPr/>
            </w:pPr>
            <w:r>
              <w:rPr/>
              <w:t>​</w:t>
            </w:r>
          </w:p>
        </w:tc>
        <w:tc>
          <w:tcPr>
            <w:tcW w:w="95" w:type="dxa"/>
            <w:tcBorders>
              <w:bottom w:val="single" w:sz="8" w:space="0" w:color="000000"/>
            </w:tcBorders>
            <w:shd w:fill="FFFFFF" w:val="clear"/>
            <w:tcMar>
              <w:bottom w:w="28" w:type="dxa"/>
            </w:tcMar>
            <w:vAlign w:val="bottom"/>
          </w:tcPr>
          <w:p>
            <w:pPr>
              <w:pStyle w:val="TableContents"/>
              <w:spacing w:before="0" w:after="283"/>
              <w:rPr/>
            </w:pPr>
            <w:r>
              <w:rPr/>
              <w:t xml:space="preserve">​ </w:t>
            </w:r>
          </w:p>
        </w:tc>
        <w:tc>
          <w:tcPr>
            <w:tcW w:w="888" w:type="dxa"/>
            <w:tcBorders>
              <w:bottom w:val="single" w:sz="8" w:space="0" w:color="000000"/>
            </w:tcBorders>
            <w:shd w:fill="FFFFFF" w:val="clear"/>
            <w:tcMar>
              <w:bottom w:w="28" w:type="dxa"/>
            </w:tcMar>
            <w:vAlign w:val="bottom"/>
          </w:tcPr>
          <w:p>
            <w:pPr>
              <w:pStyle w:val="TableContents"/>
              <w:spacing w:before="0" w:after="283"/>
              <w:jc w:val="right"/>
              <w:rPr/>
            </w:pPr>
            <w:r>
              <w:rPr/>
              <w:t xml:space="preserve">​ </w:t>
            </w:r>
          </w:p>
        </w:tc>
        <w:tc>
          <w:tcPr>
            <w:tcW w:w="159" w:type="dxa"/>
            <w:tcBorders/>
            <w:shd w:fill="FFFFFF" w:val="clear"/>
            <w:vAlign w:val="bottom"/>
          </w:tcPr>
          <w:p>
            <w:pPr>
              <w:pStyle w:val="TableContents"/>
              <w:spacing w:before="0" w:after="283"/>
              <w:rPr/>
            </w:pPr>
            <w:r>
              <w:rPr/>
              <w:t>​</w:t>
            </w:r>
          </w:p>
        </w:tc>
        <w:tc>
          <w:tcPr>
            <w:tcW w:w="95" w:type="dxa"/>
            <w:tcBorders>
              <w:bottom w:val="single" w:sz="8" w:space="0" w:color="000000"/>
            </w:tcBorders>
            <w:shd w:fill="FFFFFF" w:val="clear"/>
            <w:tcMar>
              <w:bottom w:w="28" w:type="dxa"/>
            </w:tcMar>
            <w:vAlign w:val="bottom"/>
          </w:tcPr>
          <w:p>
            <w:pPr>
              <w:pStyle w:val="TableContents"/>
              <w:spacing w:before="0" w:after="283"/>
              <w:rPr/>
            </w:pPr>
            <w:r>
              <w:rPr/>
              <w:t xml:space="preserve">​ </w:t>
            </w:r>
          </w:p>
        </w:tc>
        <w:tc>
          <w:tcPr>
            <w:tcW w:w="888" w:type="dxa"/>
            <w:tcBorders>
              <w:bottom w:val="single" w:sz="8" w:space="0" w:color="000000"/>
            </w:tcBorders>
            <w:shd w:fill="FFFFFF" w:val="clear"/>
            <w:tcMar>
              <w:bottom w:w="28" w:type="dxa"/>
            </w:tcMar>
            <w:vAlign w:val="bottom"/>
          </w:tcPr>
          <w:p>
            <w:pPr>
              <w:pStyle w:val="TableContents"/>
              <w:spacing w:before="0" w:after="283"/>
              <w:jc w:val="right"/>
              <w:rPr/>
            </w:pPr>
            <w:r>
              <w:rPr/>
              <w:t xml:space="preserve">​ </w:t>
            </w:r>
          </w:p>
        </w:tc>
        <w:tc>
          <w:tcPr>
            <w:tcW w:w="159" w:type="dxa"/>
            <w:tcBorders/>
            <w:shd w:fill="FFFFFF" w:val="clear"/>
            <w:vAlign w:val="bottom"/>
          </w:tcPr>
          <w:p>
            <w:pPr>
              <w:pStyle w:val="TableContents"/>
              <w:spacing w:before="0" w:after="283"/>
              <w:rPr/>
            </w:pPr>
            <w:r>
              <w:rPr/>
              <w:t>​</w:t>
            </w:r>
          </w:p>
        </w:tc>
        <w:tc>
          <w:tcPr>
            <w:tcW w:w="95" w:type="dxa"/>
            <w:tcBorders>
              <w:bottom w:val="single" w:sz="8" w:space="0" w:color="000000"/>
            </w:tcBorders>
            <w:shd w:fill="FFFFFF" w:val="clear"/>
            <w:tcMar>
              <w:bottom w:w="28" w:type="dxa"/>
            </w:tcMar>
            <w:vAlign w:val="bottom"/>
          </w:tcPr>
          <w:p>
            <w:pPr>
              <w:pStyle w:val="TableContents"/>
              <w:spacing w:before="0" w:after="283"/>
              <w:rPr/>
            </w:pPr>
            <w:r>
              <w:rPr/>
              <w:t xml:space="preserve">​ </w:t>
            </w:r>
          </w:p>
        </w:tc>
        <w:tc>
          <w:tcPr>
            <w:tcW w:w="888" w:type="dxa"/>
            <w:tcBorders>
              <w:bottom w:val="single" w:sz="8" w:space="0" w:color="000000"/>
            </w:tcBorders>
            <w:shd w:fill="FFFFFF" w:val="clear"/>
            <w:tcMar>
              <w:bottom w:w="28" w:type="dxa"/>
            </w:tcMar>
            <w:vAlign w:val="bottom"/>
          </w:tcPr>
          <w:p>
            <w:pPr>
              <w:pStyle w:val="TableContents"/>
              <w:spacing w:before="0" w:after="283"/>
              <w:jc w:val="right"/>
              <w:rPr/>
            </w:pPr>
            <w:r>
              <w:rPr/>
              <w:t xml:space="preserve">​ </w:t>
            </w:r>
          </w:p>
        </w:tc>
        <w:tc>
          <w:tcPr>
            <w:tcW w:w="159" w:type="dxa"/>
            <w:tcBorders/>
            <w:shd w:fill="FFFFFF" w:val="clear"/>
            <w:vAlign w:val="bottom"/>
          </w:tcPr>
          <w:p>
            <w:pPr>
              <w:pStyle w:val="TableContents"/>
              <w:spacing w:before="0" w:after="283"/>
              <w:rPr/>
            </w:pPr>
            <w:r>
              <w:rPr/>
              <w:t>​</w:t>
            </w:r>
          </w:p>
        </w:tc>
        <w:tc>
          <w:tcPr>
            <w:tcW w:w="95" w:type="dxa"/>
            <w:tcBorders>
              <w:bottom w:val="single" w:sz="8" w:space="0" w:color="000000"/>
            </w:tcBorders>
            <w:shd w:fill="FFFFFF" w:val="clear"/>
            <w:tcMar>
              <w:bottom w:w="28" w:type="dxa"/>
            </w:tcMar>
            <w:vAlign w:val="bottom"/>
          </w:tcPr>
          <w:p>
            <w:pPr>
              <w:pStyle w:val="TableContents"/>
              <w:spacing w:before="0" w:after="283"/>
              <w:rPr/>
            </w:pPr>
            <w:r>
              <w:rPr/>
              <w:t xml:space="preserve">​ </w:t>
            </w:r>
          </w:p>
        </w:tc>
        <w:tc>
          <w:tcPr>
            <w:tcW w:w="896" w:type="dxa"/>
            <w:tcBorders>
              <w:bottom w:val="single" w:sz="8" w:space="0" w:color="000000"/>
            </w:tcBorders>
            <w:shd w:fill="FFFFFF" w:val="clear"/>
            <w:tcMar>
              <w:bottom w:w="28" w:type="dxa"/>
            </w:tcMar>
            <w:vAlign w:val="bottom"/>
          </w:tcPr>
          <w:p>
            <w:pPr>
              <w:pStyle w:val="TableContents"/>
              <w:spacing w:before="0" w:after="283"/>
              <w:jc w:val="right"/>
              <w:rPr/>
            </w:pPr>
            <w:r>
              <w:rPr/>
              <w:t xml:space="preserve">​ </w:t>
            </w:r>
          </w:p>
        </w:tc>
        <w:tc>
          <w:tcPr>
            <w:tcW w:w="159" w:type="dxa"/>
            <w:tcBorders/>
            <w:shd w:fill="FFFFFF" w:val="clear"/>
            <w:vAlign w:val="bottom"/>
          </w:tcPr>
          <w:p>
            <w:pPr>
              <w:pStyle w:val="TableContents"/>
              <w:spacing w:before="0" w:after="283"/>
              <w:rPr/>
            </w:pPr>
            <w:r>
              <w:rPr/>
              <w:t>​</w:t>
            </w:r>
          </w:p>
        </w:tc>
        <w:tc>
          <w:tcPr>
            <w:tcW w:w="95" w:type="dxa"/>
            <w:tcBorders>
              <w:bottom w:val="single" w:sz="8" w:space="0" w:color="000000"/>
            </w:tcBorders>
            <w:shd w:fill="FFFFFF" w:val="clear"/>
            <w:tcMar>
              <w:bottom w:w="28" w:type="dxa"/>
            </w:tcMar>
            <w:vAlign w:val="bottom"/>
          </w:tcPr>
          <w:p>
            <w:pPr>
              <w:pStyle w:val="TableContents"/>
              <w:spacing w:before="0" w:after="283"/>
              <w:rPr/>
            </w:pPr>
            <w:r>
              <w:rPr/>
              <w:t xml:space="preserve">​ </w:t>
            </w:r>
          </w:p>
        </w:tc>
        <w:tc>
          <w:tcPr>
            <w:tcW w:w="888" w:type="dxa"/>
            <w:tcBorders>
              <w:bottom w:val="single" w:sz="8" w:space="0" w:color="000000"/>
            </w:tcBorders>
            <w:shd w:fill="FFFFFF" w:val="clear"/>
            <w:tcMar>
              <w:bottom w:w="28" w:type="dxa"/>
            </w:tcMar>
            <w:vAlign w:val="bottom"/>
          </w:tcPr>
          <w:p>
            <w:pPr>
              <w:pStyle w:val="TableContents"/>
              <w:spacing w:before="0" w:after="283"/>
              <w:jc w:val="right"/>
              <w:rPr/>
            </w:pPr>
            <w:r>
              <w:rPr/>
              <w:t xml:space="preserve">​ </w:t>
            </w:r>
          </w:p>
        </w:tc>
        <w:tc>
          <w:tcPr>
            <w:tcW w:w="165" w:type="dxa"/>
            <w:tcBorders/>
            <w:shd w:fill="FFFFFF" w:val="clear"/>
            <w:vAlign w:val="bottom"/>
          </w:tcPr>
          <w:p>
            <w:pPr>
              <w:pStyle w:val="TableContents"/>
              <w:spacing w:before="0" w:after="283"/>
              <w:rPr/>
            </w:pPr>
            <w:r>
              <w:rPr/>
              <w:t>​</w:t>
            </w:r>
          </w:p>
        </w:tc>
      </w:tr>
      <w:tr>
        <w:trPr/>
        <w:tc>
          <w:tcPr>
            <w:tcW w:w="4323" w:type="dxa"/>
            <w:tcBorders/>
            <w:shd w:fill="auto" w:val="clear"/>
            <w:vAlign w:val="bottom"/>
          </w:tcPr>
          <w:p>
            <w:pPr>
              <w:pStyle w:val="TableContents"/>
              <w:spacing w:before="0" w:after="283"/>
              <w:ind w:left="140" w:right="0" w:hanging="140"/>
              <w:rPr>
                <w:rFonts w:ascii="times" w:hAnsi="times"/>
                <w:sz w:val="14"/>
              </w:rPr>
            </w:pPr>
            <w:r>
              <w:rPr>
                <w:rFonts w:ascii="times" w:hAnsi="times"/>
                <w:sz w:val="14"/>
              </w:rPr>
              <w:t>Financial costs</w:t>
            </w:r>
          </w:p>
        </w:tc>
        <w:tc>
          <w:tcPr>
            <w:tcW w:w="158"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888" w:type="dxa"/>
            <w:tcBorders/>
            <w:shd w:fill="auto" w:val="clear"/>
            <w:vAlign w:val="bottom"/>
          </w:tcPr>
          <w:p>
            <w:pPr>
              <w:pStyle w:val="TableContents"/>
              <w:spacing w:before="0" w:after="283"/>
              <w:jc w:val="right"/>
              <w:rPr>
                <w:rFonts w:ascii="times" w:hAnsi="times"/>
                <w:sz w:val="14"/>
              </w:rPr>
            </w:pPr>
            <w:r>
              <w:rPr>
                <w:rFonts w:ascii="times" w:hAnsi="times"/>
                <w:sz w:val="14"/>
              </w:rPr>
              <w:t>(62,968</w:t>
            </w:r>
          </w:p>
        </w:tc>
        <w:tc>
          <w:tcPr>
            <w:tcW w:w="159" w:type="dxa"/>
            <w:tcBorders/>
            <w:shd w:fill="auto" w:val="clear"/>
            <w:vAlign w:val="bottom"/>
          </w:tcPr>
          <w:p>
            <w:pPr>
              <w:pStyle w:val="TableContents"/>
              <w:spacing w:before="0" w:after="283"/>
              <w:rPr>
                <w:rFonts w:ascii="times" w:hAnsi="times"/>
                <w:sz w:val="14"/>
              </w:rPr>
            </w:pPr>
            <w:r>
              <w:rPr>
                <w:rFonts w:ascii="times" w:hAnsi="times"/>
                <w:sz w:val="14"/>
              </w:rPr>
              <w:t>)</w:t>
            </w:r>
          </w:p>
        </w:tc>
        <w:tc>
          <w:tcPr>
            <w:tcW w:w="95" w:type="dxa"/>
            <w:tcBorders/>
            <w:shd w:fill="auto" w:val="clear"/>
            <w:vAlign w:val="bottom"/>
          </w:tcPr>
          <w:p>
            <w:pPr>
              <w:pStyle w:val="TableContents"/>
              <w:spacing w:before="0" w:after="283"/>
              <w:rPr/>
            </w:pPr>
            <w:r>
              <w:rPr/>
              <w:t> </w:t>
            </w:r>
          </w:p>
        </w:tc>
        <w:tc>
          <w:tcPr>
            <w:tcW w:w="888" w:type="dxa"/>
            <w:tcBorders/>
            <w:shd w:fill="auto" w:val="clear"/>
            <w:vAlign w:val="bottom"/>
          </w:tcPr>
          <w:p>
            <w:pPr>
              <w:pStyle w:val="TableContents"/>
              <w:spacing w:before="0" w:after="283"/>
              <w:jc w:val="right"/>
              <w:rPr>
                <w:rFonts w:ascii="times" w:hAnsi="times"/>
                <w:sz w:val="14"/>
              </w:rPr>
            </w:pPr>
            <w:r>
              <w:rPr>
                <w:rFonts w:ascii="times" w:hAnsi="times"/>
                <w:sz w:val="14"/>
              </w:rPr>
              <w:t>(70,793</w:t>
            </w:r>
          </w:p>
        </w:tc>
        <w:tc>
          <w:tcPr>
            <w:tcW w:w="159" w:type="dxa"/>
            <w:tcBorders/>
            <w:shd w:fill="auto" w:val="clear"/>
            <w:vAlign w:val="bottom"/>
          </w:tcPr>
          <w:p>
            <w:pPr>
              <w:pStyle w:val="TableContents"/>
              <w:spacing w:before="0" w:after="283"/>
              <w:rPr>
                <w:rFonts w:ascii="times" w:hAnsi="times"/>
                <w:sz w:val="14"/>
              </w:rPr>
            </w:pPr>
            <w:r>
              <w:rPr>
                <w:rFonts w:ascii="times" w:hAnsi="times"/>
                <w:sz w:val="14"/>
              </w:rPr>
              <w:t>)</w:t>
            </w:r>
          </w:p>
        </w:tc>
        <w:tc>
          <w:tcPr>
            <w:tcW w:w="95" w:type="dxa"/>
            <w:tcBorders/>
            <w:shd w:fill="auto" w:val="clear"/>
            <w:vAlign w:val="bottom"/>
          </w:tcPr>
          <w:p>
            <w:pPr>
              <w:pStyle w:val="TableContents"/>
              <w:spacing w:before="0" w:after="283"/>
              <w:rPr/>
            </w:pPr>
            <w:r>
              <w:rPr/>
              <w:t> </w:t>
            </w:r>
          </w:p>
        </w:tc>
        <w:tc>
          <w:tcPr>
            <w:tcW w:w="888" w:type="dxa"/>
            <w:tcBorders/>
            <w:shd w:fill="auto" w:val="clear"/>
            <w:vAlign w:val="bottom"/>
          </w:tcPr>
          <w:p>
            <w:pPr>
              <w:pStyle w:val="TableContents"/>
              <w:spacing w:before="0" w:after="283"/>
              <w:jc w:val="right"/>
              <w:rPr>
                <w:rFonts w:ascii="times" w:hAnsi="times"/>
                <w:sz w:val="14"/>
              </w:rPr>
            </w:pPr>
            <w:r>
              <w:rPr>
                <w:rFonts w:ascii="times" w:hAnsi="times"/>
                <w:sz w:val="14"/>
              </w:rPr>
              <w:t>(72,714</w:t>
            </w:r>
          </w:p>
        </w:tc>
        <w:tc>
          <w:tcPr>
            <w:tcW w:w="159" w:type="dxa"/>
            <w:tcBorders/>
            <w:shd w:fill="auto" w:val="clear"/>
            <w:vAlign w:val="bottom"/>
          </w:tcPr>
          <w:p>
            <w:pPr>
              <w:pStyle w:val="TableContents"/>
              <w:spacing w:before="0" w:after="283"/>
              <w:rPr>
                <w:rFonts w:ascii="times" w:hAnsi="times"/>
                <w:sz w:val="14"/>
              </w:rPr>
            </w:pPr>
            <w:r>
              <w:rPr>
                <w:rFonts w:ascii="times" w:hAnsi="times"/>
                <w:sz w:val="14"/>
              </w:rPr>
              <w:t>)</w:t>
            </w:r>
          </w:p>
        </w:tc>
        <w:tc>
          <w:tcPr>
            <w:tcW w:w="95" w:type="dxa"/>
            <w:tcBorders/>
            <w:shd w:fill="auto" w:val="clear"/>
            <w:vAlign w:val="bottom"/>
          </w:tcPr>
          <w:p>
            <w:pPr>
              <w:pStyle w:val="TableContents"/>
              <w:spacing w:before="0" w:after="283"/>
              <w:rPr/>
            </w:pPr>
            <w:r>
              <w:rPr/>
              <w:t> </w:t>
            </w:r>
          </w:p>
        </w:tc>
        <w:tc>
          <w:tcPr>
            <w:tcW w:w="896" w:type="dxa"/>
            <w:tcBorders/>
            <w:shd w:fill="auto" w:val="clear"/>
            <w:vAlign w:val="bottom"/>
          </w:tcPr>
          <w:p>
            <w:pPr>
              <w:pStyle w:val="TableContents"/>
              <w:spacing w:before="0" w:after="283"/>
              <w:jc w:val="right"/>
              <w:rPr>
                <w:rFonts w:ascii="times" w:hAnsi="times"/>
                <w:sz w:val="14"/>
              </w:rPr>
            </w:pPr>
            <w:r>
              <w:rPr>
                <w:rFonts w:ascii="times" w:hAnsi="times"/>
                <w:sz w:val="14"/>
              </w:rPr>
              <w:t>(71,998</w:t>
            </w:r>
          </w:p>
        </w:tc>
        <w:tc>
          <w:tcPr>
            <w:tcW w:w="159" w:type="dxa"/>
            <w:tcBorders/>
            <w:shd w:fill="auto" w:val="clear"/>
            <w:vAlign w:val="bottom"/>
          </w:tcPr>
          <w:p>
            <w:pPr>
              <w:pStyle w:val="TableContents"/>
              <w:spacing w:before="0" w:after="283"/>
              <w:rPr>
                <w:rFonts w:ascii="times" w:hAnsi="times"/>
                <w:sz w:val="14"/>
              </w:rPr>
            </w:pPr>
            <w:r>
              <w:rPr>
                <w:rFonts w:ascii="times" w:hAnsi="times"/>
                <w:sz w:val="14"/>
              </w:rPr>
              <w:t>)</w:t>
            </w:r>
          </w:p>
        </w:tc>
        <w:tc>
          <w:tcPr>
            <w:tcW w:w="95" w:type="dxa"/>
            <w:tcBorders/>
            <w:shd w:fill="auto" w:val="clear"/>
            <w:vAlign w:val="bottom"/>
          </w:tcPr>
          <w:p>
            <w:pPr>
              <w:pStyle w:val="TableContents"/>
              <w:spacing w:before="0" w:after="283"/>
              <w:rPr/>
            </w:pPr>
            <w:r>
              <w:rPr/>
              <w:t> </w:t>
            </w:r>
          </w:p>
        </w:tc>
        <w:tc>
          <w:tcPr>
            <w:tcW w:w="888" w:type="dxa"/>
            <w:tcBorders/>
            <w:shd w:fill="auto" w:val="clear"/>
            <w:vAlign w:val="bottom"/>
          </w:tcPr>
          <w:p>
            <w:pPr>
              <w:pStyle w:val="TableContents"/>
              <w:spacing w:before="0" w:after="283"/>
              <w:jc w:val="right"/>
              <w:rPr>
                <w:rFonts w:ascii="times" w:hAnsi="times"/>
                <w:sz w:val="14"/>
              </w:rPr>
            </w:pPr>
            <w:r>
              <w:rPr>
                <w:rFonts w:ascii="times" w:hAnsi="times"/>
                <w:sz w:val="14"/>
              </w:rPr>
              <w:t>(50,987</w:t>
            </w:r>
          </w:p>
        </w:tc>
        <w:tc>
          <w:tcPr>
            <w:tcW w:w="165" w:type="dxa"/>
            <w:tcBorders/>
            <w:shd w:fill="auto" w:val="clear"/>
            <w:vAlign w:val="bottom"/>
          </w:tcPr>
          <w:p>
            <w:pPr>
              <w:pStyle w:val="TableContents"/>
              <w:spacing w:before="0" w:after="283"/>
              <w:rPr>
                <w:rFonts w:ascii="times" w:hAnsi="times"/>
                <w:sz w:val="14"/>
              </w:rPr>
            </w:pPr>
            <w:r>
              <w:rPr>
                <w:rFonts w:ascii="times" w:hAnsi="times"/>
                <w:sz w:val="14"/>
              </w:rPr>
              <w:t>)</w:t>
            </w:r>
          </w:p>
        </w:tc>
      </w:tr>
      <w:tr>
        <w:trPr/>
        <w:tc>
          <w:tcPr>
            <w:tcW w:w="4323" w:type="dxa"/>
            <w:tcBorders/>
            <w:shd w:fill="auto" w:val="clear"/>
            <w:vAlign w:val="bottom"/>
          </w:tcPr>
          <w:p>
            <w:pPr>
              <w:pStyle w:val="TableContents"/>
              <w:spacing w:before="0" w:after="283"/>
              <w:ind w:left="140" w:right="0" w:hanging="140"/>
              <w:rPr>
                <w:rFonts w:ascii="times" w:hAnsi="times"/>
                <w:sz w:val="14"/>
              </w:rPr>
            </w:pPr>
            <w:r>
              <w:rPr>
                <w:rFonts w:ascii="times" w:hAnsi="times"/>
                <w:sz w:val="14"/>
              </w:rPr>
              <w:t>Financial income</w:t>
            </w:r>
          </w:p>
        </w:tc>
        <w:tc>
          <w:tcPr>
            <w:tcW w:w="158"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888" w:type="dxa"/>
            <w:tcBorders/>
            <w:shd w:fill="auto" w:val="clear"/>
            <w:vAlign w:val="bottom"/>
          </w:tcPr>
          <w:p>
            <w:pPr>
              <w:pStyle w:val="TableContents"/>
              <w:spacing w:before="0" w:after="283"/>
              <w:jc w:val="right"/>
              <w:rPr>
                <w:rFonts w:ascii="times" w:hAnsi="times"/>
                <w:sz w:val="14"/>
              </w:rPr>
            </w:pPr>
            <w:r>
              <w:rPr>
                <w:rFonts w:ascii="times" w:hAnsi="times"/>
                <w:sz w:val="14"/>
              </w:rPr>
              <w:t>214</w:t>
            </w:r>
          </w:p>
        </w:tc>
        <w:tc>
          <w:tcPr>
            <w:tcW w:w="159"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888" w:type="dxa"/>
            <w:tcBorders/>
            <w:shd w:fill="auto" w:val="clear"/>
            <w:vAlign w:val="bottom"/>
          </w:tcPr>
          <w:p>
            <w:pPr>
              <w:pStyle w:val="TableContents"/>
              <w:spacing w:before="0" w:after="283"/>
              <w:jc w:val="right"/>
              <w:rPr>
                <w:rFonts w:ascii="times" w:hAnsi="times"/>
                <w:sz w:val="14"/>
              </w:rPr>
            </w:pPr>
            <w:r>
              <w:rPr>
                <w:rFonts w:ascii="times" w:hAnsi="times"/>
                <w:sz w:val="14"/>
              </w:rPr>
              <w:t>1,036</w:t>
            </w:r>
          </w:p>
        </w:tc>
        <w:tc>
          <w:tcPr>
            <w:tcW w:w="159"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888" w:type="dxa"/>
            <w:tcBorders/>
            <w:shd w:fill="auto" w:val="clear"/>
            <w:vAlign w:val="bottom"/>
          </w:tcPr>
          <w:p>
            <w:pPr>
              <w:pStyle w:val="TableContents"/>
              <w:spacing w:before="0" w:after="283"/>
              <w:jc w:val="right"/>
              <w:rPr>
                <w:rFonts w:ascii="times" w:hAnsi="times"/>
                <w:sz w:val="14"/>
              </w:rPr>
            </w:pPr>
            <w:r>
              <w:rPr>
                <w:rFonts w:ascii="times" w:hAnsi="times"/>
                <w:sz w:val="14"/>
              </w:rPr>
              <w:t>2,448</w:t>
            </w:r>
          </w:p>
        </w:tc>
        <w:tc>
          <w:tcPr>
            <w:tcW w:w="159"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896" w:type="dxa"/>
            <w:tcBorders/>
            <w:shd w:fill="auto" w:val="clear"/>
            <w:vAlign w:val="bottom"/>
          </w:tcPr>
          <w:p>
            <w:pPr>
              <w:pStyle w:val="TableContents"/>
              <w:spacing w:before="0" w:after="283"/>
              <w:jc w:val="right"/>
              <w:rPr>
                <w:rFonts w:ascii="times" w:hAnsi="times"/>
                <w:sz w:val="14"/>
              </w:rPr>
            </w:pPr>
            <w:r>
              <w:rPr>
                <w:rFonts w:ascii="times" w:hAnsi="times"/>
                <w:sz w:val="14"/>
              </w:rPr>
              <w:t>1,887</w:t>
            </w:r>
          </w:p>
        </w:tc>
        <w:tc>
          <w:tcPr>
            <w:tcW w:w="159"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888" w:type="dxa"/>
            <w:tcBorders/>
            <w:shd w:fill="auto" w:val="clear"/>
            <w:vAlign w:val="bottom"/>
          </w:tcPr>
          <w:p>
            <w:pPr>
              <w:pStyle w:val="TableContents"/>
              <w:spacing w:before="0" w:after="283"/>
              <w:jc w:val="right"/>
              <w:rPr>
                <w:rFonts w:ascii="times" w:hAnsi="times"/>
                <w:sz w:val="14"/>
              </w:rPr>
            </w:pPr>
            <w:r>
              <w:rPr>
                <w:rFonts w:ascii="times" w:hAnsi="times"/>
                <w:sz w:val="14"/>
              </w:rPr>
              <w:t>295</w:t>
            </w:r>
          </w:p>
        </w:tc>
        <w:tc>
          <w:tcPr>
            <w:tcW w:w="165" w:type="dxa"/>
            <w:tcBorders/>
            <w:shd w:fill="auto" w:val="clear"/>
            <w:vAlign w:val="bottom"/>
          </w:tcPr>
          <w:p>
            <w:pPr>
              <w:pStyle w:val="TableContents"/>
              <w:spacing w:before="0" w:after="283"/>
              <w:rPr/>
            </w:pPr>
            <w:r>
              <w:rPr/>
              <w:t> </w:t>
            </w:r>
          </w:p>
        </w:tc>
      </w:tr>
      <w:tr>
        <w:trPr/>
        <w:tc>
          <w:tcPr>
            <w:tcW w:w="4323" w:type="dxa"/>
            <w:tcBorders/>
            <w:shd w:fill="auto" w:val="clear"/>
            <w:vAlign w:val="bottom"/>
          </w:tcPr>
          <w:p>
            <w:pPr>
              <w:pStyle w:val="TableContents"/>
              <w:spacing w:before="0" w:after="283"/>
              <w:ind w:left="140" w:right="0" w:hanging="140"/>
              <w:rPr>
                <w:rFonts w:ascii="times" w:hAnsi="times"/>
                <w:sz w:val="14"/>
              </w:rPr>
            </w:pPr>
            <w:r>
              <w:rPr>
                <w:rFonts w:ascii="times" w:hAnsi="times"/>
                <w:sz w:val="14"/>
              </w:rPr>
              <w:t>(Loss)/gain on derivatives</w:t>
            </w:r>
          </w:p>
        </w:tc>
        <w:tc>
          <w:tcPr>
            <w:tcW w:w="158"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888" w:type="dxa"/>
            <w:tcBorders/>
            <w:shd w:fill="auto" w:val="clear"/>
            <w:vAlign w:val="bottom"/>
          </w:tcPr>
          <w:p>
            <w:pPr>
              <w:pStyle w:val="TableContents"/>
              <w:spacing w:before="0" w:after="283"/>
              <w:jc w:val="right"/>
              <w:rPr>
                <w:rFonts w:ascii="times" w:hAnsi="times"/>
                <w:sz w:val="14"/>
              </w:rPr>
            </w:pPr>
            <w:r>
              <w:rPr>
                <w:rFonts w:ascii="times" w:hAnsi="times"/>
                <w:sz w:val="14"/>
              </w:rPr>
              <w:t>(6,837</w:t>
            </w:r>
          </w:p>
        </w:tc>
        <w:tc>
          <w:tcPr>
            <w:tcW w:w="159" w:type="dxa"/>
            <w:tcBorders/>
            <w:shd w:fill="auto" w:val="clear"/>
            <w:vAlign w:val="bottom"/>
          </w:tcPr>
          <w:p>
            <w:pPr>
              <w:pStyle w:val="TableContents"/>
              <w:spacing w:before="0" w:after="283"/>
              <w:rPr>
                <w:rFonts w:ascii="times" w:hAnsi="times"/>
                <w:sz w:val="14"/>
              </w:rPr>
            </w:pPr>
            <w:r>
              <w:rPr>
                <w:rFonts w:ascii="times" w:hAnsi="times"/>
                <w:sz w:val="14"/>
              </w:rPr>
              <w:t>)</w:t>
            </w:r>
          </w:p>
        </w:tc>
        <w:tc>
          <w:tcPr>
            <w:tcW w:w="95" w:type="dxa"/>
            <w:tcBorders/>
            <w:shd w:fill="auto" w:val="clear"/>
            <w:vAlign w:val="bottom"/>
          </w:tcPr>
          <w:p>
            <w:pPr>
              <w:pStyle w:val="TableContents"/>
              <w:spacing w:before="0" w:after="283"/>
              <w:rPr/>
            </w:pPr>
            <w:r>
              <w:rPr/>
              <w:t> </w:t>
            </w:r>
          </w:p>
        </w:tc>
        <w:tc>
          <w:tcPr>
            <w:tcW w:w="888" w:type="dxa"/>
            <w:tcBorders/>
            <w:shd w:fill="auto" w:val="clear"/>
            <w:vAlign w:val="bottom"/>
          </w:tcPr>
          <w:p>
            <w:pPr>
              <w:pStyle w:val="TableContents"/>
              <w:spacing w:before="0" w:after="283"/>
              <w:jc w:val="right"/>
              <w:rPr>
                <w:rFonts w:ascii="times" w:hAnsi="times"/>
                <w:sz w:val="14"/>
              </w:rPr>
            </w:pPr>
            <w:r>
              <w:rPr>
                <w:rFonts w:ascii="times" w:hAnsi="times"/>
                <w:sz w:val="14"/>
              </w:rPr>
              <w:t>121</w:t>
            </w:r>
          </w:p>
        </w:tc>
        <w:tc>
          <w:tcPr>
            <w:tcW w:w="159"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888" w:type="dxa"/>
            <w:tcBorders/>
            <w:shd w:fill="auto" w:val="clear"/>
            <w:vAlign w:val="bottom"/>
          </w:tcPr>
          <w:p>
            <w:pPr>
              <w:pStyle w:val="TableContents"/>
              <w:spacing w:before="0" w:after="283"/>
              <w:jc w:val="right"/>
              <w:rPr>
                <w:rFonts w:ascii="times" w:hAnsi="times"/>
                <w:sz w:val="14"/>
              </w:rPr>
            </w:pPr>
            <w:r>
              <w:rPr>
                <w:rFonts w:ascii="times" w:hAnsi="times"/>
                <w:sz w:val="14"/>
              </w:rPr>
              <w:t>(48</w:t>
            </w:r>
          </w:p>
        </w:tc>
        <w:tc>
          <w:tcPr>
            <w:tcW w:w="159" w:type="dxa"/>
            <w:tcBorders/>
            <w:shd w:fill="auto" w:val="clear"/>
            <w:vAlign w:val="bottom"/>
          </w:tcPr>
          <w:p>
            <w:pPr>
              <w:pStyle w:val="TableContents"/>
              <w:spacing w:before="0" w:after="283"/>
              <w:rPr>
                <w:rFonts w:ascii="times" w:hAnsi="times"/>
                <w:sz w:val="14"/>
              </w:rPr>
            </w:pPr>
            <w:r>
              <w:rPr>
                <w:rFonts w:ascii="times" w:hAnsi="times"/>
                <w:sz w:val="14"/>
              </w:rPr>
              <w:t>)</w:t>
            </w:r>
          </w:p>
        </w:tc>
        <w:tc>
          <w:tcPr>
            <w:tcW w:w="95" w:type="dxa"/>
            <w:tcBorders/>
            <w:shd w:fill="auto" w:val="clear"/>
            <w:vAlign w:val="bottom"/>
          </w:tcPr>
          <w:p>
            <w:pPr>
              <w:pStyle w:val="TableContents"/>
              <w:spacing w:before="0" w:after="283"/>
              <w:rPr/>
            </w:pPr>
            <w:r>
              <w:rPr/>
              <w:t> </w:t>
            </w:r>
          </w:p>
        </w:tc>
        <w:tc>
          <w:tcPr>
            <w:tcW w:w="896" w:type="dxa"/>
            <w:tcBorders/>
            <w:shd w:fill="auto" w:val="clear"/>
            <w:vAlign w:val="bottom"/>
          </w:tcPr>
          <w:p>
            <w:pPr>
              <w:pStyle w:val="TableContents"/>
              <w:spacing w:before="0" w:after="283"/>
              <w:jc w:val="right"/>
              <w:rPr>
                <w:rFonts w:ascii="times" w:hAnsi="times"/>
                <w:sz w:val="14"/>
              </w:rPr>
            </w:pPr>
            <w:r>
              <w:rPr>
                <w:rFonts w:ascii="times" w:hAnsi="times"/>
                <w:sz w:val="14"/>
              </w:rPr>
              <w:t>(12,795</w:t>
            </w:r>
          </w:p>
        </w:tc>
        <w:tc>
          <w:tcPr>
            <w:tcW w:w="159" w:type="dxa"/>
            <w:tcBorders/>
            <w:shd w:fill="auto" w:val="clear"/>
            <w:vAlign w:val="bottom"/>
          </w:tcPr>
          <w:p>
            <w:pPr>
              <w:pStyle w:val="TableContents"/>
              <w:spacing w:before="0" w:after="283"/>
              <w:rPr>
                <w:rFonts w:ascii="times" w:hAnsi="times"/>
                <w:sz w:val="14"/>
              </w:rPr>
            </w:pPr>
            <w:r>
              <w:rPr>
                <w:rFonts w:ascii="times" w:hAnsi="times"/>
                <w:sz w:val="14"/>
              </w:rPr>
              <w:t>)</w:t>
            </w:r>
          </w:p>
        </w:tc>
        <w:tc>
          <w:tcPr>
            <w:tcW w:w="95" w:type="dxa"/>
            <w:tcBorders/>
            <w:shd w:fill="auto" w:val="clear"/>
            <w:vAlign w:val="bottom"/>
          </w:tcPr>
          <w:p>
            <w:pPr>
              <w:pStyle w:val="TableContents"/>
              <w:spacing w:before="0" w:after="283"/>
              <w:rPr/>
            </w:pPr>
            <w:r>
              <w:rPr/>
              <w:t> </w:t>
            </w:r>
          </w:p>
        </w:tc>
        <w:tc>
          <w:tcPr>
            <w:tcW w:w="888" w:type="dxa"/>
            <w:tcBorders/>
            <w:shd w:fill="auto" w:val="clear"/>
            <w:vAlign w:val="bottom"/>
          </w:tcPr>
          <w:p>
            <w:pPr>
              <w:pStyle w:val="TableContents"/>
              <w:spacing w:before="0" w:after="283"/>
              <w:jc w:val="right"/>
              <w:rPr>
                <w:rFonts w:ascii="times" w:hAnsi="times"/>
                <w:sz w:val="14"/>
              </w:rPr>
            </w:pPr>
            <w:r>
              <w:rPr>
                <w:rFonts w:ascii="times" w:hAnsi="times"/>
                <w:sz w:val="14"/>
              </w:rPr>
              <w:t>(14,929</w:t>
            </w:r>
          </w:p>
        </w:tc>
        <w:tc>
          <w:tcPr>
            <w:tcW w:w="165" w:type="dxa"/>
            <w:tcBorders/>
            <w:shd w:fill="auto" w:val="clear"/>
            <w:vAlign w:val="bottom"/>
          </w:tcPr>
          <w:p>
            <w:pPr>
              <w:pStyle w:val="TableContents"/>
              <w:spacing w:before="0" w:after="283"/>
              <w:rPr>
                <w:rFonts w:ascii="times" w:hAnsi="times"/>
                <w:sz w:val="14"/>
              </w:rPr>
            </w:pPr>
            <w:r>
              <w:rPr>
                <w:rFonts w:ascii="times" w:hAnsi="times"/>
                <w:sz w:val="14"/>
              </w:rPr>
              <w:t xml:space="preserve">) </w:t>
            </w:r>
          </w:p>
        </w:tc>
      </w:tr>
      <w:tr>
        <w:trPr/>
        <w:tc>
          <w:tcPr>
            <w:tcW w:w="4323" w:type="dxa"/>
            <w:tcBorders/>
            <w:shd w:fill="FFFFFF" w:val="clear"/>
            <w:vAlign w:val="bottom"/>
          </w:tcPr>
          <w:p>
            <w:pPr>
              <w:pStyle w:val="TableContents"/>
              <w:spacing w:before="0" w:after="283"/>
              <w:rPr/>
            </w:pPr>
            <w:r>
              <w:rPr/>
              <w:t>​</w:t>
            </w:r>
          </w:p>
        </w:tc>
        <w:tc>
          <w:tcPr>
            <w:tcW w:w="158" w:type="dxa"/>
            <w:tcBorders/>
            <w:shd w:fill="FFFFFF" w:val="clear"/>
            <w:vAlign w:val="bottom"/>
          </w:tcPr>
          <w:p>
            <w:pPr>
              <w:pStyle w:val="TableContents"/>
              <w:spacing w:before="0" w:after="283"/>
              <w:rPr/>
            </w:pPr>
            <w:r>
              <w:rPr/>
              <w:t>​</w:t>
            </w:r>
          </w:p>
        </w:tc>
        <w:tc>
          <w:tcPr>
            <w:tcW w:w="95" w:type="dxa"/>
            <w:tcBorders>
              <w:bottom w:val="single" w:sz="8" w:space="0" w:color="000000"/>
            </w:tcBorders>
            <w:shd w:fill="FFFFFF" w:val="clear"/>
            <w:tcMar>
              <w:bottom w:w="28" w:type="dxa"/>
            </w:tcMar>
            <w:vAlign w:val="bottom"/>
          </w:tcPr>
          <w:p>
            <w:pPr>
              <w:pStyle w:val="TableContents"/>
              <w:spacing w:before="0" w:after="283"/>
              <w:rPr/>
            </w:pPr>
            <w:r>
              <w:rPr/>
              <w:t xml:space="preserve">​ </w:t>
            </w:r>
          </w:p>
        </w:tc>
        <w:tc>
          <w:tcPr>
            <w:tcW w:w="888" w:type="dxa"/>
            <w:tcBorders>
              <w:bottom w:val="single" w:sz="8" w:space="0" w:color="000000"/>
            </w:tcBorders>
            <w:shd w:fill="FFFFFF" w:val="clear"/>
            <w:tcMar>
              <w:bottom w:w="28" w:type="dxa"/>
            </w:tcMar>
            <w:vAlign w:val="bottom"/>
          </w:tcPr>
          <w:p>
            <w:pPr>
              <w:pStyle w:val="TableContents"/>
              <w:spacing w:before="0" w:after="283"/>
              <w:jc w:val="right"/>
              <w:rPr/>
            </w:pPr>
            <w:r>
              <w:rPr/>
              <w:t xml:space="preserve">​ </w:t>
            </w:r>
          </w:p>
        </w:tc>
        <w:tc>
          <w:tcPr>
            <w:tcW w:w="159" w:type="dxa"/>
            <w:tcBorders/>
            <w:shd w:fill="FFFFFF" w:val="clear"/>
            <w:vAlign w:val="bottom"/>
          </w:tcPr>
          <w:p>
            <w:pPr>
              <w:pStyle w:val="TableContents"/>
              <w:spacing w:before="0" w:after="283"/>
              <w:rPr/>
            </w:pPr>
            <w:r>
              <w:rPr/>
              <w:t>​</w:t>
            </w:r>
          </w:p>
        </w:tc>
        <w:tc>
          <w:tcPr>
            <w:tcW w:w="95" w:type="dxa"/>
            <w:tcBorders>
              <w:bottom w:val="single" w:sz="8" w:space="0" w:color="000000"/>
            </w:tcBorders>
            <w:shd w:fill="FFFFFF" w:val="clear"/>
            <w:tcMar>
              <w:bottom w:w="28" w:type="dxa"/>
            </w:tcMar>
            <w:vAlign w:val="bottom"/>
          </w:tcPr>
          <w:p>
            <w:pPr>
              <w:pStyle w:val="TableContents"/>
              <w:spacing w:before="0" w:after="283"/>
              <w:rPr/>
            </w:pPr>
            <w:r>
              <w:rPr/>
              <w:t xml:space="preserve">​ </w:t>
            </w:r>
          </w:p>
        </w:tc>
        <w:tc>
          <w:tcPr>
            <w:tcW w:w="888" w:type="dxa"/>
            <w:tcBorders>
              <w:bottom w:val="single" w:sz="8" w:space="0" w:color="000000"/>
            </w:tcBorders>
            <w:shd w:fill="FFFFFF" w:val="clear"/>
            <w:tcMar>
              <w:bottom w:w="28" w:type="dxa"/>
            </w:tcMar>
            <w:vAlign w:val="bottom"/>
          </w:tcPr>
          <w:p>
            <w:pPr>
              <w:pStyle w:val="TableContents"/>
              <w:spacing w:before="0" w:after="283"/>
              <w:jc w:val="right"/>
              <w:rPr/>
            </w:pPr>
            <w:r>
              <w:rPr/>
              <w:t xml:space="preserve">​ </w:t>
            </w:r>
          </w:p>
        </w:tc>
        <w:tc>
          <w:tcPr>
            <w:tcW w:w="159" w:type="dxa"/>
            <w:tcBorders/>
            <w:shd w:fill="FFFFFF" w:val="clear"/>
            <w:vAlign w:val="bottom"/>
          </w:tcPr>
          <w:p>
            <w:pPr>
              <w:pStyle w:val="TableContents"/>
              <w:spacing w:before="0" w:after="283"/>
              <w:rPr/>
            </w:pPr>
            <w:r>
              <w:rPr/>
              <w:t>​</w:t>
            </w:r>
          </w:p>
        </w:tc>
        <w:tc>
          <w:tcPr>
            <w:tcW w:w="95" w:type="dxa"/>
            <w:tcBorders>
              <w:bottom w:val="single" w:sz="8" w:space="0" w:color="000000"/>
            </w:tcBorders>
            <w:shd w:fill="FFFFFF" w:val="clear"/>
            <w:tcMar>
              <w:bottom w:w="28" w:type="dxa"/>
            </w:tcMar>
            <w:vAlign w:val="bottom"/>
          </w:tcPr>
          <w:p>
            <w:pPr>
              <w:pStyle w:val="TableContents"/>
              <w:spacing w:before="0" w:after="283"/>
              <w:rPr/>
            </w:pPr>
            <w:r>
              <w:rPr/>
              <w:t xml:space="preserve">​ </w:t>
            </w:r>
          </w:p>
        </w:tc>
        <w:tc>
          <w:tcPr>
            <w:tcW w:w="888" w:type="dxa"/>
            <w:tcBorders>
              <w:bottom w:val="single" w:sz="8" w:space="0" w:color="000000"/>
            </w:tcBorders>
            <w:shd w:fill="FFFFFF" w:val="clear"/>
            <w:tcMar>
              <w:bottom w:w="28" w:type="dxa"/>
            </w:tcMar>
            <w:vAlign w:val="bottom"/>
          </w:tcPr>
          <w:p>
            <w:pPr>
              <w:pStyle w:val="TableContents"/>
              <w:spacing w:before="0" w:after="283"/>
              <w:jc w:val="right"/>
              <w:rPr/>
            </w:pPr>
            <w:r>
              <w:rPr/>
              <w:t xml:space="preserve">​ </w:t>
            </w:r>
          </w:p>
        </w:tc>
        <w:tc>
          <w:tcPr>
            <w:tcW w:w="159" w:type="dxa"/>
            <w:tcBorders/>
            <w:shd w:fill="FFFFFF" w:val="clear"/>
            <w:vAlign w:val="bottom"/>
          </w:tcPr>
          <w:p>
            <w:pPr>
              <w:pStyle w:val="TableContents"/>
              <w:spacing w:before="0" w:after="283"/>
              <w:rPr/>
            </w:pPr>
            <w:r>
              <w:rPr/>
              <w:t>​</w:t>
            </w:r>
          </w:p>
        </w:tc>
        <w:tc>
          <w:tcPr>
            <w:tcW w:w="95" w:type="dxa"/>
            <w:tcBorders>
              <w:bottom w:val="single" w:sz="8" w:space="0" w:color="000000"/>
            </w:tcBorders>
            <w:shd w:fill="FFFFFF" w:val="clear"/>
            <w:tcMar>
              <w:bottom w:w="28" w:type="dxa"/>
            </w:tcMar>
            <w:vAlign w:val="bottom"/>
          </w:tcPr>
          <w:p>
            <w:pPr>
              <w:pStyle w:val="TableContents"/>
              <w:spacing w:before="0" w:after="283"/>
              <w:rPr/>
            </w:pPr>
            <w:r>
              <w:rPr/>
              <w:t xml:space="preserve">​ </w:t>
            </w:r>
          </w:p>
        </w:tc>
        <w:tc>
          <w:tcPr>
            <w:tcW w:w="896" w:type="dxa"/>
            <w:tcBorders>
              <w:bottom w:val="single" w:sz="8" w:space="0" w:color="000000"/>
            </w:tcBorders>
            <w:shd w:fill="FFFFFF" w:val="clear"/>
            <w:tcMar>
              <w:bottom w:w="28" w:type="dxa"/>
            </w:tcMar>
            <w:vAlign w:val="bottom"/>
          </w:tcPr>
          <w:p>
            <w:pPr>
              <w:pStyle w:val="TableContents"/>
              <w:spacing w:before="0" w:after="283"/>
              <w:jc w:val="right"/>
              <w:rPr/>
            </w:pPr>
            <w:r>
              <w:rPr/>
              <w:t xml:space="preserve">​ </w:t>
            </w:r>
          </w:p>
        </w:tc>
        <w:tc>
          <w:tcPr>
            <w:tcW w:w="159" w:type="dxa"/>
            <w:tcBorders/>
            <w:shd w:fill="FFFFFF" w:val="clear"/>
            <w:vAlign w:val="bottom"/>
          </w:tcPr>
          <w:p>
            <w:pPr>
              <w:pStyle w:val="TableContents"/>
              <w:spacing w:before="0" w:after="283"/>
              <w:rPr/>
            </w:pPr>
            <w:r>
              <w:rPr/>
              <w:t>​</w:t>
            </w:r>
          </w:p>
        </w:tc>
        <w:tc>
          <w:tcPr>
            <w:tcW w:w="95" w:type="dxa"/>
            <w:tcBorders>
              <w:bottom w:val="single" w:sz="8" w:space="0" w:color="000000"/>
            </w:tcBorders>
            <w:shd w:fill="FFFFFF" w:val="clear"/>
            <w:tcMar>
              <w:bottom w:w="28" w:type="dxa"/>
            </w:tcMar>
            <w:vAlign w:val="bottom"/>
          </w:tcPr>
          <w:p>
            <w:pPr>
              <w:pStyle w:val="TableContents"/>
              <w:spacing w:before="0" w:after="283"/>
              <w:rPr/>
            </w:pPr>
            <w:r>
              <w:rPr/>
              <w:t xml:space="preserve">​ </w:t>
            </w:r>
          </w:p>
        </w:tc>
        <w:tc>
          <w:tcPr>
            <w:tcW w:w="888" w:type="dxa"/>
            <w:tcBorders>
              <w:bottom w:val="single" w:sz="8" w:space="0" w:color="000000"/>
            </w:tcBorders>
            <w:shd w:fill="FFFFFF" w:val="clear"/>
            <w:tcMar>
              <w:bottom w:w="28" w:type="dxa"/>
            </w:tcMar>
            <w:vAlign w:val="bottom"/>
          </w:tcPr>
          <w:p>
            <w:pPr>
              <w:pStyle w:val="TableContents"/>
              <w:spacing w:before="0" w:after="283"/>
              <w:jc w:val="right"/>
              <w:rPr/>
            </w:pPr>
            <w:r>
              <w:rPr/>
              <w:t xml:space="preserve">​ </w:t>
            </w:r>
          </w:p>
        </w:tc>
        <w:tc>
          <w:tcPr>
            <w:tcW w:w="165" w:type="dxa"/>
            <w:tcBorders/>
            <w:shd w:fill="FFFFFF" w:val="clear"/>
            <w:vAlign w:val="bottom"/>
          </w:tcPr>
          <w:p>
            <w:pPr>
              <w:pStyle w:val="TableContents"/>
              <w:spacing w:before="0" w:after="283"/>
              <w:rPr/>
            </w:pPr>
            <w:r>
              <w:rPr/>
              <w:t>​</w:t>
            </w:r>
          </w:p>
        </w:tc>
      </w:tr>
      <w:tr>
        <w:trPr/>
        <w:tc>
          <w:tcPr>
            <w:tcW w:w="4323" w:type="dxa"/>
            <w:tcBorders/>
            <w:shd w:fill="auto" w:val="clear"/>
            <w:vAlign w:val="bottom"/>
          </w:tcPr>
          <w:p>
            <w:pPr>
              <w:pStyle w:val="TableContents"/>
              <w:spacing w:before="0" w:after="283"/>
              <w:ind w:left="140" w:right="0" w:hanging="140"/>
              <w:rPr>
                <w:rFonts w:ascii="times" w:hAnsi="times"/>
                <w:b/>
                <w:sz w:val="14"/>
              </w:rPr>
            </w:pPr>
            <w:r>
              <w:rPr>
                <w:rFonts w:ascii="times" w:hAnsi="times"/>
                <w:b/>
                <w:sz w:val="14"/>
              </w:rPr>
              <w:t>Total other expenses, net</w:t>
            </w:r>
          </w:p>
        </w:tc>
        <w:tc>
          <w:tcPr>
            <w:tcW w:w="158"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888" w:type="dxa"/>
            <w:tcBorders/>
            <w:shd w:fill="auto" w:val="clear"/>
            <w:vAlign w:val="bottom"/>
          </w:tcPr>
          <w:p>
            <w:pPr>
              <w:pStyle w:val="TableContents"/>
              <w:spacing w:before="0" w:after="283"/>
              <w:jc w:val="right"/>
              <w:rPr>
                <w:rFonts w:ascii="times" w:hAnsi="times"/>
                <w:b/>
                <w:sz w:val="14"/>
              </w:rPr>
            </w:pPr>
            <w:r>
              <w:rPr>
                <w:rFonts w:ascii="times" w:hAnsi="times"/>
                <w:b/>
                <w:sz w:val="14"/>
              </w:rPr>
              <w:t>(69,591</w:t>
            </w:r>
          </w:p>
        </w:tc>
        <w:tc>
          <w:tcPr>
            <w:tcW w:w="159" w:type="dxa"/>
            <w:tcBorders/>
            <w:shd w:fill="auto" w:val="clear"/>
            <w:vAlign w:val="bottom"/>
          </w:tcPr>
          <w:p>
            <w:pPr>
              <w:pStyle w:val="TableContents"/>
              <w:spacing w:before="0" w:after="283"/>
              <w:rPr>
                <w:rFonts w:ascii="times" w:hAnsi="times"/>
                <w:b/>
                <w:sz w:val="14"/>
              </w:rPr>
            </w:pPr>
            <w:r>
              <w:rPr>
                <w:rFonts w:ascii="times" w:hAnsi="times"/>
                <w:b/>
                <w:sz w:val="14"/>
              </w:rPr>
              <w:t>)</w:t>
            </w:r>
          </w:p>
        </w:tc>
        <w:tc>
          <w:tcPr>
            <w:tcW w:w="95" w:type="dxa"/>
            <w:tcBorders/>
            <w:shd w:fill="auto" w:val="clear"/>
            <w:vAlign w:val="bottom"/>
          </w:tcPr>
          <w:p>
            <w:pPr>
              <w:pStyle w:val="TableContents"/>
              <w:spacing w:before="0" w:after="283"/>
              <w:rPr/>
            </w:pPr>
            <w:r>
              <w:rPr/>
              <w:t> </w:t>
            </w:r>
          </w:p>
        </w:tc>
        <w:tc>
          <w:tcPr>
            <w:tcW w:w="888" w:type="dxa"/>
            <w:tcBorders/>
            <w:shd w:fill="auto" w:val="clear"/>
            <w:vAlign w:val="bottom"/>
          </w:tcPr>
          <w:p>
            <w:pPr>
              <w:pStyle w:val="TableContents"/>
              <w:spacing w:before="0" w:after="283"/>
              <w:jc w:val="right"/>
              <w:rPr>
                <w:rFonts w:ascii="times" w:hAnsi="times"/>
                <w:b/>
                <w:sz w:val="14"/>
              </w:rPr>
            </w:pPr>
            <w:r>
              <w:rPr>
                <w:rFonts w:ascii="times" w:hAnsi="times"/>
                <w:b/>
                <w:sz w:val="14"/>
              </w:rPr>
              <w:t>(69,636</w:t>
            </w:r>
          </w:p>
        </w:tc>
        <w:tc>
          <w:tcPr>
            <w:tcW w:w="159" w:type="dxa"/>
            <w:tcBorders/>
            <w:shd w:fill="auto" w:val="clear"/>
            <w:vAlign w:val="bottom"/>
          </w:tcPr>
          <w:p>
            <w:pPr>
              <w:pStyle w:val="TableContents"/>
              <w:spacing w:before="0" w:after="283"/>
              <w:rPr>
                <w:rFonts w:ascii="times" w:hAnsi="times"/>
                <w:b/>
                <w:sz w:val="14"/>
              </w:rPr>
            </w:pPr>
            <w:r>
              <w:rPr>
                <w:rFonts w:ascii="times" w:hAnsi="times"/>
                <w:b/>
                <w:sz w:val="14"/>
              </w:rPr>
              <w:t>)</w:t>
            </w:r>
          </w:p>
        </w:tc>
        <w:tc>
          <w:tcPr>
            <w:tcW w:w="95" w:type="dxa"/>
            <w:tcBorders/>
            <w:shd w:fill="auto" w:val="clear"/>
            <w:vAlign w:val="bottom"/>
          </w:tcPr>
          <w:p>
            <w:pPr>
              <w:pStyle w:val="TableContents"/>
              <w:spacing w:before="0" w:after="283"/>
              <w:rPr/>
            </w:pPr>
            <w:r>
              <w:rPr/>
              <w:t> </w:t>
            </w:r>
          </w:p>
        </w:tc>
        <w:tc>
          <w:tcPr>
            <w:tcW w:w="888" w:type="dxa"/>
            <w:tcBorders/>
            <w:shd w:fill="auto" w:val="clear"/>
            <w:vAlign w:val="bottom"/>
          </w:tcPr>
          <w:p>
            <w:pPr>
              <w:pStyle w:val="TableContents"/>
              <w:spacing w:before="0" w:after="283"/>
              <w:jc w:val="right"/>
              <w:rPr>
                <w:rFonts w:ascii="times" w:hAnsi="times"/>
                <w:b/>
                <w:sz w:val="14"/>
              </w:rPr>
            </w:pPr>
            <w:r>
              <w:rPr>
                <w:rFonts w:ascii="times" w:hAnsi="times"/>
                <w:b/>
                <w:sz w:val="14"/>
              </w:rPr>
              <w:t>(70,314</w:t>
            </w:r>
          </w:p>
        </w:tc>
        <w:tc>
          <w:tcPr>
            <w:tcW w:w="159" w:type="dxa"/>
            <w:tcBorders/>
            <w:shd w:fill="auto" w:val="clear"/>
            <w:vAlign w:val="bottom"/>
          </w:tcPr>
          <w:p>
            <w:pPr>
              <w:pStyle w:val="TableContents"/>
              <w:spacing w:before="0" w:after="283"/>
              <w:rPr>
                <w:rFonts w:ascii="times" w:hAnsi="times"/>
                <w:b/>
                <w:sz w:val="14"/>
              </w:rPr>
            </w:pPr>
            <w:r>
              <w:rPr>
                <w:rFonts w:ascii="times" w:hAnsi="times"/>
                <w:b/>
                <w:sz w:val="14"/>
              </w:rPr>
              <w:t>)</w:t>
            </w:r>
          </w:p>
        </w:tc>
        <w:tc>
          <w:tcPr>
            <w:tcW w:w="95" w:type="dxa"/>
            <w:tcBorders/>
            <w:shd w:fill="auto" w:val="clear"/>
            <w:vAlign w:val="bottom"/>
          </w:tcPr>
          <w:p>
            <w:pPr>
              <w:pStyle w:val="TableContents"/>
              <w:spacing w:before="0" w:after="283"/>
              <w:rPr/>
            </w:pPr>
            <w:r>
              <w:rPr/>
              <w:t> </w:t>
            </w:r>
          </w:p>
        </w:tc>
        <w:tc>
          <w:tcPr>
            <w:tcW w:w="896" w:type="dxa"/>
            <w:tcBorders/>
            <w:shd w:fill="auto" w:val="clear"/>
            <w:vAlign w:val="bottom"/>
          </w:tcPr>
          <w:p>
            <w:pPr>
              <w:pStyle w:val="TableContents"/>
              <w:spacing w:before="0" w:after="283"/>
              <w:jc w:val="right"/>
              <w:rPr>
                <w:rFonts w:ascii="times" w:hAnsi="times"/>
                <w:b/>
                <w:sz w:val="14"/>
              </w:rPr>
            </w:pPr>
            <w:r>
              <w:rPr>
                <w:rFonts w:ascii="times" w:hAnsi="times"/>
                <w:b/>
                <w:sz w:val="14"/>
              </w:rPr>
              <w:t>(82,906</w:t>
            </w:r>
          </w:p>
        </w:tc>
        <w:tc>
          <w:tcPr>
            <w:tcW w:w="159" w:type="dxa"/>
            <w:tcBorders/>
            <w:shd w:fill="auto" w:val="clear"/>
            <w:vAlign w:val="bottom"/>
          </w:tcPr>
          <w:p>
            <w:pPr>
              <w:pStyle w:val="TableContents"/>
              <w:spacing w:before="0" w:after="283"/>
              <w:rPr>
                <w:rFonts w:ascii="times" w:hAnsi="times"/>
                <w:b/>
                <w:sz w:val="14"/>
              </w:rPr>
            </w:pPr>
            <w:r>
              <w:rPr>
                <w:rFonts w:ascii="times" w:hAnsi="times"/>
                <w:b/>
                <w:sz w:val="14"/>
              </w:rPr>
              <w:t>)</w:t>
            </w:r>
          </w:p>
        </w:tc>
        <w:tc>
          <w:tcPr>
            <w:tcW w:w="95" w:type="dxa"/>
            <w:tcBorders/>
            <w:shd w:fill="auto" w:val="clear"/>
            <w:vAlign w:val="bottom"/>
          </w:tcPr>
          <w:p>
            <w:pPr>
              <w:pStyle w:val="TableContents"/>
              <w:spacing w:before="0" w:after="283"/>
              <w:rPr/>
            </w:pPr>
            <w:r>
              <w:rPr/>
              <w:t> </w:t>
            </w:r>
          </w:p>
        </w:tc>
        <w:tc>
          <w:tcPr>
            <w:tcW w:w="888" w:type="dxa"/>
            <w:tcBorders/>
            <w:shd w:fill="auto" w:val="clear"/>
            <w:vAlign w:val="bottom"/>
          </w:tcPr>
          <w:p>
            <w:pPr>
              <w:pStyle w:val="TableContents"/>
              <w:spacing w:before="0" w:after="283"/>
              <w:jc w:val="right"/>
              <w:rPr>
                <w:rFonts w:ascii="times" w:hAnsi="times"/>
                <w:b/>
                <w:sz w:val="14"/>
              </w:rPr>
            </w:pPr>
            <w:r>
              <w:rPr>
                <w:rFonts w:ascii="times" w:hAnsi="times"/>
                <w:b/>
                <w:sz w:val="14"/>
              </w:rPr>
              <w:t>(65,621</w:t>
            </w:r>
          </w:p>
        </w:tc>
        <w:tc>
          <w:tcPr>
            <w:tcW w:w="165" w:type="dxa"/>
            <w:tcBorders/>
            <w:shd w:fill="auto" w:val="clear"/>
            <w:vAlign w:val="bottom"/>
          </w:tcPr>
          <w:p>
            <w:pPr>
              <w:pStyle w:val="TableContents"/>
              <w:spacing w:before="0" w:after="283"/>
              <w:rPr>
                <w:rFonts w:ascii="times" w:hAnsi="times"/>
                <w:b/>
                <w:sz w:val="14"/>
              </w:rPr>
            </w:pPr>
            <w:r>
              <w:rPr>
                <w:rFonts w:ascii="times" w:hAnsi="times"/>
                <w:b/>
                <w:sz w:val="14"/>
              </w:rPr>
              <w:t>)</w:t>
            </w:r>
          </w:p>
        </w:tc>
      </w:tr>
      <w:tr>
        <w:trPr/>
        <w:tc>
          <w:tcPr>
            <w:tcW w:w="4323" w:type="dxa"/>
            <w:tcBorders/>
            <w:shd w:fill="FFFFFF" w:val="clear"/>
            <w:vAlign w:val="bottom"/>
          </w:tcPr>
          <w:p>
            <w:pPr>
              <w:pStyle w:val="TableContents"/>
              <w:spacing w:before="0" w:after="283"/>
              <w:rPr/>
            </w:pPr>
            <w:r>
              <w:rPr/>
              <w:t>​</w:t>
            </w:r>
          </w:p>
        </w:tc>
        <w:tc>
          <w:tcPr>
            <w:tcW w:w="158" w:type="dxa"/>
            <w:tcBorders/>
            <w:shd w:fill="FFFFFF" w:val="clear"/>
            <w:vAlign w:val="bottom"/>
          </w:tcPr>
          <w:p>
            <w:pPr>
              <w:pStyle w:val="TableContents"/>
              <w:spacing w:before="0" w:after="283"/>
              <w:rPr/>
            </w:pPr>
            <w:r>
              <w:rPr/>
              <w:t>​</w:t>
            </w:r>
          </w:p>
        </w:tc>
        <w:tc>
          <w:tcPr>
            <w:tcW w:w="95" w:type="dxa"/>
            <w:tcBorders>
              <w:bottom w:val="single" w:sz="8" w:space="0" w:color="000000"/>
            </w:tcBorders>
            <w:shd w:fill="FFFFFF" w:val="clear"/>
            <w:tcMar>
              <w:bottom w:w="28" w:type="dxa"/>
            </w:tcMar>
            <w:vAlign w:val="bottom"/>
          </w:tcPr>
          <w:p>
            <w:pPr>
              <w:pStyle w:val="TableContents"/>
              <w:spacing w:before="0" w:after="283"/>
              <w:rPr/>
            </w:pPr>
            <w:r>
              <w:rPr/>
              <w:t xml:space="preserve">​ </w:t>
            </w:r>
          </w:p>
        </w:tc>
        <w:tc>
          <w:tcPr>
            <w:tcW w:w="888" w:type="dxa"/>
            <w:tcBorders>
              <w:bottom w:val="single" w:sz="8" w:space="0" w:color="000000"/>
            </w:tcBorders>
            <w:shd w:fill="FFFFFF" w:val="clear"/>
            <w:tcMar>
              <w:bottom w:w="28" w:type="dxa"/>
            </w:tcMar>
            <w:vAlign w:val="bottom"/>
          </w:tcPr>
          <w:p>
            <w:pPr>
              <w:pStyle w:val="TableContents"/>
              <w:spacing w:before="0" w:after="283"/>
              <w:jc w:val="right"/>
              <w:rPr/>
            </w:pPr>
            <w:r>
              <w:rPr/>
              <w:t xml:space="preserve">​ </w:t>
            </w:r>
          </w:p>
        </w:tc>
        <w:tc>
          <w:tcPr>
            <w:tcW w:w="159" w:type="dxa"/>
            <w:tcBorders/>
            <w:shd w:fill="FFFFFF" w:val="clear"/>
            <w:vAlign w:val="bottom"/>
          </w:tcPr>
          <w:p>
            <w:pPr>
              <w:pStyle w:val="TableContents"/>
              <w:spacing w:before="0" w:after="283"/>
              <w:rPr/>
            </w:pPr>
            <w:r>
              <w:rPr/>
              <w:t>​</w:t>
            </w:r>
          </w:p>
        </w:tc>
        <w:tc>
          <w:tcPr>
            <w:tcW w:w="95" w:type="dxa"/>
            <w:tcBorders>
              <w:bottom w:val="single" w:sz="8" w:space="0" w:color="000000"/>
            </w:tcBorders>
            <w:shd w:fill="FFFFFF" w:val="clear"/>
            <w:tcMar>
              <w:bottom w:w="28" w:type="dxa"/>
            </w:tcMar>
            <w:vAlign w:val="bottom"/>
          </w:tcPr>
          <w:p>
            <w:pPr>
              <w:pStyle w:val="TableContents"/>
              <w:spacing w:before="0" w:after="283"/>
              <w:rPr/>
            </w:pPr>
            <w:r>
              <w:rPr/>
              <w:t xml:space="preserve">​ </w:t>
            </w:r>
          </w:p>
        </w:tc>
        <w:tc>
          <w:tcPr>
            <w:tcW w:w="888" w:type="dxa"/>
            <w:tcBorders>
              <w:bottom w:val="single" w:sz="8" w:space="0" w:color="000000"/>
            </w:tcBorders>
            <w:shd w:fill="FFFFFF" w:val="clear"/>
            <w:tcMar>
              <w:bottom w:w="28" w:type="dxa"/>
            </w:tcMar>
            <w:vAlign w:val="bottom"/>
          </w:tcPr>
          <w:p>
            <w:pPr>
              <w:pStyle w:val="TableContents"/>
              <w:spacing w:before="0" w:after="283"/>
              <w:jc w:val="right"/>
              <w:rPr/>
            </w:pPr>
            <w:r>
              <w:rPr/>
              <w:t xml:space="preserve">​ </w:t>
            </w:r>
          </w:p>
        </w:tc>
        <w:tc>
          <w:tcPr>
            <w:tcW w:w="159" w:type="dxa"/>
            <w:tcBorders/>
            <w:shd w:fill="FFFFFF" w:val="clear"/>
            <w:vAlign w:val="bottom"/>
          </w:tcPr>
          <w:p>
            <w:pPr>
              <w:pStyle w:val="TableContents"/>
              <w:spacing w:before="0" w:after="283"/>
              <w:rPr/>
            </w:pPr>
            <w:r>
              <w:rPr/>
              <w:t>​</w:t>
            </w:r>
          </w:p>
        </w:tc>
        <w:tc>
          <w:tcPr>
            <w:tcW w:w="95" w:type="dxa"/>
            <w:tcBorders>
              <w:bottom w:val="single" w:sz="8" w:space="0" w:color="000000"/>
            </w:tcBorders>
            <w:shd w:fill="FFFFFF" w:val="clear"/>
            <w:tcMar>
              <w:bottom w:w="28" w:type="dxa"/>
            </w:tcMar>
            <w:vAlign w:val="bottom"/>
          </w:tcPr>
          <w:p>
            <w:pPr>
              <w:pStyle w:val="TableContents"/>
              <w:spacing w:before="0" w:after="283"/>
              <w:rPr/>
            </w:pPr>
            <w:r>
              <w:rPr/>
              <w:t xml:space="preserve">​ </w:t>
            </w:r>
          </w:p>
        </w:tc>
        <w:tc>
          <w:tcPr>
            <w:tcW w:w="888" w:type="dxa"/>
            <w:tcBorders>
              <w:bottom w:val="single" w:sz="8" w:space="0" w:color="000000"/>
            </w:tcBorders>
            <w:shd w:fill="FFFFFF" w:val="clear"/>
            <w:tcMar>
              <w:bottom w:w="28" w:type="dxa"/>
            </w:tcMar>
            <w:vAlign w:val="bottom"/>
          </w:tcPr>
          <w:p>
            <w:pPr>
              <w:pStyle w:val="TableContents"/>
              <w:spacing w:before="0" w:after="283"/>
              <w:jc w:val="right"/>
              <w:rPr/>
            </w:pPr>
            <w:r>
              <w:rPr/>
              <w:t xml:space="preserve">​ </w:t>
            </w:r>
          </w:p>
        </w:tc>
        <w:tc>
          <w:tcPr>
            <w:tcW w:w="159" w:type="dxa"/>
            <w:tcBorders/>
            <w:shd w:fill="FFFFFF" w:val="clear"/>
            <w:vAlign w:val="bottom"/>
          </w:tcPr>
          <w:p>
            <w:pPr>
              <w:pStyle w:val="TableContents"/>
              <w:spacing w:before="0" w:after="283"/>
              <w:rPr/>
            </w:pPr>
            <w:r>
              <w:rPr/>
              <w:t>​</w:t>
            </w:r>
          </w:p>
        </w:tc>
        <w:tc>
          <w:tcPr>
            <w:tcW w:w="95" w:type="dxa"/>
            <w:tcBorders>
              <w:bottom w:val="single" w:sz="8" w:space="0" w:color="000000"/>
            </w:tcBorders>
            <w:shd w:fill="FFFFFF" w:val="clear"/>
            <w:tcMar>
              <w:bottom w:w="28" w:type="dxa"/>
            </w:tcMar>
            <w:vAlign w:val="bottom"/>
          </w:tcPr>
          <w:p>
            <w:pPr>
              <w:pStyle w:val="TableContents"/>
              <w:spacing w:before="0" w:after="283"/>
              <w:rPr/>
            </w:pPr>
            <w:r>
              <w:rPr/>
              <w:t xml:space="preserve">​ </w:t>
            </w:r>
          </w:p>
        </w:tc>
        <w:tc>
          <w:tcPr>
            <w:tcW w:w="896" w:type="dxa"/>
            <w:tcBorders>
              <w:bottom w:val="single" w:sz="8" w:space="0" w:color="000000"/>
            </w:tcBorders>
            <w:shd w:fill="FFFFFF" w:val="clear"/>
            <w:tcMar>
              <w:bottom w:w="28" w:type="dxa"/>
            </w:tcMar>
            <w:vAlign w:val="bottom"/>
          </w:tcPr>
          <w:p>
            <w:pPr>
              <w:pStyle w:val="TableContents"/>
              <w:spacing w:before="0" w:after="283"/>
              <w:jc w:val="right"/>
              <w:rPr/>
            </w:pPr>
            <w:r>
              <w:rPr/>
              <w:t xml:space="preserve">​ </w:t>
            </w:r>
          </w:p>
        </w:tc>
        <w:tc>
          <w:tcPr>
            <w:tcW w:w="159" w:type="dxa"/>
            <w:tcBorders/>
            <w:shd w:fill="FFFFFF" w:val="clear"/>
            <w:vAlign w:val="bottom"/>
          </w:tcPr>
          <w:p>
            <w:pPr>
              <w:pStyle w:val="TableContents"/>
              <w:spacing w:before="0" w:after="283"/>
              <w:rPr/>
            </w:pPr>
            <w:r>
              <w:rPr/>
              <w:t>​</w:t>
            </w:r>
          </w:p>
        </w:tc>
        <w:tc>
          <w:tcPr>
            <w:tcW w:w="95" w:type="dxa"/>
            <w:tcBorders>
              <w:bottom w:val="single" w:sz="8" w:space="0" w:color="000000"/>
            </w:tcBorders>
            <w:shd w:fill="FFFFFF" w:val="clear"/>
            <w:tcMar>
              <w:bottom w:w="28" w:type="dxa"/>
            </w:tcMar>
            <w:vAlign w:val="bottom"/>
          </w:tcPr>
          <w:p>
            <w:pPr>
              <w:pStyle w:val="TableContents"/>
              <w:spacing w:before="0" w:after="283"/>
              <w:rPr/>
            </w:pPr>
            <w:r>
              <w:rPr/>
              <w:t xml:space="preserve">​ </w:t>
            </w:r>
          </w:p>
        </w:tc>
        <w:tc>
          <w:tcPr>
            <w:tcW w:w="888" w:type="dxa"/>
            <w:tcBorders>
              <w:bottom w:val="single" w:sz="8" w:space="0" w:color="000000"/>
            </w:tcBorders>
            <w:shd w:fill="FFFFFF" w:val="clear"/>
            <w:tcMar>
              <w:bottom w:w="28" w:type="dxa"/>
            </w:tcMar>
            <w:vAlign w:val="bottom"/>
          </w:tcPr>
          <w:p>
            <w:pPr>
              <w:pStyle w:val="TableContents"/>
              <w:spacing w:before="0" w:after="283"/>
              <w:jc w:val="right"/>
              <w:rPr/>
            </w:pPr>
            <w:r>
              <w:rPr/>
              <w:t xml:space="preserve">​ </w:t>
            </w:r>
          </w:p>
        </w:tc>
        <w:tc>
          <w:tcPr>
            <w:tcW w:w="165" w:type="dxa"/>
            <w:tcBorders/>
            <w:shd w:fill="FFFFFF" w:val="clear"/>
            <w:vAlign w:val="bottom"/>
          </w:tcPr>
          <w:p>
            <w:pPr>
              <w:pStyle w:val="TableContents"/>
              <w:spacing w:before="0" w:after="283"/>
              <w:rPr/>
            </w:pPr>
            <w:r>
              <w:rPr/>
              <w:t>​</w:t>
            </w:r>
          </w:p>
        </w:tc>
      </w:tr>
      <w:tr>
        <w:trPr/>
        <w:tc>
          <w:tcPr>
            <w:tcW w:w="4323" w:type="dxa"/>
            <w:tcBorders/>
            <w:shd w:fill="auto" w:val="clear"/>
            <w:vAlign w:val="bottom"/>
          </w:tcPr>
          <w:p>
            <w:pPr>
              <w:pStyle w:val="TableContents"/>
              <w:spacing w:before="0" w:after="283"/>
              <w:ind w:left="140" w:right="0" w:hanging="140"/>
              <w:rPr>
                <w:rFonts w:ascii="times" w:hAnsi="times"/>
                <w:b/>
                <w:sz w:val="14"/>
              </w:rPr>
            </w:pPr>
            <w:r>
              <w:rPr>
                <w:rFonts w:ascii="times" w:hAnsi="times"/>
                <w:b/>
                <w:sz w:val="14"/>
              </w:rPr>
              <w:t>Profit/(loss) for the year</w:t>
            </w:r>
          </w:p>
        </w:tc>
        <w:tc>
          <w:tcPr>
            <w:tcW w:w="158"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rFonts w:ascii="times" w:hAnsi="times"/>
                <w:b/>
                <w:sz w:val="14"/>
              </w:rPr>
            </w:pPr>
            <w:r>
              <w:rPr>
                <w:rFonts w:ascii="times" w:hAnsi="times"/>
                <w:b/>
                <w:sz w:val="14"/>
              </w:rPr>
              <w:t>$</w:t>
            </w:r>
          </w:p>
        </w:tc>
        <w:tc>
          <w:tcPr>
            <w:tcW w:w="888" w:type="dxa"/>
            <w:tcBorders/>
            <w:shd w:fill="auto" w:val="clear"/>
            <w:vAlign w:val="bottom"/>
          </w:tcPr>
          <w:p>
            <w:pPr>
              <w:pStyle w:val="TableContents"/>
              <w:spacing w:before="0" w:after="283"/>
              <w:jc w:val="right"/>
              <w:rPr>
                <w:rFonts w:ascii="times" w:hAnsi="times"/>
                <w:b/>
                <w:sz w:val="14"/>
              </w:rPr>
            </w:pPr>
            <w:r>
              <w:rPr>
                <w:rFonts w:ascii="times" w:hAnsi="times"/>
                <w:b/>
                <w:sz w:val="14"/>
              </w:rPr>
              <w:t>106,387</w:t>
            </w:r>
          </w:p>
        </w:tc>
        <w:tc>
          <w:tcPr>
            <w:tcW w:w="159"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rFonts w:ascii="times" w:hAnsi="times"/>
                <w:b/>
                <w:sz w:val="14"/>
              </w:rPr>
            </w:pPr>
            <w:r>
              <w:rPr>
                <w:rFonts w:ascii="times" w:hAnsi="times"/>
                <w:b/>
                <w:sz w:val="14"/>
              </w:rPr>
              <w:t>$</w:t>
            </w:r>
          </w:p>
        </w:tc>
        <w:tc>
          <w:tcPr>
            <w:tcW w:w="888" w:type="dxa"/>
            <w:tcBorders/>
            <w:shd w:fill="auto" w:val="clear"/>
            <w:vAlign w:val="bottom"/>
          </w:tcPr>
          <w:p>
            <w:pPr>
              <w:pStyle w:val="TableContents"/>
              <w:spacing w:before="0" w:after="283"/>
              <w:jc w:val="right"/>
              <w:rPr>
                <w:rFonts w:ascii="times" w:hAnsi="times"/>
                <w:b/>
                <w:sz w:val="14"/>
              </w:rPr>
            </w:pPr>
            <w:r>
              <w:rPr>
                <w:rFonts w:ascii="times" w:hAnsi="times"/>
                <w:b/>
                <w:sz w:val="14"/>
              </w:rPr>
              <w:t>148,098</w:t>
            </w:r>
          </w:p>
        </w:tc>
        <w:tc>
          <w:tcPr>
            <w:tcW w:w="159"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rFonts w:ascii="times" w:hAnsi="times"/>
                <w:b/>
                <w:sz w:val="14"/>
              </w:rPr>
            </w:pPr>
            <w:r>
              <w:rPr>
                <w:rFonts w:ascii="times" w:hAnsi="times"/>
                <w:b/>
                <w:sz w:val="14"/>
              </w:rPr>
              <w:t>$</w:t>
            </w:r>
          </w:p>
        </w:tc>
        <w:tc>
          <w:tcPr>
            <w:tcW w:w="888" w:type="dxa"/>
            <w:tcBorders/>
            <w:shd w:fill="auto" w:val="clear"/>
            <w:vAlign w:val="bottom"/>
          </w:tcPr>
          <w:p>
            <w:pPr>
              <w:pStyle w:val="TableContents"/>
              <w:spacing w:before="0" w:after="283"/>
              <w:jc w:val="right"/>
              <w:rPr>
                <w:rFonts w:ascii="times" w:hAnsi="times"/>
                <w:b/>
                <w:sz w:val="14"/>
              </w:rPr>
            </w:pPr>
            <w:r>
              <w:rPr>
                <w:rFonts w:ascii="times" w:hAnsi="times"/>
                <w:b/>
                <w:sz w:val="14"/>
              </w:rPr>
              <w:t>128,046</w:t>
            </w:r>
          </w:p>
        </w:tc>
        <w:tc>
          <w:tcPr>
            <w:tcW w:w="159"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rFonts w:ascii="times" w:hAnsi="times"/>
                <w:b/>
                <w:sz w:val="14"/>
              </w:rPr>
            </w:pPr>
            <w:r>
              <w:rPr>
                <w:rFonts w:ascii="times" w:hAnsi="times"/>
                <w:b/>
                <w:sz w:val="14"/>
              </w:rPr>
              <w:t>$</w:t>
            </w:r>
          </w:p>
        </w:tc>
        <w:tc>
          <w:tcPr>
            <w:tcW w:w="896" w:type="dxa"/>
            <w:tcBorders/>
            <w:shd w:fill="auto" w:val="clear"/>
            <w:vAlign w:val="bottom"/>
          </w:tcPr>
          <w:p>
            <w:pPr>
              <w:pStyle w:val="TableContents"/>
              <w:spacing w:before="0" w:after="283"/>
              <w:jc w:val="right"/>
              <w:rPr>
                <w:rFonts w:ascii="times" w:hAnsi="times"/>
                <w:b/>
                <w:sz w:val="14"/>
              </w:rPr>
            </w:pPr>
            <w:r>
              <w:rPr>
                <w:rFonts w:ascii="times" w:hAnsi="times"/>
                <w:b/>
                <w:sz w:val="14"/>
              </w:rPr>
              <w:t>(34,769</w:t>
            </w:r>
          </w:p>
        </w:tc>
        <w:tc>
          <w:tcPr>
            <w:tcW w:w="159" w:type="dxa"/>
            <w:tcBorders/>
            <w:shd w:fill="auto" w:val="clear"/>
            <w:vAlign w:val="bottom"/>
          </w:tcPr>
          <w:p>
            <w:pPr>
              <w:pStyle w:val="TableContents"/>
              <w:spacing w:before="0" w:after="283"/>
              <w:rPr>
                <w:rFonts w:ascii="times" w:hAnsi="times"/>
                <w:b/>
                <w:sz w:val="14"/>
              </w:rPr>
            </w:pPr>
            <w:r>
              <w:rPr>
                <w:rFonts w:ascii="times" w:hAnsi="times"/>
                <w:b/>
                <w:sz w:val="14"/>
              </w:rPr>
              <w:t>)</w:t>
            </w:r>
          </w:p>
        </w:tc>
        <w:tc>
          <w:tcPr>
            <w:tcW w:w="95" w:type="dxa"/>
            <w:tcBorders/>
            <w:shd w:fill="auto" w:val="clear"/>
            <w:vAlign w:val="bottom"/>
          </w:tcPr>
          <w:p>
            <w:pPr>
              <w:pStyle w:val="TableContents"/>
              <w:spacing w:before="0" w:after="283"/>
              <w:rPr>
                <w:rFonts w:ascii="times" w:hAnsi="times"/>
                <w:b/>
                <w:sz w:val="14"/>
              </w:rPr>
            </w:pPr>
            <w:r>
              <w:rPr>
                <w:rFonts w:ascii="times" w:hAnsi="times"/>
                <w:b/>
                <w:sz w:val="14"/>
              </w:rPr>
              <w:t>$</w:t>
            </w:r>
          </w:p>
        </w:tc>
        <w:tc>
          <w:tcPr>
            <w:tcW w:w="888" w:type="dxa"/>
            <w:tcBorders/>
            <w:shd w:fill="auto" w:val="clear"/>
            <w:vAlign w:val="bottom"/>
          </w:tcPr>
          <w:p>
            <w:pPr>
              <w:pStyle w:val="TableContents"/>
              <w:spacing w:before="0" w:after="283"/>
              <w:jc w:val="right"/>
              <w:rPr>
                <w:rFonts w:ascii="times" w:hAnsi="times"/>
                <w:b/>
                <w:sz w:val="14"/>
              </w:rPr>
            </w:pPr>
            <w:r>
              <w:rPr>
                <w:rFonts w:ascii="times" w:hAnsi="times"/>
                <w:b/>
                <w:sz w:val="14"/>
              </w:rPr>
              <w:t>56,859</w:t>
            </w:r>
          </w:p>
        </w:tc>
        <w:tc>
          <w:tcPr>
            <w:tcW w:w="165" w:type="dxa"/>
            <w:tcBorders/>
            <w:shd w:fill="auto" w:val="clear"/>
            <w:vAlign w:val="bottom"/>
          </w:tcPr>
          <w:p>
            <w:pPr>
              <w:pStyle w:val="TableContents"/>
              <w:spacing w:before="0" w:after="283"/>
              <w:rPr/>
            </w:pPr>
            <w:r>
              <w:rPr/>
              <w:t> </w:t>
            </w:r>
          </w:p>
        </w:tc>
      </w:tr>
      <w:tr>
        <w:trPr/>
        <w:tc>
          <w:tcPr>
            <w:tcW w:w="4323" w:type="dxa"/>
            <w:tcBorders/>
            <w:shd w:fill="FFFFFF" w:val="clear"/>
            <w:vAlign w:val="bottom"/>
          </w:tcPr>
          <w:p>
            <w:pPr>
              <w:pStyle w:val="TableContents"/>
              <w:spacing w:before="0" w:after="283"/>
              <w:rPr/>
            </w:pPr>
            <w:r>
              <w:rPr/>
              <w:t>​</w:t>
            </w:r>
          </w:p>
        </w:tc>
        <w:tc>
          <w:tcPr>
            <w:tcW w:w="158" w:type="dxa"/>
            <w:tcBorders/>
            <w:shd w:fill="FFFFFF" w:val="clear"/>
            <w:vAlign w:val="bottom"/>
          </w:tcPr>
          <w:p>
            <w:pPr>
              <w:pStyle w:val="TableContents"/>
              <w:spacing w:before="0" w:after="283"/>
              <w:rPr/>
            </w:pPr>
            <w:r>
              <w:rPr/>
              <w:t>​</w:t>
            </w:r>
          </w:p>
        </w:tc>
        <w:tc>
          <w:tcPr>
            <w:tcW w:w="95" w:type="dxa"/>
            <w:tcBorders>
              <w:bottom w:val="single" w:sz="8" w:space="0" w:color="000000"/>
            </w:tcBorders>
            <w:shd w:fill="FFFFFF" w:val="clear"/>
            <w:tcMar>
              <w:bottom w:w="28" w:type="dxa"/>
            </w:tcMar>
            <w:vAlign w:val="bottom"/>
          </w:tcPr>
          <w:p>
            <w:pPr>
              <w:pStyle w:val="TableContents"/>
              <w:spacing w:before="0" w:after="283"/>
              <w:rPr/>
            </w:pPr>
            <w:r>
              <w:rPr/>
              <w:t xml:space="preserve">​ </w:t>
            </w:r>
          </w:p>
        </w:tc>
        <w:tc>
          <w:tcPr>
            <w:tcW w:w="888" w:type="dxa"/>
            <w:tcBorders>
              <w:bottom w:val="single" w:sz="8" w:space="0" w:color="000000"/>
            </w:tcBorders>
            <w:shd w:fill="FFFFFF" w:val="clear"/>
            <w:tcMar>
              <w:bottom w:w="28" w:type="dxa"/>
            </w:tcMar>
            <w:vAlign w:val="bottom"/>
          </w:tcPr>
          <w:p>
            <w:pPr>
              <w:pStyle w:val="TableContents"/>
              <w:spacing w:before="0" w:after="283"/>
              <w:jc w:val="right"/>
              <w:rPr/>
            </w:pPr>
            <w:r>
              <w:rPr/>
              <w:t xml:space="preserve">​ </w:t>
            </w:r>
          </w:p>
        </w:tc>
        <w:tc>
          <w:tcPr>
            <w:tcW w:w="159" w:type="dxa"/>
            <w:tcBorders/>
            <w:shd w:fill="FFFFFF" w:val="clear"/>
            <w:vAlign w:val="bottom"/>
          </w:tcPr>
          <w:p>
            <w:pPr>
              <w:pStyle w:val="TableContents"/>
              <w:spacing w:before="0" w:after="283"/>
              <w:rPr/>
            </w:pPr>
            <w:r>
              <w:rPr/>
              <w:t>​</w:t>
            </w:r>
          </w:p>
        </w:tc>
        <w:tc>
          <w:tcPr>
            <w:tcW w:w="95" w:type="dxa"/>
            <w:tcBorders>
              <w:bottom w:val="single" w:sz="8" w:space="0" w:color="000000"/>
            </w:tcBorders>
            <w:shd w:fill="FFFFFF" w:val="clear"/>
            <w:tcMar>
              <w:bottom w:w="28" w:type="dxa"/>
            </w:tcMar>
            <w:vAlign w:val="bottom"/>
          </w:tcPr>
          <w:p>
            <w:pPr>
              <w:pStyle w:val="TableContents"/>
              <w:spacing w:before="0" w:after="283"/>
              <w:rPr/>
            </w:pPr>
            <w:r>
              <w:rPr/>
              <w:t xml:space="preserve">​ </w:t>
            </w:r>
          </w:p>
        </w:tc>
        <w:tc>
          <w:tcPr>
            <w:tcW w:w="888" w:type="dxa"/>
            <w:tcBorders>
              <w:bottom w:val="single" w:sz="8" w:space="0" w:color="000000"/>
            </w:tcBorders>
            <w:shd w:fill="FFFFFF" w:val="clear"/>
            <w:tcMar>
              <w:bottom w:w="28" w:type="dxa"/>
            </w:tcMar>
            <w:vAlign w:val="bottom"/>
          </w:tcPr>
          <w:p>
            <w:pPr>
              <w:pStyle w:val="TableContents"/>
              <w:spacing w:before="0" w:after="283"/>
              <w:jc w:val="right"/>
              <w:rPr/>
            </w:pPr>
            <w:r>
              <w:rPr/>
              <w:t xml:space="preserve">​ </w:t>
            </w:r>
          </w:p>
        </w:tc>
        <w:tc>
          <w:tcPr>
            <w:tcW w:w="159" w:type="dxa"/>
            <w:tcBorders/>
            <w:shd w:fill="FFFFFF" w:val="clear"/>
            <w:vAlign w:val="bottom"/>
          </w:tcPr>
          <w:p>
            <w:pPr>
              <w:pStyle w:val="TableContents"/>
              <w:spacing w:before="0" w:after="283"/>
              <w:rPr/>
            </w:pPr>
            <w:r>
              <w:rPr/>
              <w:t>​</w:t>
            </w:r>
          </w:p>
        </w:tc>
        <w:tc>
          <w:tcPr>
            <w:tcW w:w="95" w:type="dxa"/>
            <w:tcBorders>
              <w:bottom w:val="single" w:sz="8" w:space="0" w:color="000000"/>
            </w:tcBorders>
            <w:shd w:fill="FFFFFF" w:val="clear"/>
            <w:tcMar>
              <w:bottom w:w="28" w:type="dxa"/>
            </w:tcMar>
            <w:vAlign w:val="bottom"/>
          </w:tcPr>
          <w:p>
            <w:pPr>
              <w:pStyle w:val="TableContents"/>
              <w:spacing w:before="0" w:after="283"/>
              <w:rPr/>
            </w:pPr>
            <w:r>
              <w:rPr/>
              <w:t xml:space="preserve">​ </w:t>
            </w:r>
          </w:p>
        </w:tc>
        <w:tc>
          <w:tcPr>
            <w:tcW w:w="888" w:type="dxa"/>
            <w:tcBorders>
              <w:bottom w:val="single" w:sz="8" w:space="0" w:color="000000"/>
            </w:tcBorders>
            <w:shd w:fill="FFFFFF" w:val="clear"/>
            <w:tcMar>
              <w:bottom w:w="28" w:type="dxa"/>
            </w:tcMar>
            <w:vAlign w:val="bottom"/>
          </w:tcPr>
          <w:p>
            <w:pPr>
              <w:pStyle w:val="TableContents"/>
              <w:spacing w:before="0" w:after="283"/>
              <w:jc w:val="right"/>
              <w:rPr/>
            </w:pPr>
            <w:r>
              <w:rPr/>
              <w:t xml:space="preserve">​ </w:t>
            </w:r>
          </w:p>
        </w:tc>
        <w:tc>
          <w:tcPr>
            <w:tcW w:w="159" w:type="dxa"/>
            <w:tcBorders/>
            <w:shd w:fill="FFFFFF" w:val="clear"/>
            <w:vAlign w:val="bottom"/>
          </w:tcPr>
          <w:p>
            <w:pPr>
              <w:pStyle w:val="TableContents"/>
              <w:spacing w:before="0" w:after="283"/>
              <w:rPr/>
            </w:pPr>
            <w:r>
              <w:rPr/>
              <w:t>​</w:t>
            </w:r>
          </w:p>
        </w:tc>
        <w:tc>
          <w:tcPr>
            <w:tcW w:w="95" w:type="dxa"/>
            <w:tcBorders>
              <w:bottom w:val="single" w:sz="8" w:space="0" w:color="000000"/>
            </w:tcBorders>
            <w:shd w:fill="FFFFFF" w:val="clear"/>
            <w:tcMar>
              <w:bottom w:w="28" w:type="dxa"/>
            </w:tcMar>
            <w:vAlign w:val="bottom"/>
          </w:tcPr>
          <w:p>
            <w:pPr>
              <w:pStyle w:val="TableContents"/>
              <w:spacing w:before="0" w:after="283"/>
              <w:rPr/>
            </w:pPr>
            <w:r>
              <w:rPr/>
              <w:t xml:space="preserve">​ </w:t>
            </w:r>
          </w:p>
        </w:tc>
        <w:tc>
          <w:tcPr>
            <w:tcW w:w="896" w:type="dxa"/>
            <w:tcBorders>
              <w:bottom w:val="single" w:sz="8" w:space="0" w:color="000000"/>
            </w:tcBorders>
            <w:shd w:fill="FFFFFF" w:val="clear"/>
            <w:tcMar>
              <w:bottom w:w="28" w:type="dxa"/>
            </w:tcMar>
            <w:vAlign w:val="bottom"/>
          </w:tcPr>
          <w:p>
            <w:pPr>
              <w:pStyle w:val="TableContents"/>
              <w:spacing w:before="0" w:after="283"/>
              <w:jc w:val="right"/>
              <w:rPr/>
            </w:pPr>
            <w:r>
              <w:rPr/>
              <w:t xml:space="preserve">​ </w:t>
            </w:r>
          </w:p>
        </w:tc>
        <w:tc>
          <w:tcPr>
            <w:tcW w:w="159" w:type="dxa"/>
            <w:tcBorders/>
            <w:shd w:fill="FFFFFF" w:val="clear"/>
            <w:vAlign w:val="bottom"/>
          </w:tcPr>
          <w:p>
            <w:pPr>
              <w:pStyle w:val="TableContents"/>
              <w:spacing w:before="0" w:after="283"/>
              <w:rPr/>
            </w:pPr>
            <w:r>
              <w:rPr/>
              <w:t>​</w:t>
            </w:r>
          </w:p>
        </w:tc>
        <w:tc>
          <w:tcPr>
            <w:tcW w:w="95" w:type="dxa"/>
            <w:tcBorders>
              <w:bottom w:val="single" w:sz="8" w:space="0" w:color="000000"/>
            </w:tcBorders>
            <w:shd w:fill="FFFFFF" w:val="clear"/>
            <w:tcMar>
              <w:bottom w:w="28" w:type="dxa"/>
            </w:tcMar>
            <w:vAlign w:val="bottom"/>
          </w:tcPr>
          <w:p>
            <w:pPr>
              <w:pStyle w:val="TableContents"/>
              <w:spacing w:before="0" w:after="283"/>
              <w:rPr/>
            </w:pPr>
            <w:r>
              <w:rPr/>
              <w:t xml:space="preserve">​ </w:t>
            </w:r>
          </w:p>
        </w:tc>
        <w:tc>
          <w:tcPr>
            <w:tcW w:w="888" w:type="dxa"/>
            <w:tcBorders>
              <w:bottom w:val="single" w:sz="8" w:space="0" w:color="000000"/>
            </w:tcBorders>
            <w:shd w:fill="FFFFFF" w:val="clear"/>
            <w:tcMar>
              <w:bottom w:w="28" w:type="dxa"/>
            </w:tcMar>
            <w:vAlign w:val="bottom"/>
          </w:tcPr>
          <w:p>
            <w:pPr>
              <w:pStyle w:val="TableContents"/>
              <w:spacing w:before="0" w:after="283"/>
              <w:jc w:val="right"/>
              <w:rPr/>
            </w:pPr>
            <w:r>
              <w:rPr/>
              <w:t xml:space="preserve">​ </w:t>
            </w:r>
          </w:p>
        </w:tc>
        <w:tc>
          <w:tcPr>
            <w:tcW w:w="165" w:type="dxa"/>
            <w:tcBorders/>
            <w:shd w:fill="FFFFFF" w:val="clear"/>
            <w:vAlign w:val="bottom"/>
          </w:tcPr>
          <w:p>
            <w:pPr>
              <w:pStyle w:val="TableContents"/>
              <w:spacing w:before="0" w:after="283"/>
              <w:rPr/>
            </w:pPr>
            <w:r>
              <w:rPr/>
              <w:t>​</w:t>
            </w:r>
          </w:p>
        </w:tc>
      </w:tr>
      <w:tr>
        <w:trPr/>
        <w:tc>
          <w:tcPr>
            <w:tcW w:w="4323" w:type="dxa"/>
            <w:tcBorders/>
            <w:shd w:fill="FFFFFF" w:val="clear"/>
            <w:vAlign w:val="bottom"/>
          </w:tcPr>
          <w:p>
            <w:pPr>
              <w:pStyle w:val="TableContents"/>
              <w:spacing w:lineRule="atLeast" w:line="141" w:before="0" w:after="283"/>
              <w:rPr/>
            </w:pPr>
            <w:r>
              <w:rPr/>
              <w:t>​</w:t>
            </w:r>
          </w:p>
        </w:tc>
        <w:tc>
          <w:tcPr>
            <w:tcW w:w="158" w:type="dxa"/>
            <w:tcBorders/>
            <w:shd w:fill="FFFFFF" w:val="clear"/>
            <w:vAlign w:val="bottom"/>
          </w:tcPr>
          <w:p>
            <w:pPr>
              <w:pStyle w:val="TableContents"/>
              <w:spacing w:lineRule="atLeast" w:line="141" w:before="0" w:after="283"/>
              <w:rPr/>
            </w:pPr>
            <w:r>
              <w:rPr/>
              <w:t>​</w:t>
            </w:r>
          </w:p>
        </w:tc>
        <w:tc>
          <w:tcPr>
            <w:tcW w:w="95" w:type="dxa"/>
            <w:tcBorders/>
            <w:shd w:fill="FFFFFF" w:val="clear"/>
            <w:vAlign w:val="bottom"/>
          </w:tcPr>
          <w:p>
            <w:pPr>
              <w:pStyle w:val="TableContents"/>
              <w:spacing w:lineRule="atLeast" w:line="141" w:before="0" w:after="283"/>
              <w:rPr/>
            </w:pPr>
            <w:r>
              <w:rPr/>
              <w:t>​</w:t>
            </w:r>
          </w:p>
        </w:tc>
        <w:tc>
          <w:tcPr>
            <w:tcW w:w="888" w:type="dxa"/>
            <w:tcBorders/>
            <w:shd w:fill="FFFFFF" w:val="clear"/>
            <w:vAlign w:val="bottom"/>
          </w:tcPr>
          <w:p>
            <w:pPr>
              <w:pStyle w:val="TableContents"/>
              <w:spacing w:lineRule="atLeast" w:line="141" w:before="0" w:after="283"/>
              <w:jc w:val="right"/>
              <w:rPr/>
            </w:pPr>
            <w:r>
              <w:rPr/>
              <w:t>​</w:t>
            </w:r>
          </w:p>
        </w:tc>
        <w:tc>
          <w:tcPr>
            <w:tcW w:w="159" w:type="dxa"/>
            <w:tcBorders/>
            <w:shd w:fill="FFFFFF" w:val="clear"/>
            <w:vAlign w:val="bottom"/>
          </w:tcPr>
          <w:p>
            <w:pPr>
              <w:pStyle w:val="TableContents"/>
              <w:spacing w:lineRule="atLeast" w:line="141" w:before="0" w:after="283"/>
              <w:rPr/>
            </w:pPr>
            <w:r>
              <w:rPr/>
              <w:t>​</w:t>
            </w:r>
          </w:p>
        </w:tc>
        <w:tc>
          <w:tcPr>
            <w:tcW w:w="95" w:type="dxa"/>
            <w:tcBorders/>
            <w:shd w:fill="FFFFFF" w:val="clear"/>
            <w:vAlign w:val="bottom"/>
          </w:tcPr>
          <w:p>
            <w:pPr>
              <w:pStyle w:val="TableContents"/>
              <w:spacing w:lineRule="atLeast" w:line="141" w:before="0" w:after="283"/>
              <w:rPr/>
            </w:pPr>
            <w:r>
              <w:rPr/>
              <w:t>​</w:t>
            </w:r>
          </w:p>
        </w:tc>
        <w:tc>
          <w:tcPr>
            <w:tcW w:w="888" w:type="dxa"/>
            <w:tcBorders/>
            <w:shd w:fill="FFFFFF" w:val="clear"/>
            <w:vAlign w:val="bottom"/>
          </w:tcPr>
          <w:p>
            <w:pPr>
              <w:pStyle w:val="TableContents"/>
              <w:spacing w:lineRule="atLeast" w:line="141" w:before="0" w:after="283"/>
              <w:jc w:val="right"/>
              <w:rPr/>
            </w:pPr>
            <w:r>
              <w:rPr/>
              <w:t>​</w:t>
            </w:r>
          </w:p>
        </w:tc>
        <w:tc>
          <w:tcPr>
            <w:tcW w:w="159" w:type="dxa"/>
            <w:tcBorders/>
            <w:shd w:fill="FFFFFF" w:val="clear"/>
            <w:vAlign w:val="bottom"/>
          </w:tcPr>
          <w:p>
            <w:pPr>
              <w:pStyle w:val="TableContents"/>
              <w:spacing w:lineRule="atLeast" w:line="141" w:before="0" w:after="283"/>
              <w:rPr/>
            </w:pPr>
            <w:r>
              <w:rPr/>
              <w:t>​</w:t>
            </w:r>
          </w:p>
        </w:tc>
        <w:tc>
          <w:tcPr>
            <w:tcW w:w="95" w:type="dxa"/>
            <w:tcBorders/>
            <w:shd w:fill="FFFFFF" w:val="clear"/>
            <w:vAlign w:val="bottom"/>
          </w:tcPr>
          <w:p>
            <w:pPr>
              <w:pStyle w:val="TableContents"/>
              <w:spacing w:lineRule="atLeast" w:line="141" w:before="0" w:after="283"/>
              <w:rPr/>
            </w:pPr>
            <w:r>
              <w:rPr/>
              <w:t>​</w:t>
            </w:r>
          </w:p>
        </w:tc>
        <w:tc>
          <w:tcPr>
            <w:tcW w:w="888" w:type="dxa"/>
            <w:tcBorders/>
            <w:shd w:fill="FFFFFF" w:val="clear"/>
            <w:vAlign w:val="bottom"/>
          </w:tcPr>
          <w:p>
            <w:pPr>
              <w:pStyle w:val="TableContents"/>
              <w:spacing w:lineRule="atLeast" w:line="141" w:before="0" w:after="283"/>
              <w:jc w:val="right"/>
              <w:rPr/>
            </w:pPr>
            <w:r>
              <w:rPr/>
              <w:t>​</w:t>
            </w:r>
          </w:p>
        </w:tc>
        <w:tc>
          <w:tcPr>
            <w:tcW w:w="159" w:type="dxa"/>
            <w:tcBorders/>
            <w:shd w:fill="FFFFFF" w:val="clear"/>
            <w:vAlign w:val="bottom"/>
          </w:tcPr>
          <w:p>
            <w:pPr>
              <w:pStyle w:val="TableContents"/>
              <w:spacing w:lineRule="atLeast" w:line="141" w:before="0" w:after="283"/>
              <w:rPr/>
            </w:pPr>
            <w:r>
              <w:rPr/>
              <w:t>​</w:t>
            </w:r>
          </w:p>
        </w:tc>
        <w:tc>
          <w:tcPr>
            <w:tcW w:w="95" w:type="dxa"/>
            <w:tcBorders/>
            <w:shd w:fill="FFFFFF" w:val="clear"/>
            <w:vAlign w:val="bottom"/>
          </w:tcPr>
          <w:p>
            <w:pPr>
              <w:pStyle w:val="TableContents"/>
              <w:spacing w:lineRule="atLeast" w:line="141" w:before="0" w:after="283"/>
              <w:rPr/>
            </w:pPr>
            <w:r>
              <w:rPr/>
              <w:t>​</w:t>
            </w:r>
          </w:p>
        </w:tc>
        <w:tc>
          <w:tcPr>
            <w:tcW w:w="896" w:type="dxa"/>
            <w:tcBorders/>
            <w:shd w:fill="FFFFFF" w:val="clear"/>
            <w:vAlign w:val="bottom"/>
          </w:tcPr>
          <w:p>
            <w:pPr>
              <w:pStyle w:val="TableContents"/>
              <w:spacing w:lineRule="atLeast" w:line="141" w:before="0" w:after="283"/>
              <w:jc w:val="right"/>
              <w:rPr/>
            </w:pPr>
            <w:r>
              <w:rPr/>
              <w:t>​</w:t>
            </w:r>
          </w:p>
        </w:tc>
        <w:tc>
          <w:tcPr>
            <w:tcW w:w="159" w:type="dxa"/>
            <w:tcBorders/>
            <w:shd w:fill="FFFFFF" w:val="clear"/>
            <w:vAlign w:val="bottom"/>
          </w:tcPr>
          <w:p>
            <w:pPr>
              <w:pStyle w:val="TableContents"/>
              <w:spacing w:lineRule="atLeast" w:line="141" w:before="0" w:after="283"/>
              <w:rPr/>
            </w:pPr>
            <w:r>
              <w:rPr/>
              <w:t>​</w:t>
            </w:r>
          </w:p>
        </w:tc>
        <w:tc>
          <w:tcPr>
            <w:tcW w:w="95" w:type="dxa"/>
            <w:tcBorders/>
            <w:shd w:fill="FFFFFF" w:val="clear"/>
            <w:vAlign w:val="bottom"/>
          </w:tcPr>
          <w:p>
            <w:pPr>
              <w:pStyle w:val="TableContents"/>
              <w:spacing w:lineRule="atLeast" w:line="141" w:before="0" w:after="283"/>
              <w:rPr/>
            </w:pPr>
            <w:r>
              <w:rPr/>
              <w:t>​</w:t>
            </w:r>
          </w:p>
        </w:tc>
        <w:tc>
          <w:tcPr>
            <w:tcW w:w="888" w:type="dxa"/>
            <w:tcBorders/>
            <w:shd w:fill="FFFFFF" w:val="clear"/>
            <w:vAlign w:val="bottom"/>
          </w:tcPr>
          <w:p>
            <w:pPr>
              <w:pStyle w:val="TableContents"/>
              <w:spacing w:lineRule="atLeast" w:line="141" w:before="0" w:after="283"/>
              <w:jc w:val="right"/>
              <w:rPr/>
            </w:pPr>
            <w:r>
              <w:rPr/>
              <w:t>​</w:t>
            </w:r>
          </w:p>
        </w:tc>
        <w:tc>
          <w:tcPr>
            <w:tcW w:w="165" w:type="dxa"/>
            <w:tcBorders/>
            <w:shd w:fill="FFFFFF" w:val="clear"/>
            <w:vAlign w:val="bottom"/>
          </w:tcPr>
          <w:p>
            <w:pPr>
              <w:pStyle w:val="TableContents"/>
              <w:spacing w:lineRule="atLeast" w:line="141" w:before="0" w:after="283"/>
              <w:rPr/>
            </w:pPr>
            <w:r>
              <w:rPr/>
              <w:t>​</w:t>
            </w:r>
          </w:p>
        </w:tc>
      </w:tr>
      <w:tr>
        <w:trPr/>
        <w:tc>
          <w:tcPr>
            <w:tcW w:w="4323" w:type="dxa"/>
            <w:tcBorders/>
            <w:shd w:fill="FFFFFF" w:val="clear"/>
            <w:vAlign w:val="bottom"/>
          </w:tcPr>
          <w:p>
            <w:pPr>
              <w:pStyle w:val="TableContents"/>
              <w:spacing w:before="0" w:after="283"/>
              <w:rPr/>
            </w:pPr>
            <w:r>
              <w:rPr/>
              <w:t>​</w:t>
            </w:r>
          </w:p>
        </w:tc>
        <w:tc>
          <w:tcPr>
            <w:tcW w:w="158" w:type="dxa"/>
            <w:tcBorders/>
            <w:shd w:fill="FFFFFF" w:val="clear"/>
            <w:vAlign w:val="bottom"/>
          </w:tcPr>
          <w:p>
            <w:pPr>
              <w:pStyle w:val="TableContents"/>
              <w:spacing w:before="0" w:after="283"/>
              <w:rPr/>
            </w:pPr>
            <w:r>
              <w:rPr/>
              <w:t>​</w:t>
            </w:r>
          </w:p>
        </w:tc>
        <w:tc>
          <w:tcPr>
            <w:tcW w:w="95" w:type="dxa"/>
            <w:tcBorders>
              <w:bottom w:val="single" w:sz="8" w:space="0" w:color="000000"/>
            </w:tcBorders>
            <w:shd w:fill="FFFFFF" w:val="clear"/>
            <w:tcMar>
              <w:bottom w:w="28" w:type="dxa"/>
            </w:tcMar>
            <w:vAlign w:val="bottom"/>
          </w:tcPr>
          <w:p>
            <w:pPr>
              <w:pStyle w:val="TableContents"/>
              <w:spacing w:before="0" w:after="283"/>
              <w:rPr/>
            </w:pPr>
            <w:r>
              <w:rPr/>
              <w:t xml:space="preserve">​ </w:t>
            </w:r>
          </w:p>
        </w:tc>
        <w:tc>
          <w:tcPr>
            <w:tcW w:w="888" w:type="dxa"/>
            <w:tcBorders>
              <w:bottom w:val="single" w:sz="8" w:space="0" w:color="000000"/>
            </w:tcBorders>
            <w:shd w:fill="FFFFFF" w:val="clear"/>
            <w:tcMar>
              <w:bottom w:w="28" w:type="dxa"/>
            </w:tcMar>
            <w:vAlign w:val="bottom"/>
          </w:tcPr>
          <w:p>
            <w:pPr>
              <w:pStyle w:val="TableContents"/>
              <w:spacing w:before="0" w:after="283"/>
              <w:jc w:val="right"/>
              <w:rPr/>
            </w:pPr>
            <w:r>
              <w:rPr/>
              <w:t xml:space="preserve">​ </w:t>
            </w:r>
          </w:p>
        </w:tc>
        <w:tc>
          <w:tcPr>
            <w:tcW w:w="159" w:type="dxa"/>
            <w:tcBorders/>
            <w:shd w:fill="FFFFFF" w:val="clear"/>
            <w:vAlign w:val="bottom"/>
          </w:tcPr>
          <w:p>
            <w:pPr>
              <w:pStyle w:val="TableContents"/>
              <w:spacing w:before="0" w:after="283"/>
              <w:rPr/>
            </w:pPr>
            <w:r>
              <w:rPr/>
              <w:t>​</w:t>
            </w:r>
          </w:p>
        </w:tc>
        <w:tc>
          <w:tcPr>
            <w:tcW w:w="95" w:type="dxa"/>
            <w:tcBorders>
              <w:bottom w:val="single" w:sz="8" w:space="0" w:color="000000"/>
            </w:tcBorders>
            <w:shd w:fill="FFFFFF" w:val="clear"/>
            <w:tcMar>
              <w:bottom w:w="28" w:type="dxa"/>
            </w:tcMar>
            <w:vAlign w:val="bottom"/>
          </w:tcPr>
          <w:p>
            <w:pPr>
              <w:pStyle w:val="TableContents"/>
              <w:spacing w:before="0" w:after="283"/>
              <w:rPr/>
            </w:pPr>
            <w:r>
              <w:rPr/>
              <w:t xml:space="preserve">​ </w:t>
            </w:r>
          </w:p>
        </w:tc>
        <w:tc>
          <w:tcPr>
            <w:tcW w:w="888" w:type="dxa"/>
            <w:tcBorders>
              <w:bottom w:val="single" w:sz="8" w:space="0" w:color="000000"/>
            </w:tcBorders>
            <w:shd w:fill="FFFFFF" w:val="clear"/>
            <w:tcMar>
              <w:bottom w:w="28" w:type="dxa"/>
            </w:tcMar>
            <w:vAlign w:val="bottom"/>
          </w:tcPr>
          <w:p>
            <w:pPr>
              <w:pStyle w:val="TableContents"/>
              <w:spacing w:before="0" w:after="283"/>
              <w:jc w:val="right"/>
              <w:rPr/>
            </w:pPr>
            <w:r>
              <w:rPr/>
              <w:t xml:space="preserve">​ </w:t>
            </w:r>
          </w:p>
        </w:tc>
        <w:tc>
          <w:tcPr>
            <w:tcW w:w="159" w:type="dxa"/>
            <w:tcBorders/>
            <w:shd w:fill="FFFFFF" w:val="clear"/>
            <w:vAlign w:val="bottom"/>
          </w:tcPr>
          <w:p>
            <w:pPr>
              <w:pStyle w:val="TableContents"/>
              <w:spacing w:before="0" w:after="283"/>
              <w:rPr/>
            </w:pPr>
            <w:r>
              <w:rPr/>
              <w:t>​</w:t>
            </w:r>
          </w:p>
        </w:tc>
        <w:tc>
          <w:tcPr>
            <w:tcW w:w="95" w:type="dxa"/>
            <w:tcBorders>
              <w:bottom w:val="single" w:sz="8" w:space="0" w:color="000000"/>
            </w:tcBorders>
            <w:shd w:fill="FFFFFF" w:val="clear"/>
            <w:tcMar>
              <w:bottom w:w="28" w:type="dxa"/>
            </w:tcMar>
            <w:vAlign w:val="bottom"/>
          </w:tcPr>
          <w:p>
            <w:pPr>
              <w:pStyle w:val="TableContents"/>
              <w:spacing w:before="0" w:after="283"/>
              <w:rPr/>
            </w:pPr>
            <w:r>
              <w:rPr/>
              <w:t xml:space="preserve">​ </w:t>
            </w:r>
          </w:p>
        </w:tc>
        <w:tc>
          <w:tcPr>
            <w:tcW w:w="888" w:type="dxa"/>
            <w:tcBorders>
              <w:bottom w:val="single" w:sz="8" w:space="0" w:color="000000"/>
            </w:tcBorders>
            <w:shd w:fill="FFFFFF" w:val="clear"/>
            <w:tcMar>
              <w:bottom w:w="28" w:type="dxa"/>
            </w:tcMar>
            <w:vAlign w:val="bottom"/>
          </w:tcPr>
          <w:p>
            <w:pPr>
              <w:pStyle w:val="TableContents"/>
              <w:spacing w:before="0" w:after="283"/>
              <w:jc w:val="right"/>
              <w:rPr/>
            </w:pPr>
            <w:r>
              <w:rPr/>
              <w:t xml:space="preserve">​ </w:t>
            </w:r>
          </w:p>
        </w:tc>
        <w:tc>
          <w:tcPr>
            <w:tcW w:w="159" w:type="dxa"/>
            <w:tcBorders/>
            <w:shd w:fill="FFFFFF" w:val="clear"/>
            <w:vAlign w:val="bottom"/>
          </w:tcPr>
          <w:p>
            <w:pPr>
              <w:pStyle w:val="TableContents"/>
              <w:spacing w:before="0" w:after="283"/>
              <w:rPr/>
            </w:pPr>
            <w:r>
              <w:rPr/>
              <w:t>​</w:t>
            </w:r>
          </w:p>
        </w:tc>
        <w:tc>
          <w:tcPr>
            <w:tcW w:w="95" w:type="dxa"/>
            <w:tcBorders>
              <w:bottom w:val="single" w:sz="8" w:space="0" w:color="000000"/>
            </w:tcBorders>
            <w:shd w:fill="FFFFFF" w:val="clear"/>
            <w:tcMar>
              <w:bottom w:w="28" w:type="dxa"/>
            </w:tcMar>
            <w:vAlign w:val="bottom"/>
          </w:tcPr>
          <w:p>
            <w:pPr>
              <w:pStyle w:val="TableContents"/>
              <w:spacing w:before="0" w:after="283"/>
              <w:rPr/>
            </w:pPr>
            <w:r>
              <w:rPr/>
              <w:t xml:space="preserve">​ </w:t>
            </w:r>
          </w:p>
        </w:tc>
        <w:tc>
          <w:tcPr>
            <w:tcW w:w="896" w:type="dxa"/>
            <w:tcBorders>
              <w:bottom w:val="single" w:sz="8" w:space="0" w:color="000000"/>
            </w:tcBorders>
            <w:shd w:fill="FFFFFF" w:val="clear"/>
            <w:tcMar>
              <w:bottom w:w="28" w:type="dxa"/>
            </w:tcMar>
            <w:vAlign w:val="bottom"/>
          </w:tcPr>
          <w:p>
            <w:pPr>
              <w:pStyle w:val="TableContents"/>
              <w:spacing w:before="0" w:after="283"/>
              <w:jc w:val="right"/>
              <w:rPr/>
            </w:pPr>
            <w:r>
              <w:rPr/>
              <w:t xml:space="preserve">​ </w:t>
            </w:r>
          </w:p>
        </w:tc>
        <w:tc>
          <w:tcPr>
            <w:tcW w:w="159" w:type="dxa"/>
            <w:tcBorders/>
            <w:shd w:fill="FFFFFF" w:val="clear"/>
            <w:vAlign w:val="bottom"/>
          </w:tcPr>
          <w:p>
            <w:pPr>
              <w:pStyle w:val="TableContents"/>
              <w:spacing w:before="0" w:after="283"/>
              <w:rPr/>
            </w:pPr>
            <w:r>
              <w:rPr/>
              <w:t>​</w:t>
            </w:r>
          </w:p>
        </w:tc>
        <w:tc>
          <w:tcPr>
            <w:tcW w:w="95" w:type="dxa"/>
            <w:tcBorders>
              <w:bottom w:val="single" w:sz="8" w:space="0" w:color="000000"/>
            </w:tcBorders>
            <w:shd w:fill="FFFFFF" w:val="clear"/>
            <w:tcMar>
              <w:bottom w:w="28" w:type="dxa"/>
            </w:tcMar>
            <w:vAlign w:val="bottom"/>
          </w:tcPr>
          <w:p>
            <w:pPr>
              <w:pStyle w:val="TableContents"/>
              <w:spacing w:before="0" w:after="283"/>
              <w:rPr/>
            </w:pPr>
            <w:r>
              <w:rPr/>
              <w:t xml:space="preserve">​ </w:t>
            </w:r>
          </w:p>
        </w:tc>
        <w:tc>
          <w:tcPr>
            <w:tcW w:w="888" w:type="dxa"/>
            <w:tcBorders>
              <w:bottom w:val="single" w:sz="8" w:space="0" w:color="000000"/>
            </w:tcBorders>
            <w:shd w:fill="FFFFFF" w:val="clear"/>
            <w:tcMar>
              <w:bottom w:w="28" w:type="dxa"/>
            </w:tcMar>
            <w:vAlign w:val="bottom"/>
          </w:tcPr>
          <w:p>
            <w:pPr>
              <w:pStyle w:val="TableContents"/>
              <w:spacing w:before="0" w:after="283"/>
              <w:jc w:val="right"/>
              <w:rPr/>
            </w:pPr>
            <w:r>
              <w:rPr/>
              <w:t xml:space="preserve">​ </w:t>
            </w:r>
          </w:p>
        </w:tc>
        <w:tc>
          <w:tcPr>
            <w:tcW w:w="165" w:type="dxa"/>
            <w:tcBorders/>
            <w:shd w:fill="FFFFFF" w:val="clear"/>
            <w:vAlign w:val="bottom"/>
          </w:tcPr>
          <w:p>
            <w:pPr>
              <w:pStyle w:val="TableContents"/>
              <w:spacing w:before="0" w:after="283"/>
              <w:rPr/>
            </w:pPr>
            <w:r>
              <w:rPr/>
              <w:t xml:space="preserve">​ </w:t>
            </w:r>
          </w:p>
        </w:tc>
      </w:tr>
      <w:tr>
        <w:trPr/>
        <w:tc>
          <w:tcPr>
            <w:tcW w:w="4323" w:type="dxa"/>
            <w:tcBorders/>
            <w:shd w:fill="auto" w:val="clear"/>
            <w:vAlign w:val="bottom"/>
          </w:tcPr>
          <w:p>
            <w:pPr>
              <w:pStyle w:val="TableContents"/>
              <w:spacing w:before="0" w:after="283"/>
              <w:ind w:left="140" w:right="0" w:hanging="140"/>
              <w:rPr>
                <w:rFonts w:ascii="times" w:hAnsi="times"/>
                <w:b/>
                <w:sz w:val="14"/>
              </w:rPr>
            </w:pPr>
            <w:r>
              <w:rPr>
                <w:rFonts w:ascii="times" w:hAnsi="times"/>
                <w:b/>
                <w:sz w:val="14"/>
              </w:rPr>
              <w:t>Profit attributable to GasLog's operations</w:t>
            </w:r>
            <w:r>
              <w:rPr>
                <w:rFonts w:ascii="times" w:hAnsi="times"/>
                <w:b/>
                <w:position w:val="5"/>
                <w:sz w:val="11"/>
                <w:sz w:val="14"/>
              </w:rPr>
              <w:t>(1)</w:t>
            </w:r>
          </w:p>
        </w:tc>
        <w:tc>
          <w:tcPr>
            <w:tcW w:w="158"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rFonts w:ascii="times" w:hAnsi="times"/>
                <w:b/>
                <w:sz w:val="14"/>
              </w:rPr>
            </w:pPr>
            <w:r>
              <w:rPr>
                <w:rFonts w:ascii="times" w:hAnsi="times"/>
                <w:b/>
                <w:sz w:val="14"/>
              </w:rPr>
              <w:t>$</w:t>
            </w:r>
          </w:p>
        </w:tc>
        <w:tc>
          <w:tcPr>
            <w:tcW w:w="888" w:type="dxa"/>
            <w:tcBorders/>
            <w:shd w:fill="auto" w:val="clear"/>
            <w:vAlign w:val="bottom"/>
          </w:tcPr>
          <w:p>
            <w:pPr>
              <w:pStyle w:val="TableContents"/>
              <w:spacing w:before="0" w:after="283"/>
              <w:jc w:val="right"/>
              <w:rPr>
                <w:rFonts w:ascii="times" w:hAnsi="times"/>
                <w:b/>
                <w:sz w:val="14"/>
              </w:rPr>
            </w:pPr>
            <w:r>
              <w:rPr>
                <w:rFonts w:ascii="times" w:hAnsi="times"/>
                <w:b/>
                <w:sz w:val="14"/>
              </w:rPr>
              <w:t>29,117</w:t>
            </w:r>
          </w:p>
        </w:tc>
        <w:tc>
          <w:tcPr>
            <w:tcW w:w="159"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rFonts w:ascii="times" w:hAnsi="times"/>
                <w:b/>
                <w:sz w:val="14"/>
              </w:rPr>
            </w:pPr>
            <w:r>
              <w:rPr>
                <w:rFonts w:ascii="times" w:hAnsi="times"/>
                <w:b/>
                <w:sz w:val="14"/>
              </w:rPr>
              <w:t>$</w:t>
            </w:r>
          </w:p>
        </w:tc>
        <w:tc>
          <w:tcPr>
            <w:tcW w:w="888" w:type="dxa"/>
            <w:tcBorders/>
            <w:shd w:fill="auto" w:val="clear"/>
            <w:vAlign w:val="bottom"/>
          </w:tcPr>
          <w:p>
            <w:pPr>
              <w:pStyle w:val="TableContents"/>
              <w:spacing w:before="0" w:after="283"/>
              <w:jc w:val="right"/>
              <w:rPr>
                <w:rFonts w:ascii="times" w:hAnsi="times"/>
                <w:b/>
                <w:sz w:val="14"/>
              </w:rPr>
            </w:pPr>
            <w:r>
              <w:rPr>
                <w:rFonts w:ascii="times" w:hAnsi="times"/>
                <w:b/>
                <w:sz w:val="14"/>
              </w:rPr>
              <w:t>53,981</w:t>
            </w:r>
          </w:p>
        </w:tc>
        <w:tc>
          <w:tcPr>
            <w:tcW w:w="159"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rFonts w:ascii="times" w:hAnsi="times"/>
                <w:b/>
                <w:sz w:val="14"/>
              </w:rPr>
            </w:pPr>
            <w:r>
              <w:rPr>
                <w:rFonts w:ascii="times" w:hAnsi="times"/>
                <w:b/>
                <w:sz w:val="14"/>
              </w:rPr>
              <w:t>$</w:t>
            </w:r>
          </w:p>
        </w:tc>
        <w:tc>
          <w:tcPr>
            <w:tcW w:w="888" w:type="dxa"/>
            <w:tcBorders/>
            <w:shd w:fill="auto" w:val="clear"/>
            <w:vAlign w:val="bottom"/>
          </w:tcPr>
          <w:p>
            <w:pPr>
              <w:pStyle w:val="TableContents"/>
              <w:spacing w:before="0" w:after="283"/>
              <w:jc w:val="right"/>
              <w:rPr>
                <w:rFonts w:ascii="times" w:hAnsi="times"/>
                <w:b/>
                <w:sz w:val="14"/>
              </w:rPr>
            </w:pPr>
            <w:r>
              <w:rPr>
                <w:rFonts w:ascii="times" w:hAnsi="times"/>
                <w:b/>
                <w:sz w:val="14"/>
              </w:rPr>
              <w:t>25,449</w:t>
            </w:r>
          </w:p>
        </w:tc>
        <w:tc>
          <w:tcPr>
            <w:tcW w:w="159"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rFonts w:ascii="times" w:hAnsi="times"/>
                <w:b/>
                <w:sz w:val="14"/>
              </w:rPr>
            </w:pPr>
            <w:r>
              <w:rPr>
                <w:rFonts w:ascii="times" w:hAnsi="times"/>
                <w:b/>
                <w:sz w:val="14"/>
              </w:rPr>
              <w:t>$</w:t>
            </w:r>
          </w:p>
        </w:tc>
        <w:tc>
          <w:tcPr>
            <w:tcW w:w="896" w:type="dxa"/>
            <w:tcBorders/>
            <w:shd w:fill="auto" w:val="clear"/>
            <w:vAlign w:val="bottom"/>
          </w:tcPr>
          <w:p>
            <w:pPr>
              <w:pStyle w:val="TableContents"/>
              <w:spacing w:before="0" w:after="283"/>
              <w:jc w:val="right"/>
              <w:rPr>
                <w:rFonts w:ascii="times" w:hAnsi="times"/>
                <w:b/>
                <w:sz w:val="14"/>
              </w:rPr>
            </w:pPr>
            <w:r>
              <w:rPr>
                <w:rFonts w:ascii="times" w:hAnsi="times"/>
                <w:b/>
                <w:sz w:val="14"/>
              </w:rPr>
              <w:t>2,650</w:t>
            </w:r>
          </w:p>
        </w:tc>
        <w:tc>
          <w:tcPr>
            <w:tcW w:w="159"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888" w:type="dxa"/>
            <w:tcBorders/>
            <w:shd w:fill="auto" w:val="clear"/>
            <w:vAlign w:val="bottom"/>
          </w:tcPr>
          <w:p>
            <w:pPr>
              <w:pStyle w:val="TableContents"/>
              <w:spacing w:before="0" w:after="283"/>
              <w:jc w:val="right"/>
              <w:rPr>
                <w:rFonts w:ascii="times" w:hAnsi="times"/>
                <w:b/>
                <w:sz w:val="14"/>
              </w:rPr>
            </w:pPr>
            <w:r>
              <w:rPr>
                <w:rFonts w:ascii="times" w:hAnsi="times"/>
                <w:b/>
                <w:sz w:val="14"/>
              </w:rPr>
              <w:t></w:t>
            </w:r>
          </w:p>
        </w:tc>
        <w:tc>
          <w:tcPr>
            <w:tcW w:w="165" w:type="dxa"/>
            <w:tcBorders/>
            <w:shd w:fill="auto" w:val="clear"/>
            <w:vAlign w:val="bottom"/>
          </w:tcPr>
          <w:p>
            <w:pPr>
              <w:pStyle w:val="TableContents"/>
              <w:spacing w:before="0" w:after="283"/>
              <w:rPr/>
            </w:pPr>
            <w:r>
              <w:rPr/>
              <w:t> </w:t>
            </w:r>
          </w:p>
        </w:tc>
      </w:tr>
      <w:tr>
        <w:trPr/>
        <w:tc>
          <w:tcPr>
            <w:tcW w:w="4323" w:type="dxa"/>
            <w:tcBorders/>
            <w:shd w:fill="auto" w:val="clear"/>
            <w:vAlign w:val="bottom"/>
          </w:tcPr>
          <w:p>
            <w:pPr>
              <w:pStyle w:val="TableContents"/>
              <w:spacing w:before="0" w:after="283"/>
              <w:ind w:left="140" w:right="0" w:hanging="140"/>
              <w:rPr>
                <w:rFonts w:ascii="times" w:hAnsi="times"/>
                <w:b/>
                <w:sz w:val="14"/>
              </w:rPr>
            </w:pPr>
            <w:r>
              <w:rPr>
                <w:rFonts w:ascii="times" w:hAnsi="times"/>
                <w:b/>
                <w:sz w:val="14"/>
              </w:rPr>
              <w:t>Partnership's profit/(loss)</w:t>
            </w:r>
            <w:r>
              <w:rPr>
                <w:rFonts w:ascii="times" w:hAnsi="times"/>
                <w:b/>
                <w:position w:val="5"/>
                <w:sz w:val="11"/>
                <w:sz w:val="14"/>
              </w:rPr>
              <w:t>(1)</w:t>
            </w:r>
          </w:p>
        </w:tc>
        <w:tc>
          <w:tcPr>
            <w:tcW w:w="158"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rFonts w:ascii="times" w:hAnsi="times"/>
                <w:b/>
                <w:sz w:val="14"/>
              </w:rPr>
            </w:pPr>
            <w:r>
              <w:rPr>
                <w:rFonts w:ascii="times" w:hAnsi="times"/>
                <w:b/>
                <w:sz w:val="14"/>
              </w:rPr>
              <w:t>$</w:t>
            </w:r>
          </w:p>
        </w:tc>
        <w:tc>
          <w:tcPr>
            <w:tcW w:w="888" w:type="dxa"/>
            <w:tcBorders/>
            <w:shd w:fill="auto" w:val="clear"/>
            <w:vAlign w:val="bottom"/>
          </w:tcPr>
          <w:p>
            <w:pPr>
              <w:pStyle w:val="TableContents"/>
              <w:spacing w:before="0" w:after="283"/>
              <w:jc w:val="right"/>
              <w:rPr>
                <w:rFonts w:ascii="times" w:hAnsi="times"/>
                <w:b/>
                <w:sz w:val="14"/>
              </w:rPr>
            </w:pPr>
            <w:r>
              <w:rPr>
                <w:rFonts w:ascii="times" w:hAnsi="times"/>
                <w:b/>
                <w:sz w:val="14"/>
              </w:rPr>
              <w:t>77,270</w:t>
            </w:r>
          </w:p>
        </w:tc>
        <w:tc>
          <w:tcPr>
            <w:tcW w:w="159"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rFonts w:ascii="times" w:hAnsi="times"/>
                <w:b/>
                <w:sz w:val="14"/>
              </w:rPr>
            </w:pPr>
            <w:r>
              <w:rPr>
                <w:rFonts w:ascii="times" w:hAnsi="times"/>
                <w:b/>
                <w:sz w:val="14"/>
              </w:rPr>
              <w:t>$</w:t>
            </w:r>
          </w:p>
        </w:tc>
        <w:tc>
          <w:tcPr>
            <w:tcW w:w="888" w:type="dxa"/>
            <w:tcBorders/>
            <w:shd w:fill="auto" w:val="clear"/>
            <w:vAlign w:val="bottom"/>
          </w:tcPr>
          <w:p>
            <w:pPr>
              <w:pStyle w:val="TableContents"/>
              <w:spacing w:before="0" w:after="283"/>
              <w:jc w:val="right"/>
              <w:rPr>
                <w:rFonts w:ascii="times" w:hAnsi="times"/>
                <w:b/>
                <w:sz w:val="14"/>
              </w:rPr>
            </w:pPr>
            <w:r>
              <w:rPr>
                <w:rFonts w:ascii="times" w:hAnsi="times"/>
                <w:b/>
                <w:sz w:val="14"/>
              </w:rPr>
              <w:t>94,117</w:t>
            </w:r>
          </w:p>
        </w:tc>
        <w:tc>
          <w:tcPr>
            <w:tcW w:w="159"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rFonts w:ascii="times" w:hAnsi="times"/>
                <w:b/>
                <w:sz w:val="14"/>
              </w:rPr>
            </w:pPr>
            <w:r>
              <w:rPr>
                <w:rFonts w:ascii="times" w:hAnsi="times"/>
                <w:b/>
                <w:sz w:val="14"/>
              </w:rPr>
              <w:t>$</w:t>
            </w:r>
          </w:p>
        </w:tc>
        <w:tc>
          <w:tcPr>
            <w:tcW w:w="888" w:type="dxa"/>
            <w:tcBorders/>
            <w:shd w:fill="auto" w:val="clear"/>
            <w:vAlign w:val="bottom"/>
          </w:tcPr>
          <w:p>
            <w:pPr>
              <w:pStyle w:val="TableContents"/>
              <w:spacing w:before="0" w:after="283"/>
              <w:jc w:val="right"/>
              <w:rPr>
                <w:rFonts w:ascii="times" w:hAnsi="times"/>
                <w:b/>
                <w:sz w:val="14"/>
              </w:rPr>
            </w:pPr>
            <w:r>
              <w:rPr>
                <w:rFonts w:ascii="times" w:hAnsi="times"/>
                <w:b/>
                <w:sz w:val="14"/>
              </w:rPr>
              <w:t>102,597</w:t>
            </w:r>
          </w:p>
        </w:tc>
        <w:tc>
          <w:tcPr>
            <w:tcW w:w="159"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rFonts w:ascii="times" w:hAnsi="times"/>
                <w:b/>
                <w:sz w:val="14"/>
              </w:rPr>
            </w:pPr>
            <w:r>
              <w:rPr>
                <w:rFonts w:ascii="times" w:hAnsi="times"/>
                <w:b/>
                <w:sz w:val="14"/>
              </w:rPr>
              <w:t>$</w:t>
            </w:r>
          </w:p>
        </w:tc>
        <w:tc>
          <w:tcPr>
            <w:tcW w:w="896" w:type="dxa"/>
            <w:tcBorders/>
            <w:shd w:fill="auto" w:val="clear"/>
            <w:vAlign w:val="bottom"/>
          </w:tcPr>
          <w:p>
            <w:pPr>
              <w:pStyle w:val="TableContents"/>
              <w:spacing w:before="0" w:after="283"/>
              <w:jc w:val="right"/>
              <w:rPr>
                <w:rFonts w:ascii="times" w:hAnsi="times"/>
                <w:b/>
                <w:sz w:val="14"/>
              </w:rPr>
            </w:pPr>
            <w:r>
              <w:rPr>
                <w:rFonts w:ascii="times" w:hAnsi="times"/>
                <w:b/>
                <w:sz w:val="14"/>
              </w:rPr>
              <w:t>(37,419</w:t>
            </w:r>
          </w:p>
        </w:tc>
        <w:tc>
          <w:tcPr>
            <w:tcW w:w="159" w:type="dxa"/>
            <w:tcBorders/>
            <w:shd w:fill="auto" w:val="clear"/>
            <w:vAlign w:val="bottom"/>
          </w:tcPr>
          <w:p>
            <w:pPr>
              <w:pStyle w:val="TableContents"/>
              <w:spacing w:before="0" w:after="283"/>
              <w:rPr>
                <w:rFonts w:ascii="times" w:hAnsi="times"/>
                <w:b/>
                <w:sz w:val="14"/>
              </w:rPr>
            </w:pPr>
            <w:r>
              <w:rPr>
                <w:rFonts w:ascii="times" w:hAnsi="times"/>
                <w:b/>
                <w:sz w:val="14"/>
              </w:rPr>
              <w:t>)</w:t>
            </w:r>
          </w:p>
        </w:tc>
        <w:tc>
          <w:tcPr>
            <w:tcW w:w="95" w:type="dxa"/>
            <w:tcBorders/>
            <w:shd w:fill="auto" w:val="clear"/>
            <w:vAlign w:val="bottom"/>
          </w:tcPr>
          <w:p>
            <w:pPr>
              <w:pStyle w:val="TableContents"/>
              <w:spacing w:before="0" w:after="283"/>
              <w:rPr>
                <w:rFonts w:ascii="times" w:hAnsi="times"/>
                <w:b/>
                <w:sz w:val="14"/>
              </w:rPr>
            </w:pPr>
            <w:r>
              <w:rPr>
                <w:rFonts w:ascii="times" w:hAnsi="times"/>
                <w:b/>
                <w:sz w:val="14"/>
              </w:rPr>
              <w:t>$</w:t>
            </w:r>
          </w:p>
        </w:tc>
        <w:tc>
          <w:tcPr>
            <w:tcW w:w="888" w:type="dxa"/>
            <w:tcBorders/>
            <w:shd w:fill="auto" w:val="clear"/>
            <w:vAlign w:val="bottom"/>
          </w:tcPr>
          <w:p>
            <w:pPr>
              <w:pStyle w:val="TableContents"/>
              <w:spacing w:before="0" w:after="283"/>
              <w:jc w:val="right"/>
              <w:rPr>
                <w:rFonts w:ascii="times" w:hAnsi="times"/>
                <w:b/>
                <w:sz w:val="14"/>
              </w:rPr>
            </w:pPr>
            <w:r>
              <w:rPr>
                <w:rFonts w:ascii="times" w:hAnsi="times"/>
                <w:b/>
                <w:sz w:val="14"/>
              </w:rPr>
              <w:t>56,859</w:t>
            </w:r>
          </w:p>
        </w:tc>
        <w:tc>
          <w:tcPr>
            <w:tcW w:w="165" w:type="dxa"/>
            <w:tcBorders/>
            <w:shd w:fill="auto" w:val="clear"/>
            <w:vAlign w:val="bottom"/>
          </w:tcPr>
          <w:p>
            <w:pPr>
              <w:pStyle w:val="TableContents"/>
              <w:spacing w:before="0" w:after="283"/>
              <w:rPr/>
            </w:pPr>
            <w:r>
              <w:rPr/>
              <w:t> </w:t>
            </w:r>
          </w:p>
        </w:tc>
      </w:tr>
      <w:tr>
        <w:trPr/>
        <w:tc>
          <w:tcPr>
            <w:tcW w:w="4323" w:type="dxa"/>
            <w:tcBorders/>
            <w:shd w:fill="auto" w:val="clear"/>
            <w:vAlign w:val="bottom"/>
          </w:tcPr>
          <w:p>
            <w:pPr>
              <w:pStyle w:val="TableContents"/>
              <w:spacing w:before="0" w:after="283"/>
              <w:ind w:left="140" w:right="0" w:hanging="140"/>
              <w:rPr>
                <w:rFonts w:ascii="times" w:hAnsi="times"/>
                <w:b/>
                <w:sz w:val="14"/>
              </w:rPr>
            </w:pPr>
            <w:r>
              <w:rPr>
                <w:rFonts w:ascii="times" w:hAnsi="times"/>
                <w:b/>
                <w:sz w:val="14"/>
              </w:rPr>
              <w:t>EARNINGS/(LOSS) PER UNIT ("EPU") ATTRIBUTABLE TO THE PARTNERSHIP</w:t>
            </w:r>
            <w:r>
              <w:rPr>
                <w:rFonts w:ascii="times" w:hAnsi="times"/>
                <w:b/>
                <w:position w:val="5"/>
                <w:sz w:val="11"/>
                <w:sz w:val="14"/>
              </w:rPr>
              <w:t>(2)</w:t>
            </w:r>
          </w:p>
        </w:tc>
        <w:tc>
          <w:tcPr>
            <w:tcW w:w="158"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888" w:type="dxa"/>
            <w:tcBorders/>
            <w:shd w:fill="auto" w:val="clear"/>
            <w:vAlign w:val="bottom"/>
          </w:tcPr>
          <w:p>
            <w:pPr>
              <w:pStyle w:val="TableContents"/>
              <w:spacing w:before="0" w:after="283"/>
              <w:jc w:val="right"/>
              <w:rPr/>
            </w:pPr>
            <w:r>
              <w:rPr/>
              <w:t> </w:t>
            </w:r>
          </w:p>
        </w:tc>
        <w:tc>
          <w:tcPr>
            <w:tcW w:w="159"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888" w:type="dxa"/>
            <w:tcBorders/>
            <w:shd w:fill="auto" w:val="clear"/>
            <w:vAlign w:val="bottom"/>
          </w:tcPr>
          <w:p>
            <w:pPr>
              <w:pStyle w:val="TableContents"/>
              <w:spacing w:before="0" w:after="283"/>
              <w:jc w:val="right"/>
              <w:rPr/>
            </w:pPr>
            <w:r>
              <w:rPr/>
              <w:t> </w:t>
            </w:r>
          </w:p>
        </w:tc>
        <w:tc>
          <w:tcPr>
            <w:tcW w:w="159"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888" w:type="dxa"/>
            <w:tcBorders/>
            <w:shd w:fill="auto" w:val="clear"/>
            <w:vAlign w:val="bottom"/>
          </w:tcPr>
          <w:p>
            <w:pPr>
              <w:pStyle w:val="TableContents"/>
              <w:spacing w:before="0" w:after="283"/>
              <w:jc w:val="right"/>
              <w:rPr/>
            </w:pPr>
            <w:r>
              <w:rPr/>
              <w:t> </w:t>
            </w:r>
          </w:p>
        </w:tc>
        <w:tc>
          <w:tcPr>
            <w:tcW w:w="159"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896" w:type="dxa"/>
            <w:tcBorders/>
            <w:shd w:fill="auto" w:val="clear"/>
            <w:vAlign w:val="bottom"/>
          </w:tcPr>
          <w:p>
            <w:pPr>
              <w:pStyle w:val="TableContents"/>
              <w:spacing w:before="0" w:after="283"/>
              <w:jc w:val="right"/>
              <w:rPr/>
            </w:pPr>
            <w:r>
              <w:rPr/>
              <w:t> </w:t>
            </w:r>
          </w:p>
        </w:tc>
        <w:tc>
          <w:tcPr>
            <w:tcW w:w="159"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888" w:type="dxa"/>
            <w:tcBorders/>
            <w:shd w:fill="auto" w:val="clear"/>
            <w:vAlign w:val="bottom"/>
          </w:tcPr>
          <w:p>
            <w:pPr>
              <w:pStyle w:val="TableContents"/>
              <w:spacing w:before="0" w:after="283"/>
              <w:jc w:val="right"/>
              <w:rPr/>
            </w:pPr>
            <w:r>
              <w:rPr/>
              <w:t> </w:t>
            </w:r>
          </w:p>
        </w:tc>
        <w:tc>
          <w:tcPr>
            <w:tcW w:w="165" w:type="dxa"/>
            <w:tcBorders/>
            <w:shd w:fill="auto" w:val="clear"/>
            <w:vAlign w:val="bottom"/>
          </w:tcPr>
          <w:p>
            <w:pPr>
              <w:pStyle w:val="TableContents"/>
              <w:spacing w:before="0" w:after="283"/>
              <w:rPr/>
            </w:pPr>
            <w:r>
              <w:rPr/>
              <w:t> </w:t>
            </w:r>
          </w:p>
        </w:tc>
      </w:tr>
      <w:tr>
        <w:trPr/>
        <w:tc>
          <w:tcPr>
            <w:tcW w:w="4323" w:type="dxa"/>
            <w:tcBorders/>
            <w:shd w:fill="auto" w:val="clear"/>
            <w:vAlign w:val="bottom"/>
          </w:tcPr>
          <w:p>
            <w:pPr>
              <w:pStyle w:val="TableContents"/>
              <w:spacing w:before="0" w:after="283"/>
              <w:ind w:left="140" w:right="0" w:hanging="140"/>
              <w:rPr>
                <w:rFonts w:ascii="times" w:hAnsi="times"/>
                <w:sz w:val="14"/>
              </w:rPr>
            </w:pPr>
            <w:r>
              <w:rPr>
                <w:rFonts w:ascii="times" w:hAnsi="times"/>
                <w:sz w:val="14"/>
              </w:rPr>
              <w:t>Common units (basic)</w:t>
            </w:r>
          </w:p>
        </w:tc>
        <w:tc>
          <w:tcPr>
            <w:tcW w:w="158"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rFonts w:ascii="times" w:hAnsi="times"/>
                <w:sz w:val="14"/>
              </w:rPr>
            </w:pPr>
            <w:r>
              <w:rPr>
                <w:rFonts w:ascii="times" w:hAnsi="times"/>
                <w:sz w:val="14"/>
              </w:rPr>
              <w:t>$</w:t>
            </w:r>
          </w:p>
        </w:tc>
        <w:tc>
          <w:tcPr>
            <w:tcW w:w="888" w:type="dxa"/>
            <w:tcBorders/>
            <w:shd w:fill="auto" w:val="clear"/>
            <w:vAlign w:val="bottom"/>
          </w:tcPr>
          <w:p>
            <w:pPr>
              <w:pStyle w:val="TableContents"/>
              <w:spacing w:before="0" w:after="283"/>
              <w:jc w:val="right"/>
              <w:rPr>
                <w:rFonts w:ascii="times" w:hAnsi="times"/>
                <w:sz w:val="14"/>
              </w:rPr>
            </w:pPr>
            <w:r>
              <w:rPr>
                <w:rFonts w:ascii="times" w:hAnsi="times"/>
                <w:sz w:val="14"/>
              </w:rPr>
              <w:t>2.18</w:t>
            </w:r>
          </w:p>
        </w:tc>
        <w:tc>
          <w:tcPr>
            <w:tcW w:w="159"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rFonts w:ascii="times" w:hAnsi="times"/>
                <w:sz w:val="14"/>
              </w:rPr>
            </w:pPr>
            <w:r>
              <w:rPr>
                <w:rFonts w:ascii="times" w:hAnsi="times"/>
                <w:sz w:val="14"/>
              </w:rPr>
              <w:t>$</w:t>
            </w:r>
          </w:p>
        </w:tc>
        <w:tc>
          <w:tcPr>
            <w:tcW w:w="888" w:type="dxa"/>
            <w:tcBorders/>
            <w:shd w:fill="auto" w:val="clear"/>
            <w:vAlign w:val="bottom"/>
          </w:tcPr>
          <w:p>
            <w:pPr>
              <w:pStyle w:val="TableContents"/>
              <w:spacing w:before="0" w:after="283"/>
              <w:jc w:val="right"/>
              <w:rPr>
                <w:rFonts w:ascii="times" w:hAnsi="times"/>
                <w:sz w:val="14"/>
              </w:rPr>
            </w:pPr>
            <w:r>
              <w:rPr>
                <w:rFonts w:ascii="times" w:hAnsi="times"/>
                <w:sz w:val="14"/>
              </w:rPr>
              <w:t>2.09</w:t>
            </w:r>
          </w:p>
        </w:tc>
        <w:tc>
          <w:tcPr>
            <w:tcW w:w="159"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rFonts w:ascii="times" w:hAnsi="times"/>
                <w:sz w:val="14"/>
              </w:rPr>
            </w:pPr>
            <w:r>
              <w:rPr>
                <w:rFonts w:ascii="times" w:hAnsi="times"/>
                <w:sz w:val="14"/>
              </w:rPr>
              <w:t>$</w:t>
            </w:r>
          </w:p>
        </w:tc>
        <w:tc>
          <w:tcPr>
            <w:tcW w:w="888" w:type="dxa"/>
            <w:tcBorders/>
            <w:shd w:fill="auto" w:val="clear"/>
            <w:vAlign w:val="bottom"/>
          </w:tcPr>
          <w:p>
            <w:pPr>
              <w:pStyle w:val="TableContents"/>
              <w:spacing w:before="0" w:after="283"/>
              <w:jc w:val="right"/>
              <w:rPr>
                <w:rFonts w:ascii="times" w:hAnsi="times"/>
                <w:sz w:val="14"/>
              </w:rPr>
            </w:pPr>
            <w:r>
              <w:rPr>
                <w:rFonts w:ascii="times" w:hAnsi="times"/>
                <w:sz w:val="14"/>
              </w:rPr>
              <w:t>1.77</w:t>
            </w:r>
          </w:p>
        </w:tc>
        <w:tc>
          <w:tcPr>
            <w:tcW w:w="159"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rFonts w:ascii="times" w:hAnsi="times"/>
                <w:sz w:val="14"/>
              </w:rPr>
            </w:pPr>
            <w:r>
              <w:rPr>
                <w:rFonts w:ascii="times" w:hAnsi="times"/>
                <w:sz w:val="14"/>
              </w:rPr>
              <w:t>$</w:t>
            </w:r>
          </w:p>
        </w:tc>
        <w:tc>
          <w:tcPr>
            <w:tcW w:w="896" w:type="dxa"/>
            <w:tcBorders/>
            <w:shd w:fill="auto" w:val="clear"/>
            <w:vAlign w:val="bottom"/>
          </w:tcPr>
          <w:p>
            <w:pPr>
              <w:pStyle w:val="TableContents"/>
              <w:spacing w:before="0" w:after="283"/>
              <w:jc w:val="right"/>
              <w:rPr>
                <w:rFonts w:ascii="times" w:hAnsi="times"/>
                <w:sz w:val="14"/>
              </w:rPr>
            </w:pPr>
            <w:r>
              <w:rPr>
                <w:rFonts w:ascii="times" w:hAnsi="times"/>
                <w:sz w:val="14"/>
              </w:rPr>
              <w:t>(1.43</w:t>
            </w:r>
          </w:p>
        </w:tc>
        <w:tc>
          <w:tcPr>
            <w:tcW w:w="159" w:type="dxa"/>
            <w:tcBorders/>
            <w:shd w:fill="auto" w:val="clear"/>
            <w:vAlign w:val="bottom"/>
          </w:tcPr>
          <w:p>
            <w:pPr>
              <w:pStyle w:val="TableContents"/>
              <w:spacing w:before="0" w:after="283"/>
              <w:rPr>
                <w:rFonts w:ascii="times" w:hAnsi="times"/>
                <w:sz w:val="14"/>
              </w:rPr>
            </w:pPr>
            <w:r>
              <w:rPr>
                <w:rFonts w:ascii="times" w:hAnsi="times"/>
                <w:sz w:val="14"/>
              </w:rPr>
              <w:t>)</w:t>
            </w:r>
          </w:p>
        </w:tc>
        <w:tc>
          <w:tcPr>
            <w:tcW w:w="95" w:type="dxa"/>
            <w:tcBorders/>
            <w:shd w:fill="auto" w:val="clear"/>
            <w:vAlign w:val="bottom"/>
          </w:tcPr>
          <w:p>
            <w:pPr>
              <w:pStyle w:val="TableContents"/>
              <w:spacing w:before="0" w:after="283"/>
              <w:rPr>
                <w:rFonts w:ascii="times" w:hAnsi="times"/>
                <w:sz w:val="14"/>
              </w:rPr>
            </w:pPr>
            <w:r>
              <w:rPr>
                <w:rFonts w:ascii="times" w:hAnsi="times"/>
                <w:sz w:val="14"/>
              </w:rPr>
              <w:t>$</w:t>
            </w:r>
          </w:p>
        </w:tc>
        <w:tc>
          <w:tcPr>
            <w:tcW w:w="888" w:type="dxa"/>
            <w:tcBorders/>
            <w:shd w:fill="auto" w:val="clear"/>
            <w:vAlign w:val="bottom"/>
          </w:tcPr>
          <w:p>
            <w:pPr>
              <w:pStyle w:val="TableContents"/>
              <w:spacing w:before="0" w:after="283"/>
              <w:jc w:val="right"/>
              <w:rPr>
                <w:rFonts w:ascii="times" w:hAnsi="times"/>
                <w:sz w:val="14"/>
              </w:rPr>
            </w:pPr>
            <w:r>
              <w:rPr>
                <w:rFonts w:ascii="times" w:hAnsi="times"/>
                <w:sz w:val="14"/>
              </w:rPr>
              <w:t>0.55</w:t>
            </w:r>
          </w:p>
        </w:tc>
        <w:tc>
          <w:tcPr>
            <w:tcW w:w="165" w:type="dxa"/>
            <w:tcBorders/>
            <w:shd w:fill="auto" w:val="clear"/>
            <w:vAlign w:val="bottom"/>
          </w:tcPr>
          <w:p>
            <w:pPr>
              <w:pStyle w:val="TableContents"/>
              <w:spacing w:before="0" w:after="283"/>
              <w:rPr/>
            </w:pPr>
            <w:r>
              <w:rPr/>
              <w:t> </w:t>
            </w:r>
          </w:p>
        </w:tc>
      </w:tr>
      <w:tr>
        <w:trPr/>
        <w:tc>
          <w:tcPr>
            <w:tcW w:w="4323" w:type="dxa"/>
            <w:tcBorders/>
            <w:shd w:fill="auto" w:val="clear"/>
            <w:vAlign w:val="bottom"/>
          </w:tcPr>
          <w:p>
            <w:pPr>
              <w:pStyle w:val="TableContents"/>
              <w:spacing w:before="0" w:after="283"/>
              <w:ind w:left="140" w:right="0" w:hanging="140"/>
              <w:rPr>
                <w:rFonts w:ascii="times" w:hAnsi="times"/>
                <w:sz w:val="14"/>
              </w:rPr>
            </w:pPr>
            <w:r>
              <w:rPr>
                <w:rFonts w:ascii="times" w:hAnsi="times"/>
                <w:sz w:val="14"/>
              </w:rPr>
              <w:t>Common units (diluted)</w:t>
            </w:r>
          </w:p>
        </w:tc>
        <w:tc>
          <w:tcPr>
            <w:tcW w:w="158"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rFonts w:ascii="times" w:hAnsi="times"/>
                <w:sz w:val="14"/>
              </w:rPr>
            </w:pPr>
            <w:r>
              <w:rPr>
                <w:rFonts w:ascii="times" w:hAnsi="times"/>
                <w:sz w:val="14"/>
              </w:rPr>
              <w:t>$</w:t>
            </w:r>
          </w:p>
        </w:tc>
        <w:tc>
          <w:tcPr>
            <w:tcW w:w="888" w:type="dxa"/>
            <w:tcBorders/>
            <w:shd w:fill="auto" w:val="clear"/>
            <w:vAlign w:val="bottom"/>
          </w:tcPr>
          <w:p>
            <w:pPr>
              <w:pStyle w:val="TableContents"/>
              <w:spacing w:before="0" w:after="283"/>
              <w:jc w:val="right"/>
              <w:rPr>
                <w:rFonts w:ascii="times" w:hAnsi="times"/>
                <w:sz w:val="14"/>
              </w:rPr>
            </w:pPr>
            <w:r>
              <w:rPr>
                <w:rFonts w:ascii="times" w:hAnsi="times"/>
                <w:sz w:val="14"/>
              </w:rPr>
              <w:t>2.17</w:t>
            </w:r>
          </w:p>
        </w:tc>
        <w:tc>
          <w:tcPr>
            <w:tcW w:w="159"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rFonts w:ascii="times" w:hAnsi="times"/>
                <w:sz w:val="14"/>
              </w:rPr>
            </w:pPr>
            <w:r>
              <w:rPr>
                <w:rFonts w:ascii="times" w:hAnsi="times"/>
                <w:sz w:val="14"/>
              </w:rPr>
              <w:t>$</w:t>
            </w:r>
          </w:p>
        </w:tc>
        <w:tc>
          <w:tcPr>
            <w:tcW w:w="888" w:type="dxa"/>
            <w:tcBorders/>
            <w:shd w:fill="auto" w:val="clear"/>
            <w:vAlign w:val="bottom"/>
          </w:tcPr>
          <w:p>
            <w:pPr>
              <w:pStyle w:val="TableContents"/>
              <w:spacing w:before="0" w:after="283"/>
              <w:jc w:val="right"/>
              <w:rPr>
                <w:rFonts w:ascii="times" w:hAnsi="times"/>
                <w:sz w:val="14"/>
              </w:rPr>
            </w:pPr>
            <w:r>
              <w:rPr>
                <w:rFonts w:ascii="times" w:hAnsi="times"/>
                <w:sz w:val="14"/>
              </w:rPr>
              <w:t>2.09</w:t>
            </w:r>
          </w:p>
        </w:tc>
        <w:tc>
          <w:tcPr>
            <w:tcW w:w="159"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rFonts w:ascii="times" w:hAnsi="times"/>
                <w:sz w:val="14"/>
              </w:rPr>
            </w:pPr>
            <w:r>
              <w:rPr>
                <w:rFonts w:ascii="times" w:hAnsi="times"/>
                <w:sz w:val="14"/>
              </w:rPr>
              <w:t>$</w:t>
            </w:r>
          </w:p>
        </w:tc>
        <w:tc>
          <w:tcPr>
            <w:tcW w:w="888" w:type="dxa"/>
            <w:tcBorders/>
            <w:shd w:fill="auto" w:val="clear"/>
            <w:vAlign w:val="bottom"/>
          </w:tcPr>
          <w:p>
            <w:pPr>
              <w:pStyle w:val="TableContents"/>
              <w:spacing w:before="0" w:after="283"/>
              <w:jc w:val="right"/>
              <w:rPr>
                <w:rFonts w:ascii="times" w:hAnsi="times"/>
                <w:sz w:val="14"/>
              </w:rPr>
            </w:pPr>
            <w:r>
              <w:rPr>
                <w:rFonts w:ascii="times" w:hAnsi="times"/>
                <w:sz w:val="14"/>
              </w:rPr>
              <w:t>1.76</w:t>
            </w:r>
          </w:p>
        </w:tc>
        <w:tc>
          <w:tcPr>
            <w:tcW w:w="159"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rFonts w:ascii="times" w:hAnsi="times"/>
                <w:sz w:val="14"/>
              </w:rPr>
            </w:pPr>
            <w:r>
              <w:rPr>
                <w:rFonts w:ascii="times" w:hAnsi="times"/>
                <w:sz w:val="14"/>
              </w:rPr>
              <w:t>$</w:t>
            </w:r>
          </w:p>
        </w:tc>
        <w:tc>
          <w:tcPr>
            <w:tcW w:w="896" w:type="dxa"/>
            <w:tcBorders/>
            <w:shd w:fill="auto" w:val="clear"/>
            <w:vAlign w:val="bottom"/>
          </w:tcPr>
          <w:p>
            <w:pPr>
              <w:pStyle w:val="TableContents"/>
              <w:spacing w:before="0" w:after="283"/>
              <w:jc w:val="right"/>
              <w:rPr>
                <w:rFonts w:ascii="times" w:hAnsi="times"/>
                <w:sz w:val="14"/>
              </w:rPr>
            </w:pPr>
            <w:r>
              <w:rPr>
                <w:rFonts w:ascii="times" w:hAnsi="times"/>
                <w:sz w:val="14"/>
              </w:rPr>
              <w:t>(1.43</w:t>
            </w:r>
          </w:p>
        </w:tc>
        <w:tc>
          <w:tcPr>
            <w:tcW w:w="159" w:type="dxa"/>
            <w:tcBorders/>
            <w:shd w:fill="auto" w:val="clear"/>
            <w:vAlign w:val="bottom"/>
          </w:tcPr>
          <w:p>
            <w:pPr>
              <w:pStyle w:val="TableContents"/>
              <w:spacing w:before="0" w:after="283"/>
              <w:rPr>
                <w:rFonts w:ascii="times" w:hAnsi="times"/>
                <w:sz w:val="14"/>
              </w:rPr>
            </w:pPr>
            <w:r>
              <w:rPr>
                <w:rFonts w:ascii="times" w:hAnsi="times"/>
                <w:sz w:val="14"/>
              </w:rPr>
              <w:t>)</w:t>
            </w:r>
          </w:p>
        </w:tc>
        <w:tc>
          <w:tcPr>
            <w:tcW w:w="95" w:type="dxa"/>
            <w:tcBorders/>
            <w:shd w:fill="auto" w:val="clear"/>
            <w:vAlign w:val="bottom"/>
          </w:tcPr>
          <w:p>
            <w:pPr>
              <w:pStyle w:val="TableContents"/>
              <w:spacing w:before="0" w:after="283"/>
              <w:rPr>
                <w:rFonts w:ascii="times" w:hAnsi="times"/>
                <w:sz w:val="14"/>
              </w:rPr>
            </w:pPr>
            <w:r>
              <w:rPr>
                <w:rFonts w:ascii="times" w:hAnsi="times"/>
                <w:sz w:val="14"/>
              </w:rPr>
              <w:t>$</w:t>
            </w:r>
          </w:p>
        </w:tc>
        <w:tc>
          <w:tcPr>
            <w:tcW w:w="888" w:type="dxa"/>
            <w:tcBorders/>
            <w:shd w:fill="auto" w:val="clear"/>
            <w:vAlign w:val="bottom"/>
          </w:tcPr>
          <w:p>
            <w:pPr>
              <w:pStyle w:val="TableContents"/>
              <w:spacing w:before="0" w:after="283"/>
              <w:jc w:val="right"/>
              <w:rPr>
                <w:rFonts w:ascii="times" w:hAnsi="times"/>
                <w:sz w:val="14"/>
              </w:rPr>
            </w:pPr>
            <w:r>
              <w:rPr>
                <w:rFonts w:ascii="times" w:hAnsi="times"/>
                <w:sz w:val="14"/>
              </w:rPr>
              <w:t>0.52</w:t>
            </w:r>
          </w:p>
        </w:tc>
        <w:tc>
          <w:tcPr>
            <w:tcW w:w="165" w:type="dxa"/>
            <w:tcBorders/>
            <w:shd w:fill="auto" w:val="clear"/>
            <w:vAlign w:val="bottom"/>
          </w:tcPr>
          <w:p>
            <w:pPr>
              <w:pStyle w:val="TableContents"/>
              <w:spacing w:before="0" w:after="283"/>
              <w:rPr/>
            </w:pPr>
            <w:r>
              <w:rPr/>
              <w:t> </w:t>
            </w:r>
          </w:p>
        </w:tc>
      </w:tr>
      <w:tr>
        <w:trPr/>
        <w:tc>
          <w:tcPr>
            <w:tcW w:w="4323" w:type="dxa"/>
            <w:tcBorders/>
            <w:shd w:fill="auto" w:val="clear"/>
            <w:vAlign w:val="bottom"/>
          </w:tcPr>
          <w:p>
            <w:pPr>
              <w:pStyle w:val="TableContents"/>
              <w:spacing w:before="0" w:after="283"/>
              <w:ind w:left="140" w:right="0" w:hanging="140"/>
              <w:rPr>
                <w:rFonts w:ascii="times" w:hAnsi="times"/>
                <w:sz w:val="14"/>
              </w:rPr>
            </w:pPr>
            <w:r>
              <w:rPr>
                <w:rFonts w:ascii="times" w:hAnsi="times"/>
                <w:sz w:val="14"/>
              </w:rPr>
              <w:t>Subordinated units</w:t>
            </w:r>
            <w:r>
              <w:rPr>
                <w:rFonts w:ascii="times" w:hAnsi="times"/>
                <w:position w:val="5"/>
                <w:sz w:val="11"/>
                <w:sz w:val="14"/>
              </w:rPr>
              <w:t>(3)</w:t>
            </w:r>
          </w:p>
        </w:tc>
        <w:tc>
          <w:tcPr>
            <w:tcW w:w="158"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rFonts w:ascii="times" w:hAnsi="times"/>
                <w:sz w:val="14"/>
              </w:rPr>
            </w:pPr>
            <w:r>
              <w:rPr>
                <w:rFonts w:ascii="times" w:hAnsi="times"/>
                <w:sz w:val="14"/>
              </w:rPr>
              <w:t>$</w:t>
            </w:r>
          </w:p>
        </w:tc>
        <w:tc>
          <w:tcPr>
            <w:tcW w:w="888" w:type="dxa"/>
            <w:tcBorders/>
            <w:shd w:fill="auto" w:val="clear"/>
            <w:vAlign w:val="bottom"/>
          </w:tcPr>
          <w:p>
            <w:pPr>
              <w:pStyle w:val="TableContents"/>
              <w:spacing w:before="0" w:after="283"/>
              <w:jc w:val="right"/>
              <w:rPr>
                <w:rFonts w:ascii="times" w:hAnsi="times"/>
                <w:sz w:val="14"/>
              </w:rPr>
            </w:pPr>
            <w:r>
              <w:rPr>
                <w:rFonts w:ascii="times" w:hAnsi="times"/>
                <w:sz w:val="14"/>
              </w:rPr>
              <w:t>2.14</w:t>
            </w:r>
          </w:p>
        </w:tc>
        <w:tc>
          <w:tcPr>
            <w:tcW w:w="159"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rFonts w:ascii="times" w:hAnsi="times"/>
                <w:sz w:val="14"/>
              </w:rPr>
            </w:pPr>
            <w:r>
              <w:rPr>
                <w:rFonts w:ascii="times" w:hAnsi="times"/>
                <w:sz w:val="14"/>
              </w:rPr>
              <w:t>$</w:t>
            </w:r>
          </w:p>
        </w:tc>
        <w:tc>
          <w:tcPr>
            <w:tcW w:w="888" w:type="dxa"/>
            <w:tcBorders/>
            <w:shd w:fill="auto" w:val="clear"/>
            <w:vAlign w:val="bottom"/>
          </w:tcPr>
          <w:p>
            <w:pPr>
              <w:pStyle w:val="TableContents"/>
              <w:spacing w:before="0" w:after="283"/>
              <w:jc w:val="right"/>
              <w:rPr>
                <w:rFonts w:ascii="times" w:hAnsi="times"/>
                <w:sz w:val="14"/>
              </w:rPr>
            </w:pPr>
            <w:r>
              <w:rPr>
                <w:rFonts w:ascii="times" w:hAnsi="times"/>
                <w:sz w:val="14"/>
              </w:rPr>
              <w:t>0.52</w:t>
            </w:r>
          </w:p>
        </w:tc>
        <w:tc>
          <w:tcPr>
            <w:tcW w:w="159"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888" w:type="dxa"/>
            <w:tcBorders/>
            <w:shd w:fill="auto" w:val="clear"/>
            <w:vAlign w:val="bottom"/>
          </w:tcPr>
          <w:p>
            <w:pPr>
              <w:pStyle w:val="TableContents"/>
              <w:spacing w:before="0" w:after="283"/>
              <w:jc w:val="right"/>
              <w:rPr>
                <w:rFonts w:ascii="times" w:hAnsi="times"/>
                <w:sz w:val="14"/>
              </w:rPr>
            </w:pPr>
            <w:r>
              <w:rPr>
                <w:rFonts w:ascii="times" w:hAnsi="times"/>
                <w:sz w:val="14"/>
              </w:rPr>
              <w:t>N/A</w:t>
            </w:r>
          </w:p>
        </w:tc>
        <w:tc>
          <w:tcPr>
            <w:tcW w:w="159"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896" w:type="dxa"/>
            <w:tcBorders/>
            <w:shd w:fill="auto" w:val="clear"/>
            <w:vAlign w:val="bottom"/>
          </w:tcPr>
          <w:p>
            <w:pPr>
              <w:pStyle w:val="TableContents"/>
              <w:spacing w:before="0" w:after="283"/>
              <w:jc w:val="right"/>
              <w:rPr>
                <w:rFonts w:ascii="times" w:hAnsi="times"/>
                <w:sz w:val="14"/>
              </w:rPr>
            </w:pPr>
            <w:r>
              <w:rPr>
                <w:rFonts w:ascii="times" w:hAnsi="times"/>
                <w:sz w:val="14"/>
              </w:rPr>
              <w:t>N/A</w:t>
            </w:r>
          </w:p>
        </w:tc>
        <w:tc>
          <w:tcPr>
            <w:tcW w:w="159"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888" w:type="dxa"/>
            <w:tcBorders/>
            <w:shd w:fill="auto" w:val="clear"/>
            <w:vAlign w:val="bottom"/>
          </w:tcPr>
          <w:p>
            <w:pPr>
              <w:pStyle w:val="TableContents"/>
              <w:spacing w:before="0" w:after="283"/>
              <w:jc w:val="right"/>
              <w:rPr>
                <w:rFonts w:ascii="times" w:hAnsi="times"/>
                <w:sz w:val="14"/>
              </w:rPr>
            </w:pPr>
            <w:r>
              <w:rPr>
                <w:rFonts w:ascii="times" w:hAnsi="times"/>
                <w:sz w:val="14"/>
              </w:rPr>
              <w:t>N/A</w:t>
            </w:r>
          </w:p>
        </w:tc>
        <w:tc>
          <w:tcPr>
            <w:tcW w:w="165" w:type="dxa"/>
            <w:tcBorders/>
            <w:shd w:fill="auto" w:val="clear"/>
            <w:vAlign w:val="bottom"/>
          </w:tcPr>
          <w:p>
            <w:pPr>
              <w:pStyle w:val="TableContents"/>
              <w:spacing w:before="0" w:after="283"/>
              <w:rPr/>
            </w:pPr>
            <w:r>
              <w:rPr/>
              <w:t> </w:t>
            </w:r>
          </w:p>
        </w:tc>
      </w:tr>
      <w:tr>
        <w:trPr/>
        <w:tc>
          <w:tcPr>
            <w:tcW w:w="4323" w:type="dxa"/>
            <w:tcBorders/>
            <w:shd w:fill="auto" w:val="clear"/>
            <w:vAlign w:val="bottom"/>
          </w:tcPr>
          <w:p>
            <w:pPr>
              <w:pStyle w:val="TableContents"/>
              <w:spacing w:before="0" w:after="283"/>
              <w:ind w:left="140" w:right="0" w:hanging="140"/>
              <w:rPr>
                <w:rFonts w:ascii="times" w:hAnsi="times"/>
                <w:sz w:val="14"/>
              </w:rPr>
            </w:pPr>
            <w:r>
              <w:rPr>
                <w:rFonts w:ascii="times" w:hAnsi="times"/>
                <w:sz w:val="14"/>
              </w:rPr>
              <w:t>General partner units</w:t>
            </w:r>
          </w:p>
        </w:tc>
        <w:tc>
          <w:tcPr>
            <w:tcW w:w="158"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rFonts w:ascii="times" w:hAnsi="times"/>
                <w:sz w:val="14"/>
              </w:rPr>
            </w:pPr>
            <w:r>
              <w:rPr>
                <w:rFonts w:ascii="times" w:hAnsi="times"/>
                <w:sz w:val="14"/>
              </w:rPr>
              <w:t>$</w:t>
            </w:r>
          </w:p>
        </w:tc>
        <w:tc>
          <w:tcPr>
            <w:tcW w:w="888" w:type="dxa"/>
            <w:tcBorders/>
            <w:shd w:fill="auto" w:val="clear"/>
            <w:vAlign w:val="bottom"/>
          </w:tcPr>
          <w:p>
            <w:pPr>
              <w:pStyle w:val="TableContents"/>
              <w:spacing w:before="0" w:after="283"/>
              <w:jc w:val="right"/>
              <w:rPr>
                <w:rFonts w:ascii="times" w:hAnsi="times"/>
                <w:sz w:val="14"/>
              </w:rPr>
            </w:pPr>
            <w:r>
              <w:rPr>
                <w:rFonts w:ascii="times" w:hAnsi="times"/>
                <w:sz w:val="14"/>
              </w:rPr>
              <w:t>2.31</w:t>
            </w:r>
          </w:p>
        </w:tc>
        <w:tc>
          <w:tcPr>
            <w:tcW w:w="159"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rFonts w:ascii="times" w:hAnsi="times"/>
                <w:sz w:val="14"/>
              </w:rPr>
            </w:pPr>
            <w:r>
              <w:rPr>
                <w:rFonts w:ascii="times" w:hAnsi="times"/>
                <w:sz w:val="14"/>
              </w:rPr>
              <w:t>$</w:t>
            </w:r>
          </w:p>
        </w:tc>
        <w:tc>
          <w:tcPr>
            <w:tcW w:w="888" w:type="dxa"/>
            <w:tcBorders/>
            <w:shd w:fill="auto" w:val="clear"/>
            <w:vAlign w:val="bottom"/>
          </w:tcPr>
          <w:p>
            <w:pPr>
              <w:pStyle w:val="TableContents"/>
              <w:spacing w:before="0" w:after="283"/>
              <w:jc w:val="right"/>
              <w:rPr>
                <w:rFonts w:ascii="times" w:hAnsi="times"/>
                <w:sz w:val="14"/>
              </w:rPr>
            </w:pPr>
            <w:r>
              <w:rPr>
                <w:rFonts w:ascii="times" w:hAnsi="times"/>
                <w:sz w:val="14"/>
              </w:rPr>
              <w:t>2.18</w:t>
            </w:r>
          </w:p>
        </w:tc>
        <w:tc>
          <w:tcPr>
            <w:tcW w:w="159"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rFonts w:ascii="times" w:hAnsi="times"/>
                <w:sz w:val="14"/>
              </w:rPr>
            </w:pPr>
            <w:r>
              <w:rPr>
                <w:rFonts w:ascii="times" w:hAnsi="times"/>
                <w:sz w:val="14"/>
              </w:rPr>
              <w:t>$</w:t>
            </w:r>
          </w:p>
        </w:tc>
        <w:tc>
          <w:tcPr>
            <w:tcW w:w="888" w:type="dxa"/>
            <w:tcBorders/>
            <w:shd w:fill="auto" w:val="clear"/>
            <w:vAlign w:val="bottom"/>
          </w:tcPr>
          <w:p>
            <w:pPr>
              <w:pStyle w:val="TableContents"/>
              <w:spacing w:before="0" w:after="283"/>
              <w:jc w:val="right"/>
              <w:rPr>
                <w:rFonts w:ascii="times" w:hAnsi="times"/>
                <w:sz w:val="14"/>
              </w:rPr>
            </w:pPr>
            <w:r>
              <w:rPr>
                <w:rFonts w:ascii="times" w:hAnsi="times"/>
                <w:sz w:val="14"/>
              </w:rPr>
              <w:t>1.83</w:t>
            </w:r>
          </w:p>
        </w:tc>
        <w:tc>
          <w:tcPr>
            <w:tcW w:w="159"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rFonts w:ascii="times" w:hAnsi="times"/>
                <w:sz w:val="14"/>
              </w:rPr>
            </w:pPr>
            <w:r>
              <w:rPr>
                <w:rFonts w:ascii="times" w:hAnsi="times"/>
                <w:sz w:val="14"/>
              </w:rPr>
              <w:t>$</w:t>
            </w:r>
          </w:p>
        </w:tc>
        <w:tc>
          <w:tcPr>
            <w:tcW w:w="896" w:type="dxa"/>
            <w:tcBorders/>
            <w:shd w:fill="auto" w:val="clear"/>
            <w:vAlign w:val="bottom"/>
          </w:tcPr>
          <w:p>
            <w:pPr>
              <w:pStyle w:val="TableContents"/>
              <w:spacing w:before="0" w:after="283"/>
              <w:jc w:val="right"/>
              <w:rPr>
                <w:rFonts w:ascii="times" w:hAnsi="times"/>
                <w:sz w:val="14"/>
              </w:rPr>
            </w:pPr>
            <w:r>
              <w:rPr>
                <w:rFonts w:ascii="times" w:hAnsi="times"/>
                <w:sz w:val="14"/>
              </w:rPr>
              <w:t>(1.52</w:t>
            </w:r>
          </w:p>
        </w:tc>
        <w:tc>
          <w:tcPr>
            <w:tcW w:w="159" w:type="dxa"/>
            <w:tcBorders/>
            <w:shd w:fill="auto" w:val="clear"/>
            <w:vAlign w:val="bottom"/>
          </w:tcPr>
          <w:p>
            <w:pPr>
              <w:pStyle w:val="TableContents"/>
              <w:spacing w:before="0" w:after="283"/>
              <w:rPr>
                <w:rFonts w:ascii="times" w:hAnsi="times"/>
                <w:sz w:val="14"/>
              </w:rPr>
            </w:pPr>
            <w:r>
              <w:rPr>
                <w:rFonts w:ascii="times" w:hAnsi="times"/>
                <w:sz w:val="14"/>
              </w:rPr>
              <w:t>)</w:t>
            </w:r>
          </w:p>
        </w:tc>
        <w:tc>
          <w:tcPr>
            <w:tcW w:w="95" w:type="dxa"/>
            <w:tcBorders/>
            <w:shd w:fill="auto" w:val="clear"/>
            <w:vAlign w:val="bottom"/>
          </w:tcPr>
          <w:p>
            <w:pPr>
              <w:pStyle w:val="TableContents"/>
              <w:spacing w:before="0" w:after="283"/>
              <w:rPr>
                <w:rFonts w:ascii="times" w:hAnsi="times"/>
                <w:sz w:val="14"/>
              </w:rPr>
            </w:pPr>
            <w:r>
              <w:rPr>
                <w:rFonts w:ascii="times" w:hAnsi="times"/>
                <w:sz w:val="14"/>
              </w:rPr>
              <w:t>$</w:t>
            </w:r>
          </w:p>
        </w:tc>
        <w:tc>
          <w:tcPr>
            <w:tcW w:w="888" w:type="dxa"/>
            <w:tcBorders/>
            <w:shd w:fill="auto" w:val="clear"/>
            <w:vAlign w:val="bottom"/>
          </w:tcPr>
          <w:p>
            <w:pPr>
              <w:pStyle w:val="TableContents"/>
              <w:spacing w:before="0" w:after="283"/>
              <w:jc w:val="right"/>
              <w:rPr>
                <w:rFonts w:ascii="times" w:hAnsi="times"/>
                <w:sz w:val="14"/>
              </w:rPr>
            </w:pPr>
            <w:r>
              <w:rPr>
                <w:rFonts w:ascii="times" w:hAnsi="times"/>
                <w:sz w:val="14"/>
              </w:rPr>
              <w:t>0.55</w:t>
            </w:r>
          </w:p>
        </w:tc>
        <w:tc>
          <w:tcPr>
            <w:tcW w:w="165" w:type="dxa"/>
            <w:tcBorders/>
            <w:shd w:fill="auto" w:val="clear"/>
            <w:vAlign w:val="bottom"/>
          </w:tcPr>
          <w:p>
            <w:pPr>
              <w:pStyle w:val="TableContents"/>
              <w:spacing w:before="0" w:after="283"/>
              <w:rPr/>
            </w:pPr>
            <w:r>
              <w:rPr/>
              <w:t> </w:t>
            </w:r>
          </w:p>
        </w:tc>
      </w:tr>
      <w:tr>
        <w:trPr/>
        <w:tc>
          <w:tcPr>
            <w:tcW w:w="4323" w:type="dxa"/>
            <w:tcBorders/>
            <w:shd w:fill="auto" w:val="clear"/>
            <w:vAlign w:val="bottom"/>
          </w:tcPr>
          <w:p>
            <w:pPr>
              <w:pStyle w:val="TableContents"/>
              <w:spacing w:before="0" w:after="283"/>
              <w:ind w:left="140" w:right="0" w:hanging="140"/>
              <w:rPr>
                <w:rFonts w:ascii="times" w:hAnsi="times"/>
                <w:b/>
                <w:sz w:val="14"/>
              </w:rPr>
            </w:pPr>
            <w:r>
              <w:rPr>
                <w:rFonts w:ascii="times" w:hAnsi="times"/>
                <w:b/>
                <w:sz w:val="14"/>
              </w:rPr>
              <w:t>ADJUSTED EPU ATTRIBUTABLE TO THE PARTNERSHIP</w:t>
            </w:r>
            <w:r>
              <w:rPr>
                <w:rFonts w:ascii="times" w:hAnsi="times"/>
                <w:b/>
                <w:position w:val="5"/>
                <w:sz w:val="11"/>
                <w:sz w:val="14"/>
              </w:rPr>
              <w:t>(2)(5)</w:t>
            </w:r>
          </w:p>
        </w:tc>
        <w:tc>
          <w:tcPr>
            <w:tcW w:w="158"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888" w:type="dxa"/>
            <w:tcBorders/>
            <w:shd w:fill="auto" w:val="clear"/>
            <w:vAlign w:val="bottom"/>
          </w:tcPr>
          <w:p>
            <w:pPr>
              <w:pStyle w:val="TableContents"/>
              <w:spacing w:before="0" w:after="283"/>
              <w:jc w:val="right"/>
              <w:rPr/>
            </w:pPr>
            <w:r>
              <w:rPr/>
              <w:t> </w:t>
            </w:r>
          </w:p>
        </w:tc>
        <w:tc>
          <w:tcPr>
            <w:tcW w:w="159"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888" w:type="dxa"/>
            <w:tcBorders/>
            <w:shd w:fill="auto" w:val="clear"/>
            <w:vAlign w:val="bottom"/>
          </w:tcPr>
          <w:p>
            <w:pPr>
              <w:pStyle w:val="TableContents"/>
              <w:spacing w:before="0" w:after="283"/>
              <w:jc w:val="right"/>
              <w:rPr/>
            </w:pPr>
            <w:r>
              <w:rPr/>
              <w:t> </w:t>
            </w:r>
          </w:p>
        </w:tc>
        <w:tc>
          <w:tcPr>
            <w:tcW w:w="159"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888" w:type="dxa"/>
            <w:tcBorders/>
            <w:shd w:fill="auto" w:val="clear"/>
            <w:vAlign w:val="bottom"/>
          </w:tcPr>
          <w:p>
            <w:pPr>
              <w:pStyle w:val="TableContents"/>
              <w:spacing w:before="0" w:after="283"/>
              <w:jc w:val="right"/>
              <w:rPr/>
            </w:pPr>
            <w:r>
              <w:rPr/>
              <w:t> </w:t>
            </w:r>
          </w:p>
        </w:tc>
        <w:tc>
          <w:tcPr>
            <w:tcW w:w="159"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896" w:type="dxa"/>
            <w:tcBorders/>
            <w:shd w:fill="auto" w:val="clear"/>
            <w:vAlign w:val="bottom"/>
          </w:tcPr>
          <w:p>
            <w:pPr>
              <w:pStyle w:val="TableContents"/>
              <w:spacing w:before="0" w:after="283"/>
              <w:jc w:val="right"/>
              <w:rPr/>
            </w:pPr>
            <w:r>
              <w:rPr/>
              <w:t> </w:t>
            </w:r>
          </w:p>
        </w:tc>
        <w:tc>
          <w:tcPr>
            <w:tcW w:w="159"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888" w:type="dxa"/>
            <w:tcBorders/>
            <w:shd w:fill="auto" w:val="clear"/>
            <w:vAlign w:val="bottom"/>
          </w:tcPr>
          <w:p>
            <w:pPr>
              <w:pStyle w:val="TableContents"/>
              <w:spacing w:before="0" w:after="283"/>
              <w:jc w:val="right"/>
              <w:rPr/>
            </w:pPr>
            <w:r>
              <w:rPr/>
              <w:t> </w:t>
            </w:r>
          </w:p>
        </w:tc>
        <w:tc>
          <w:tcPr>
            <w:tcW w:w="165" w:type="dxa"/>
            <w:tcBorders/>
            <w:shd w:fill="auto" w:val="clear"/>
            <w:vAlign w:val="bottom"/>
          </w:tcPr>
          <w:p>
            <w:pPr>
              <w:pStyle w:val="TableContents"/>
              <w:spacing w:before="0" w:after="283"/>
              <w:rPr/>
            </w:pPr>
            <w:r>
              <w:rPr/>
              <w:t> </w:t>
            </w:r>
          </w:p>
        </w:tc>
      </w:tr>
      <w:tr>
        <w:trPr/>
        <w:tc>
          <w:tcPr>
            <w:tcW w:w="4323" w:type="dxa"/>
            <w:tcBorders/>
            <w:shd w:fill="auto" w:val="clear"/>
            <w:vAlign w:val="bottom"/>
          </w:tcPr>
          <w:p>
            <w:pPr>
              <w:pStyle w:val="TableContents"/>
              <w:spacing w:before="0" w:after="283"/>
              <w:ind w:left="140" w:right="0" w:hanging="140"/>
              <w:rPr>
                <w:rFonts w:ascii="times" w:hAnsi="times"/>
                <w:sz w:val="14"/>
              </w:rPr>
            </w:pPr>
            <w:r>
              <w:rPr>
                <w:rFonts w:ascii="times" w:hAnsi="times"/>
                <w:sz w:val="14"/>
              </w:rPr>
              <w:t>Common units (basic)</w:t>
            </w:r>
          </w:p>
        </w:tc>
        <w:tc>
          <w:tcPr>
            <w:tcW w:w="158"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rFonts w:ascii="times" w:hAnsi="times"/>
                <w:sz w:val="14"/>
              </w:rPr>
            </w:pPr>
            <w:r>
              <w:rPr>
                <w:rFonts w:ascii="times" w:hAnsi="times"/>
                <w:sz w:val="14"/>
              </w:rPr>
              <w:t>$</w:t>
            </w:r>
          </w:p>
        </w:tc>
        <w:tc>
          <w:tcPr>
            <w:tcW w:w="888" w:type="dxa"/>
            <w:tcBorders/>
            <w:shd w:fill="auto" w:val="clear"/>
            <w:vAlign w:val="bottom"/>
          </w:tcPr>
          <w:p>
            <w:pPr>
              <w:pStyle w:val="TableContents"/>
              <w:spacing w:before="0" w:after="283"/>
              <w:jc w:val="right"/>
              <w:rPr>
                <w:rFonts w:ascii="times" w:hAnsi="times"/>
                <w:sz w:val="14"/>
              </w:rPr>
            </w:pPr>
            <w:r>
              <w:rPr>
                <w:rFonts w:ascii="times" w:hAnsi="times"/>
                <w:sz w:val="14"/>
              </w:rPr>
              <w:t>2.11</w:t>
            </w:r>
          </w:p>
        </w:tc>
        <w:tc>
          <w:tcPr>
            <w:tcW w:w="159"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rFonts w:ascii="times" w:hAnsi="times"/>
                <w:sz w:val="14"/>
              </w:rPr>
            </w:pPr>
            <w:r>
              <w:rPr>
                <w:rFonts w:ascii="times" w:hAnsi="times"/>
                <w:sz w:val="14"/>
              </w:rPr>
              <w:t>$</w:t>
            </w:r>
          </w:p>
        </w:tc>
        <w:tc>
          <w:tcPr>
            <w:tcW w:w="888" w:type="dxa"/>
            <w:tcBorders/>
            <w:shd w:fill="auto" w:val="clear"/>
            <w:vAlign w:val="bottom"/>
          </w:tcPr>
          <w:p>
            <w:pPr>
              <w:pStyle w:val="TableContents"/>
              <w:spacing w:before="0" w:after="283"/>
              <w:jc w:val="right"/>
              <w:rPr>
                <w:rFonts w:ascii="times" w:hAnsi="times"/>
                <w:sz w:val="14"/>
              </w:rPr>
            </w:pPr>
            <w:r>
              <w:rPr>
                <w:rFonts w:ascii="times" w:hAnsi="times"/>
                <w:sz w:val="14"/>
              </w:rPr>
              <w:t>2.06</w:t>
            </w:r>
          </w:p>
        </w:tc>
        <w:tc>
          <w:tcPr>
            <w:tcW w:w="159"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rFonts w:ascii="times" w:hAnsi="times"/>
                <w:sz w:val="14"/>
              </w:rPr>
            </w:pPr>
            <w:r>
              <w:rPr>
                <w:rFonts w:ascii="times" w:hAnsi="times"/>
                <w:sz w:val="14"/>
              </w:rPr>
              <w:t>$</w:t>
            </w:r>
          </w:p>
        </w:tc>
        <w:tc>
          <w:tcPr>
            <w:tcW w:w="888" w:type="dxa"/>
            <w:tcBorders/>
            <w:shd w:fill="auto" w:val="clear"/>
            <w:vAlign w:val="bottom"/>
          </w:tcPr>
          <w:p>
            <w:pPr>
              <w:pStyle w:val="TableContents"/>
              <w:spacing w:before="0" w:after="283"/>
              <w:jc w:val="right"/>
              <w:rPr>
                <w:rFonts w:ascii="times" w:hAnsi="times"/>
                <w:sz w:val="14"/>
              </w:rPr>
            </w:pPr>
            <w:r>
              <w:rPr>
                <w:rFonts w:ascii="times" w:hAnsi="times"/>
                <w:sz w:val="14"/>
              </w:rPr>
              <w:t>1.85</w:t>
            </w:r>
          </w:p>
        </w:tc>
        <w:tc>
          <w:tcPr>
            <w:tcW w:w="159"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rFonts w:ascii="times" w:hAnsi="times"/>
                <w:sz w:val="14"/>
              </w:rPr>
            </w:pPr>
            <w:r>
              <w:rPr>
                <w:rFonts w:ascii="times" w:hAnsi="times"/>
                <w:sz w:val="14"/>
              </w:rPr>
              <w:t>$</w:t>
            </w:r>
          </w:p>
        </w:tc>
        <w:tc>
          <w:tcPr>
            <w:tcW w:w="896" w:type="dxa"/>
            <w:tcBorders/>
            <w:shd w:fill="auto" w:val="clear"/>
            <w:vAlign w:val="bottom"/>
          </w:tcPr>
          <w:p>
            <w:pPr>
              <w:pStyle w:val="TableContents"/>
              <w:spacing w:before="0" w:after="283"/>
              <w:jc w:val="right"/>
              <w:rPr>
                <w:rFonts w:ascii="times" w:hAnsi="times"/>
                <w:sz w:val="14"/>
              </w:rPr>
            </w:pPr>
            <w:r>
              <w:rPr>
                <w:rFonts w:ascii="times" w:hAnsi="times"/>
                <w:sz w:val="14"/>
              </w:rPr>
              <w:t>1.82</w:t>
            </w:r>
          </w:p>
        </w:tc>
        <w:tc>
          <w:tcPr>
            <w:tcW w:w="159"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rFonts w:ascii="times" w:hAnsi="times"/>
                <w:sz w:val="14"/>
              </w:rPr>
            </w:pPr>
            <w:r>
              <w:rPr>
                <w:rFonts w:ascii="times" w:hAnsi="times"/>
                <w:sz w:val="14"/>
              </w:rPr>
              <w:t>$</w:t>
            </w:r>
          </w:p>
        </w:tc>
        <w:tc>
          <w:tcPr>
            <w:tcW w:w="888" w:type="dxa"/>
            <w:tcBorders/>
            <w:shd w:fill="auto" w:val="clear"/>
            <w:vAlign w:val="bottom"/>
          </w:tcPr>
          <w:p>
            <w:pPr>
              <w:pStyle w:val="TableContents"/>
              <w:spacing w:before="0" w:after="283"/>
              <w:jc w:val="right"/>
              <w:rPr>
                <w:rFonts w:ascii="times" w:hAnsi="times"/>
                <w:sz w:val="14"/>
              </w:rPr>
            </w:pPr>
            <w:r>
              <w:rPr>
                <w:rFonts w:ascii="times" w:hAnsi="times"/>
                <w:sz w:val="14"/>
              </w:rPr>
              <w:t>1.29</w:t>
            </w:r>
          </w:p>
        </w:tc>
        <w:tc>
          <w:tcPr>
            <w:tcW w:w="165" w:type="dxa"/>
            <w:tcBorders/>
            <w:shd w:fill="auto" w:val="clear"/>
            <w:vAlign w:val="bottom"/>
          </w:tcPr>
          <w:p>
            <w:pPr>
              <w:pStyle w:val="TableContents"/>
              <w:spacing w:before="0" w:after="283"/>
              <w:rPr/>
            </w:pPr>
            <w:r>
              <w:rPr/>
              <w:t> </w:t>
            </w:r>
          </w:p>
        </w:tc>
      </w:tr>
      <w:tr>
        <w:trPr/>
        <w:tc>
          <w:tcPr>
            <w:tcW w:w="4323" w:type="dxa"/>
            <w:tcBorders/>
            <w:shd w:fill="auto" w:val="clear"/>
            <w:vAlign w:val="bottom"/>
          </w:tcPr>
          <w:p>
            <w:pPr>
              <w:pStyle w:val="TableContents"/>
              <w:spacing w:before="0" w:after="283"/>
              <w:ind w:left="140" w:right="0" w:hanging="140"/>
              <w:rPr>
                <w:rFonts w:ascii="times" w:hAnsi="times"/>
                <w:sz w:val="14"/>
              </w:rPr>
            </w:pPr>
            <w:r>
              <w:rPr>
                <w:rFonts w:ascii="times" w:hAnsi="times"/>
                <w:sz w:val="14"/>
              </w:rPr>
              <w:t>Subordinated units</w:t>
            </w:r>
            <w:r>
              <w:rPr>
                <w:rFonts w:ascii="times" w:hAnsi="times"/>
                <w:position w:val="5"/>
                <w:sz w:val="11"/>
                <w:sz w:val="14"/>
              </w:rPr>
              <w:t>(3)</w:t>
            </w:r>
          </w:p>
        </w:tc>
        <w:tc>
          <w:tcPr>
            <w:tcW w:w="158"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rFonts w:ascii="times" w:hAnsi="times"/>
                <w:sz w:val="14"/>
              </w:rPr>
            </w:pPr>
            <w:r>
              <w:rPr>
                <w:rFonts w:ascii="times" w:hAnsi="times"/>
                <w:sz w:val="14"/>
              </w:rPr>
              <w:t>$</w:t>
            </w:r>
          </w:p>
        </w:tc>
        <w:tc>
          <w:tcPr>
            <w:tcW w:w="888" w:type="dxa"/>
            <w:tcBorders/>
            <w:shd w:fill="auto" w:val="clear"/>
            <w:vAlign w:val="bottom"/>
          </w:tcPr>
          <w:p>
            <w:pPr>
              <w:pStyle w:val="TableContents"/>
              <w:spacing w:before="0" w:after="283"/>
              <w:jc w:val="right"/>
              <w:rPr>
                <w:rFonts w:ascii="times" w:hAnsi="times"/>
                <w:sz w:val="14"/>
              </w:rPr>
            </w:pPr>
            <w:r>
              <w:rPr>
                <w:rFonts w:ascii="times" w:hAnsi="times"/>
                <w:sz w:val="14"/>
              </w:rPr>
              <w:t>2.08</w:t>
            </w:r>
          </w:p>
        </w:tc>
        <w:tc>
          <w:tcPr>
            <w:tcW w:w="159"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rFonts w:ascii="times" w:hAnsi="times"/>
                <w:sz w:val="14"/>
              </w:rPr>
            </w:pPr>
            <w:r>
              <w:rPr>
                <w:rFonts w:ascii="times" w:hAnsi="times"/>
                <w:sz w:val="14"/>
              </w:rPr>
              <w:t>$</w:t>
            </w:r>
          </w:p>
        </w:tc>
        <w:tc>
          <w:tcPr>
            <w:tcW w:w="888" w:type="dxa"/>
            <w:tcBorders/>
            <w:shd w:fill="auto" w:val="clear"/>
            <w:vAlign w:val="bottom"/>
          </w:tcPr>
          <w:p>
            <w:pPr>
              <w:pStyle w:val="TableContents"/>
              <w:spacing w:before="0" w:after="283"/>
              <w:jc w:val="right"/>
              <w:rPr>
                <w:rFonts w:ascii="times" w:hAnsi="times"/>
                <w:sz w:val="14"/>
              </w:rPr>
            </w:pPr>
            <w:r>
              <w:rPr>
                <w:rFonts w:ascii="times" w:hAnsi="times"/>
                <w:sz w:val="14"/>
              </w:rPr>
              <w:t>0.50</w:t>
            </w:r>
          </w:p>
        </w:tc>
        <w:tc>
          <w:tcPr>
            <w:tcW w:w="159"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888" w:type="dxa"/>
            <w:tcBorders/>
            <w:shd w:fill="auto" w:val="clear"/>
            <w:vAlign w:val="bottom"/>
          </w:tcPr>
          <w:p>
            <w:pPr>
              <w:pStyle w:val="TableContents"/>
              <w:spacing w:before="0" w:after="283"/>
              <w:jc w:val="right"/>
              <w:rPr>
                <w:rFonts w:ascii="times" w:hAnsi="times"/>
                <w:sz w:val="14"/>
              </w:rPr>
            </w:pPr>
            <w:r>
              <w:rPr>
                <w:rFonts w:ascii="times" w:hAnsi="times"/>
                <w:sz w:val="14"/>
              </w:rPr>
              <w:t>N/A</w:t>
            </w:r>
          </w:p>
        </w:tc>
        <w:tc>
          <w:tcPr>
            <w:tcW w:w="159"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896" w:type="dxa"/>
            <w:tcBorders/>
            <w:shd w:fill="auto" w:val="clear"/>
            <w:vAlign w:val="bottom"/>
          </w:tcPr>
          <w:p>
            <w:pPr>
              <w:pStyle w:val="TableContents"/>
              <w:spacing w:before="0" w:after="283"/>
              <w:jc w:val="right"/>
              <w:rPr>
                <w:rFonts w:ascii="times" w:hAnsi="times"/>
                <w:sz w:val="14"/>
              </w:rPr>
            </w:pPr>
            <w:r>
              <w:rPr>
                <w:rFonts w:ascii="times" w:hAnsi="times"/>
                <w:sz w:val="14"/>
              </w:rPr>
              <w:t>N/A</w:t>
            </w:r>
          </w:p>
        </w:tc>
        <w:tc>
          <w:tcPr>
            <w:tcW w:w="159"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888" w:type="dxa"/>
            <w:tcBorders/>
            <w:shd w:fill="auto" w:val="clear"/>
            <w:vAlign w:val="bottom"/>
          </w:tcPr>
          <w:p>
            <w:pPr>
              <w:pStyle w:val="TableContents"/>
              <w:spacing w:before="0" w:after="283"/>
              <w:jc w:val="right"/>
              <w:rPr>
                <w:rFonts w:ascii="times" w:hAnsi="times"/>
                <w:sz w:val="14"/>
              </w:rPr>
            </w:pPr>
            <w:r>
              <w:rPr>
                <w:rFonts w:ascii="times" w:hAnsi="times"/>
                <w:sz w:val="14"/>
              </w:rPr>
              <w:t>N/A</w:t>
            </w:r>
          </w:p>
        </w:tc>
        <w:tc>
          <w:tcPr>
            <w:tcW w:w="165" w:type="dxa"/>
            <w:tcBorders/>
            <w:shd w:fill="auto" w:val="clear"/>
            <w:vAlign w:val="bottom"/>
          </w:tcPr>
          <w:p>
            <w:pPr>
              <w:pStyle w:val="TableContents"/>
              <w:spacing w:before="0" w:after="283"/>
              <w:rPr/>
            </w:pPr>
            <w:r>
              <w:rPr/>
              <w:t> </w:t>
            </w:r>
          </w:p>
        </w:tc>
      </w:tr>
      <w:tr>
        <w:trPr/>
        <w:tc>
          <w:tcPr>
            <w:tcW w:w="4323" w:type="dxa"/>
            <w:tcBorders/>
            <w:shd w:fill="auto" w:val="clear"/>
            <w:vAlign w:val="bottom"/>
          </w:tcPr>
          <w:p>
            <w:pPr>
              <w:pStyle w:val="TableContents"/>
              <w:spacing w:before="0" w:after="283"/>
              <w:ind w:left="140" w:right="0" w:hanging="140"/>
              <w:rPr>
                <w:rFonts w:ascii="times" w:hAnsi="times"/>
                <w:sz w:val="14"/>
              </w:rPr>
            </w:pPr>
            <w:r>
              <w:rPr>
                <w:rFonts w:ascii="times" w:hAnsi="times"/>
                <w:sz w:val="14"/>
              </w:rPr>
              <w:t>General partner units</w:t>
            </w:r>
          </w:p>
        </w:tc>
        <w:tc>
          <w:tcPr>
            <w:tcW w:w="158"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rFonts w:ascii="times" w:hAnsi="times"/>
                <w:sz w:val="14"/>
              </w:rPr>
            </w:pPr>
            <w:r>
              <w:rPr>
                <w:rFonts w:ascii="times" w:hAnsi="times"/>
                <w:sz w:val="14"/>
              </w:rPr>
              <w:t>$</w:t>
            </w:r>
          </w:p>
        </w:tc>
        <w:tc>
          <w:tcPr>
            <w:tcW w:w="888" w:type="dxa"/>
            <w:tcBorders/>
            <w:shd w:fill="auto" w:val="clear"/>
            <w:vAlign w:val="bottom"/>
          </w:tcPr>
          <w:p>
            <w:pPr>
              <w:pStyle w:val="TableContents"/>
              <w:spacing w:before="0" w:after="283"/>
              <w:jc w:val="right"/>
              <w:rPr>
                <w:rFonts w:ascii="times" w:hAnsi="times"/>
                <w:sz w:val="14"/>
              </w:rPr>
            </w:pPr>
            <w:r>
              <w:rPr>
                <w:rFonts w:ascii="times" w:hAnsi="times"/>
                <w:sz w:val="14"/>
              </w:rPr>
              <w:t>2.19</w:t>
            </w:r>
          </w:p>
        </w:tc>
        <w:tc>
          <w:tcPr>
            <w:tcW w:w="159"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rFonts w:ascii="times" w:hAnsi="times"/>
                <w:sz w:val="14"/>
              </w:rPr>
            </w:pPr>
            <w:r>
              <w:rPr>
                <w:rFonts w:ascii="times" w:hAnsi="times"/>
                <w:sz w:val="14"/>
              </w:rPr>
              <w:t>$</w:t>
            </w:r>
          </w:p>
        </w:tc>
        <w:tc>
          <w:tcPr>
            <w:tcW w:w="888" w:type="dxa"/>
            <w:tcBorders/>
            <w:shd w:fill="auto" w:val="clear"/>
            <w:vAlign w:val="bottom"/>
          </w:tcPr>
          <w:p>
            <w:pPr>
              <w:pStyle w:val="TableContents"/>
              <w:spacing w:before="0" w:after="283"/>
              <w:jc w:val="right"/>
              <w:rPr>
                <w:rFonts w:ascii="times" w:hAnsi="times"/>
                <w:sz w:val="14"/>
              </w:rPr>
            </w:pPr>
            <w:r>
              <w:rPr>
                <w:rFonts w:ascii="times" w:hAnsi="times"/>
                <w:sz w:val="14"/>
              </w:rPr>
              <w:t>2.13</w:t>
            </w:r>
          </w:p>
        </w:tc>
        <w:tc>
          <w:tcPr>
            <w:tcW w:w="159"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rFonts w:ascii="times" w:hAnsi="times"/>
                <w:sz w:val="14"/>
              </w:rPr>
            </w:pPr>
            <w:r>
              <w:rPr>
                <w:rFonts w:ascii="times" w:hAnsi="times"/>
                <w:sz w:val="14"/>
              </w:rPr>
              <w:t>$</w:t>
            </w:r>
          </w:p>
        </w:tc>
        <w:tc>
          <w:tcPr>
            <w:tcW w:w="888" w:type="dxa"/>
            <w:tcBorders/>
            <w:shd w:fill="auto" w:val="clear"/>
            <w:vAlign w:val="bottom"/>
          </w:tcPr>
          <w:p>
            <w:pPr>
              <w:pStyle w:val="TableContents"/>
              <w:spacing w:before="0" w:after="283"/>
              <w:jc w:val="right"/>
              <w:rPr>
                <w:rFonts w:ascii="times" w:hAnsi="times"/>
                <w:sz w:val="14"/>
              </w:rPr>
            </w:pPr>
            <w:r>
              <w:rPr>
                <w:rFonts w:ascii="times" w:hAnsi="times"/>
                <w:sz w:val="14"/>
              </w:rPr>
              <w:t>1.88</w:t>
            </w:r>
          </w:p>
        </w:tc>
        <w:tc>
          <w:tcPr>
            <w:tcW w:w="159"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rFonts w:ascii="times" w:hAnsi="times"/>
                <w:sz w:val="14"/>
              </w:rPr>
            </w:pPr>
            <w:r>
              <w:rPr>
                <w:rFonts w:ascii="times" w:hAnsi="times"/>
                <w:sz w:val="14"/>
              </w:rPr>
              <w:t>$</w:t>
            </w:r>
          </w:p>
        </w:tc>
        <w:tc>
          <w:tcPr>
            <w:tcW w:w="896" w:type="dxa"/>
            <w:tcBorders/>
            <w:shd w:fill="auto" w:val="clear"/>
            <w:vAlign w:val="bottom"/>
          </w:tcPr>
          <w:p>
            <w:pPr>
              <w:pStyle w:val="TableContents"/>
              <w:spacing w:before="0" w:after="283"/>
              <w:jc w:val="right"/>
              <w:rPr>
                <w:rFonts w:ascii="times" w:hAnsi="times"/>
                <w:sz w:val="14"/>
              </w:rPr>
            </w:pPr>
            <w:r>
              <w:rPr>
                <w:rFonts w:ascii="times" w:hAnsi="times"/>
                <w:sz w:val="14"/>
              </w:rPr>
              <w:t>1.82</w:t>
            </w:r>
          </w:p>
        </w:tc>
        <w:tc>
          <w:tcPr>
            <w:tcW w:w="159"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rFonts w:ascii="times" w:hAnsi="times"/>
                <w:sz w:val="14"/>
              </w:rPr>
            </w:pPr>
            <w:r>
              <w:rPr>
                <w:rFonts w:ascii="times" w:hAnsi="times"/>
                <w:sz w:val="14"/>
              </w:rPr>
              <w:t>$</w:t>
            </w:r>
          </w:p>
        </w:tc>
        <w:tc>
          <w:tcPr>
            <w:tcW w:w="888" w:type="dxa"/>
            <w:tcBorders/>
            <w:shd w:fill="auto" w:val="clear"/>
            <w:vAlign w:val="bottom"/>
          </w:tcPr>
          <w:p>
            <w:pPr>
              <w:pStyle w:val="TableContents"/>
              <w:spacing w:before="0" w:after="283"/>
              <w:jc w:val="right"/>
              <w:rPr>
                <w:rFonts w:ascii="times" w:hAnsi="times"/>
                <w:sz w:val="14"/>
              </w:rPr>
            </w:pPr>
            <w:r>
              <w:rPr>
                <w:rFonts w:ascii="times" w:hAnsi="times"/>
                <w:sz w:val="14"/>
              </w:rPr>
              <w:t>1.29</w:t>
            </w:r>
          </w:p>
        </w:tc>
        <w:tc>
          <w:tcPr>
            <w:tcW w:w="165" w:type="dxa"/>
            <w:tcBorders/>
            <w:shd w:fill="auto" w:val="clear"/>
            <w:vAlign w:val="bottom"/>
          </w:tcPr>
          <w:p>
            <w:pPr>
              <w:pStyle w:val="TableContents"/>
              <w:spacing w:before="0" w:after="283"/>
              <w:rPr/>
            </w:pPr>
            <w:r>
              <w:rPr/>
              <w:t> </w:t>
            </w:r>
          </w:p>
        </w:tc>
      </w:tr>
    </w:tbl>
    <w:p>
      <w:pPr>
        <w:pStyle w:val="TextBody"/>
        <w:rPr>
          <w:bdr w:val="single" w:sz="8" w:space="12" w:color="000000"/>
        </w:rPr>
      </w:pPr>
      <w:r>
        <w:rPr>
          <w:bdr w:val="single" w:sz="8" w:space="12" w:color="000000"/>
        </w:rPr>
        <w:t> </w:t>
      </w:r>
    </w:p>
    <w:tbl>
      <w:tblPr>
        <w:tblW w:w="5000" w:type="pct"/>
        <w:jc w:val="center"/>
        <w:tblInd w:w="0" w:type="dxa"/>
        <w:tblCellMar>
          <w:top w:w="0" w:type="dxa"/>
          <w:left w:w="0" w:type="dxa"/>
          <w:bottom w:w="0" w:type="dxa"/>
          <w:right w:w="0" w:type="dxa"/>
        </w:tblCellMar>
      </w:tblPr>
      <w:tblGrid>
        <w:gridCol w:w="3172"/>
        <w:gridCol w:w="197"/>
        <w:gridCol w:w="103"/>
        <w:gridCol w:w="1067"/>
        <w:gridCol w:w="197"/>
        <w:gridCol w:w="104"/>
        <w:gridCol w:w="1066"/>
        <w:gridCol w:w="197"/>
        <w:gridCol w:w="104"/>
        <w:gridCol w:w="1066"/>
        <w:gridCol w:w="197"/>
        <w:gridCol w:w="104"/>
        <w:gridCol w:w="1066"/>
        <w:gridCol w:w="197"/>
        <w:gridCol w:w="104"/>
        <w:gridCol w:w="1067"/>
        <w:gridCol w:w="197"/>
      </w:tblGrid>
      <w:tr>
        <w:trPr/>
        <w:tc>
          <w:tcPr>
            <w:tcW w:w="3172" w:type="dxa"/>
            <w:tcBorders/>
            <w:shd w:fill="auto" w:val="clear"/>
            <w:vAlign w:val="center"/>
          </w:tcPr>
          <w:p>
            <w:pPr>
              <w:pStyle w:val="TableContents"/>
              <w:spacing w:before="0" w:after="283"/>
              <w:rPr>
                <w:sz w:val="4"/>
                <w:szCs w:val="4"/>
              </w:rPr>
            </w:pPr>
            <w:r>
              <w:rPr>
                <w:sz w:val="4"/>
                <w:szCs w:val="4"/>
              </w:rPr>
            </w:r>
          </w:p>
        </w:tc>
        <w:tc>
          <w:tcPr>
            <w:tcW w:w="197" w:type="dxa"/>
            <w:tcBorders/>
            <w:shd w:fill="auto" w:val="clear"/>
            <w:vAlign w:val="center"/>
          </w:tcPr>
          <w:p>
            <w:pPr>
              <w:pStyle w:val="TableContents"/>
              <w:spacing w:before="0" w:after="283"/>
              <w:rPr>
                <w:sz w:val="4"/>
                <w:szCs w:val="4"/>
              </w:rPr>
            </w:pPr>
            <w:r>
              <w:rPr>
                <w:sz w:val="4"/>
                <w:szCs w:val="4"/>
              </w:rPr>
            </w:r>
          </w:p>
        </w:tc>
        <w:tc>
          <w:tcPr>
            <w:tcW w:w="103" w:type="dxa"/>
            <w:tcBorders/>
            <w:shd w:fill="auto" w:val="clear"/>
            <w:vAlign w:val="center"/>
          </w:tcPr>
          <w:p>
            <w:pPr>
              <w:pStyle w:val="TableContents"/>
              <w:spacing w:before="0" w:after="283"/>
              <w:rPr>
                <w:sz w:val="4"/>
                <w:szCs w:val="4"/>
              </w:rPr>
            </w:pPr>
            <w:r>
              <w:rPr>
                <w:sz w:val="4"/>
                <w:szCs w:val="4"/>
              </w:rPr>
            </w:r>
          </w:p>
        </w:tc>
        <w:tc>
          <w:tcPr>
            <w:tcW w:w="1067" w:type="dxa"/>
            <w:tcBorders/>
            <w:shd w:fill="auto" w:val="clear"/>
            <w:vAlign w:val="center"/>
          </w:tcPr>
          <w:p>
            <w:pPr>
              <w:pStyle w:val="TableContents"/>
              <w:spacing w:before="0" w:after="283"/>
              <w:rPr>
                <w:sz w:val="4"/>
                <w:szCs w:val="4"/>
              </w:rPr>
            </w:pPr>
            <w:r>
              <w:rPr>
                <w:sz w:val="4"/>
                <w:szCs w:val="4"/>
              </w:rPr>
            </w:r>
          </w:p>
        </w:tc>
        <w:tc>
          <w:tcPr>
            <w:tcW w:w="197" w:type="dxa"/>
            <w:tcBorders/>
            <w:shd w:fill="auto" w:val="clear"/>
            <w:vAlign w:val="center"/>
          </w:tcPr>
          <w:p>
            <w:pPr>
              <w:pStyle w:val="TableContents"/>
              <w:spacing w:before="0" w:after="283"/>
              <w:rPr>
                <w:sz w:val="4"/>
                <w:szCs w:val="4"/>
              </w:rPr>
            </w:pPr>
            <w:r>
              <w:rPr>
                <w:sz w:val="4"/>
                <w:szCs w:val="4"/>
              </w:rPr>
            </w:r>
          </w:p>
        </w:tc>
        <w:tc>
          <w:tcPr>
            <w:tcW w:w="104" w:type="dxa"/>
            <w:tcBorders/>
            <w:shd w:fill="auto" w:val="clear"/>
            <w:vAlign w:val="center"/>
          </w:tcPr>
          <w:p>
            <w:pPr>
              <w:pStyle w:val="TableContents"/>
              <w:spacing w:before="0" w:after="283"/>
              <w:rPr>
                <w:sz w:val="4"/>
                <w:szCs w:val="4"/>
              </w:rPr>
            </w:pPr>
            <w:r>
              <w:rPr>
                <w:sz w:val="4"/>
                <w:szCs w:val="4"/>
              </w:rPr>
            </w:r>
          </w:p>
        </w:tc>
        <w:tc>
          <w:tcPr>
            <w:tcW w:w="1066" w:type="dxa"/>
            <w:tcBorders/>
            <w:shd w:fill="auto" w:val="clear"/>
            <w:vAlign w:val="center"/>
          </w:tcPr>
          <w:p>
            <w:pPr>
              <w:pStyle w:val="TableContents"/>
              <w:spacing w:before="0" w:after="283"/>
              <w:rPr>
                <w:sz w:val="4"/>
                <w:szCs w:val="4"/>
              </w:rPr>
            </w:pPr>
            <w:r>
              <w:rPr>
                <w:sz w:val="4"/>
                <w:szCs w:val="4"/>
              </w:rPr>
            </w:r>
          </w:p>
        </w:tc>
        <w:tc>
          <w:tcPr>
            <w:tcW w:w="197" w:type="dxa"/>
            <w:tcBorders/>
            <w:shd w:fill="auto" w:val="clear"/>
            <w:vAlign w:val="center"/>
          </w:tcPr>
          <w:p>
            <w:pPr>
              <w:pStyle w:val="TableContents"/>
              <w:spacing w:before="0" w:after="283"/>
              <w:rPr>
                <w:sz w:val="4"/>
                <w:szCs w:val="4"/>
              </w:rPr>
            </w:pPr>
            <w:r>
              <w:rPr>
                <w:sz w:val="4"/>
                <w:szCs w:val="4"/>
              </w:rPr>
            </w:r>
          </w:p>
        </w:tc>
        <w:tc>
          <w:tcPr>
            <w:tcW w:w="104" w:type="dxa"/>
            <w:tcBorders/>
            <w:shd w:fill="auto" w:val="clear"/>
            <w:vAlign w:val="center"/>
          </w:tcPr>
          <w:p>
            <w:pPr>
              <w:pStyle w:val="TableContents"/>
              <w:spacing w:before="0" w:after="283"/>
              <w:rPr>
                <w:sz w:val="4"/>
                <w:szCs w:val="4"/>
              </w:rPr>
            </w:pPr>
            <w:r>
              <w:rPr>
                <w:sz w:val="4"/>
                <w:szCs w:val="4"/>
              </w:rPr>
            </w:r>
          </w:p>
        </w:tc>
        <w:tc>
          <w:tcPr>
            <w:tcW w:w="1066" w:type="dxa"/>
            <w:tcBorders/>
            <w:shd w:fill="auto" w:val="clear"/>
            <w:vAlign w:val="center"/>
          </w:tcPr>
          <w:p>
            <w:pPr>
              <w:pStyle w:val="TableContents"/>
              <w:spacing w:before="0" w:after="283"/>
              <w:rPr>
                <w:sz w:val="4"/>
                <w:szCs w:val="4"/>
              </w:rPr>
            </w:pPr>
            <w:r>
              <w:rPr>
                <w:sz w:val="4"/>
                <w:szCs w:val="4"/>
              </w:rPr>
            </w:r>
          </w:p>
        </w:tc>
        <w:tc>
          <w:tcPr>
            <w:tcW w:w="197" w:type="dxa"/>
            <w:tcBorders/>
            <w:shd w:fill="auto" w:val="clear"/>
            <w:vAlign w:val="center"/>
          </w:tcPr>
          <w:p>
            <w:pPr>
              <w:pStyle w:val="TableContents"/>
              <w:spacing w:before="0" w:after="283"/>
              <w:rPr>
                <w:sz w:val="4"/>
                <w:szCs w:val="4"/>
              </w:rPr>
            </w:pPr>
            <w:r>
              <w:rPr>
                <w:sz w:val="4"/>
                <w:szCs w:val="4"/>
              </w:rPr>
            </w:r>
          </w:p>
        </w:tc>
        <w:tc>
          <w:tcPr>
            <w:tcW w:w="104" w:type="dxa"/>
            <w:tcBorders/>
            <w:shd w:fill="auto" w:val="clear"/>
            <w:vAlign w:val="center"/>
          </w:tcPr>
          <w:p>
            <w:pPr>
              <w:pStyle w:val="TableContents"/>
              <w:spacing w:before="0" w:after="283"/>
              <w:rPr>
                <w:sz w:val="4"/>
                <w:szCs w:val="4"/>
              </w:rPr>
            </w:pPr>
            <w:r>
              <w:rPr>
                <w:sz w:val="4"/>
                <w:szCs w:val="4"/>
              </w:rPr>
            </w:r>
          </w:p>
        </w:tc>
        <w:tc>
          <w:tcPr>
            <w:tcW w:w="1066" w:type="dxa"/>
            <w:tcBorders/>
            <w:shd w:fill="auto" w:val="clear"/>
            <w:vAlign w:val="center"/>
          </w:tcPr>
          <w:p>
            <w:pPr>
              <w:pStyle w:val="TableContents"/>
              <w:spacing w:before="0" w:after="283"/>
              <w:rPr>
                <w:sz w:val="4"/>
                <w:szCs w:val="4"/>
              </w:rPr>
            </w:pPr>
            <w:r>
              <w:rPr>
                <w:sz w:val="4"/>
                <w:szCs w:val="4"/>
              </w:rPr>
            </w:r>
          </w:p>
        </w:tc>
        <w:tc>
          <w:tcPr>
            <w:tcW w:w="197" w:type="dxa"/>
            <w:tcBorders/>
            <w:shd w:fill="auto" w:val="clear"/>
            <w:vAlign w:val="center"/>
          </w:tcPr>
          <w:p>
            <w:pPr>
              <w:pStyle w:val="TableContents"/>
              <w:spacing w:before="0" w:after="283"/>
              <w:rPr>
                <w:sz w:val="4"/>
                <w:szCs w:val="4"/>
              </w:rPr>
            </w:pPr>
            <w:r>
              <w:rPr>
                <w:sz w:val="4"/>
                <w:szCs w:val="4"/>
              </w:rPr>
            </w:r>
          </w:p>
        </w:tc>
        <w:tc>
          <w:tcPr>
            <w:tcW w:w="104" w:type="dxa"/>
            <w:tcBorders/>
            <w:shd w:fill="auto" w:val="clear"/>
            <w:vAlign w:val="center"/>
          </w:tcPr>
          <w:p>
            <w:pPr>
              <w:pStyle w:val="TableContents"/>
              <w:spacing w:before="0" w:after="283"/>
              <w:rPr>
                <w:sz w:val="4"/>
                <w:szCs w:val="4"/>
              </w:rPr>
            </w:pPr>
            <w:r>
              <w:rPr>
                <w:sz w:val="4"/>
                <w:szCs w:val="4"/>
              </w:rPr>
            </w:r>
          </w:p>
        </w:tc>
        <w:tc>
          <w:tcPr>
            <w:tcW w:w="1067" w:type="dxa"/>
            <w:tcBorders/>
            <w:shd w:fill="auto" w:val="clear"/>
            <w:vAlign w:val="center"/>
          </w:tcPr>
          <w:p>
            <w:pPr>
              <w:pStyle w:val="TableContents"/>
              <w:spacing w:before="0" w:after="283"/>
              <w:rPr>
                <w:sz w:val="4"/>
                <w:szCs w:val="4"/>
              </w:rPr>
            </w:pPr>
            <w:r>
              <w:rPr>
                <w:sz w:val="4"/>
                <w:szCs w:val="4"/>
              </w:rPr>
            </w:r>
          </w:p>
        </w:tc>
        <w:tc>
          <w:tcPr>
            <w:tcW w:w="197" w:type="dxa"/>
            <w:tcBorders/>
            <w:shd w:fill="auto" w:val="clear"/>
            <w:vAlign w:val="center"/>
          </w:tcPr>
          <w:p>
            <w:pPr>
              <w:pStyle w:val="TableContents"/>
              <w:spacing w:before="0" w:after="283"/>
              <w:rPr>
                <w:sz w:val="4"/>
                <w:szCs w:val="4"/>
              </w:rPr>
            </w:pPr>
            <w:r>
              <w:rPr>
                <w:sz w:val="4"/>
                <w:szCs w:val="4"/>
              </w:rPr>
            </w:r>
          </w:p>
        </w:tc>
      </w:tr>
      <w:tr>
        <w:trPr/>
        <w:tc>
          <w:tcPr>
            <w:tcW w:w="3172" w:type="dxa"/>
            <w:tcBorders/>
            <w:shd w:fill="auto" w:val="clear"/>
            <w:vAlign w:val="bottom"/>
          </w:tcPr>
          <w:p>
            <w:pPr>
              <w:pStyle w:val="TableHeading"/>
              <w:spacing w:before="0" w:after="283"/>
              <w:jc w:val="left"/>
              <w:rPr/>
            </w:pPr>
            <w:r>
              <w:rPr/>
              <w:t> </w:t>
            </w:r>
          </w:p>
        </w:tc>
        <w:tc>
          <w:tcPr>
            <w:tcW w:w="197" w:type="dxa"/>
            <w:tcBorders/>
            <w:shd w:fill="auto" w:val="clear"/>
            <w:vAlign w:val="bottom"/>
          </w:tcPr>
          <w:p>
            <w:pPr>
              <w:pStyle w:val="TableHeading"/>
              <w:suppressLineNumbers/>
              <w:spacing w:before="0" w:after="283"/>
              <w:jc w:val="center"/>
              <w:rPr/>
            </w:pPr>
            <w:r>
              <w:rPr/>
              <w:t> </w:t>
            </w:r>
          </w:p>
        </w:tc>
        <w:tc>
          <w:tcPr>
            <w:tcW w:w="6639" w:type="dxa"/>
            <w:gridSpan w:val="14"/>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As of December 31, </w:t>
            </w:r>
          </w:p>
        </w:tc>
        <w:tc>
          <w:tcPr>
            <w:tcW w:w="197" w:type="dxa"/>
            <w:tcBorders/>
            <w:shd w:fill="auto" w:val="clear"/>
            <w:vAlign w:val="bottom"/>
          </w:tcPr>
          <w:p>
            <w:pPr>
              <w:pStyle w:val="TableHeading"/>
              <w:suppressLineNumbers/>
              <w:spacing w:before="0" w:after="283"/>
              <w:jc w:val="center"/>
              <w:rPr/>
            </w:pPr>
            <w:r>
              <w:rPr/>
              <w:t> </w:t>
            </w:r>
          </w:p>
        </w:tc>
      </w:tr>
      <w:tr>
        <w:trPr/>
        <w:tc>
          <w:tcPr>
            <w:tcW w:w="3172" w:type="dxa"/>
            <w:tcBorders/>
            <w:shd w:fill="auto" w:val="clear"/>
            <w:vAlign w:val="bottom"/>
          </w:tcPr>
          <w:p>
            <w:pPr>
              <w:pStyle w:val="TableHeading"/>
              <w:spacing w:before="0" w:after="283"/>
              <w:jc w:val="left"/>
              <w:rPr/>
            </w:pPr>
            <w:r>
              <w:rPr/>
              <w:t> </w:t>
            </w:r>
          </w:p>
        </w:tc>
        <w:tc>
          <w:tcPr>
            <w:tcW w:w="197" w:type="dxa"/>
            <w:tcBorders/>
            <w:shd w:fill="auto" w:val="clear"/>
            <w:vAlign w:val="bottom"/>
          </w:tcPr>
          <w:p>
            <w:pPr>
              <w:pStyle w:val="TableHeading"/>
              <w:suppressLineNumbers/>
              <w:spacing w:before="0" w:after="283"/>
              <w:jc w:val="center"/>
              <w:rPr/>
            </w:pPr>
            <w:r>
              <w:rPr/>
              <w:t> </w:t>
            </w:r>
          </w:p>
        </w:tc>
        <w:tc>
          <w:tcPr>
            <w:tcW w:w="1170" w:type="dxa"/>
            <w:gridSpan w:val="2"/>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2016 </w:t>
            </w:r>
          </w:p>
        </w:tc>
        <w:tc>
          <w:tcPr>
            <w:tcW w:w="197" w:type="dxa"/>
            <w:tcBorders/>
            <w:shd w:fill="auto" w:val="clear"/>
            <w:vAlign w:val="bottom"/>
          </w:tcPr>
          <w:p>
            <w:pPr>
              <w:pStyle w:val="TableHeading"/>
              <w:suppressLineNumbers/>
              <w:spacing w:before="0" w:after="283"/>
              <w:jc w:val="center"/>
              <w:rPr/>
            </w:pPr>
            <w:r>
              <w:rPr/>
              <w:t> </w:t>
            </w:r>
          </w:p>
        </w:tc>
        <w:tc>
          <w:tcPr>
            <w:tcW w:w="1170" w:type="dxa"/>
            <w:gridSpan w:val="2"/>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2017 </w:t>
            </w:r>
          </w:p>
        </w:tc>
        <w:tc>
          <w:tcPr>
            <w:tcW w:w="197" w:type="dxa"/>
            <w:tcBorders/>
            <w:shd w:fill="auto" w:val="clear"/>
            <w:vAlign w:val="bottom"/>
          </w:tcPr>
          <w:p>
            <w:pPr>
              <w:pStyle w:val="TableHeading"/>
              <w:suppressLineNumbers/>
              <w:spacing w:before="0" w:after="283"/>
              <w:jc w:val="center"/>
              <w:rPr/>
            </w:pPr>
            <w:r>
              <w:rPr/>
              <w:t> </w:t>
            </w:r>
          </w:p>
        </w:tc>
        <w:tc>
          <w:tcPr>
            <w:tcW w:w="1170" w:type="dxa"/>
            <w:gridSpan w:val="2"/>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2018 </w:t>
            </w:r>
          </w:p>
        </w:tc>
        <w:tc>
          <w:tcPr>
            <w:tcW w:w="197" w:type="dxa"/>
            <w:tcBorders/>
            <w:shd w:fill="auto" w:val="clear"/>
            <w:vAlign w:val="bottom"/>
          </w:tcPr>
          <w:p>
            <w:pPr>
              <w:pStyle w:val="TableHeading"/>
              <w:suppressLineNumbers/>
              <w:spacing w:before="0" w:after="283"/>
              <w:jc w:val="center"/>
              <w:rPr/>
            </w:pPr>
            <w:r>
              <w:rPr/>
              <w:t> </w:t>
            </w:r>
          </w:p>
        </w:tc>
        <w:tc>
          <w:tcPr>
            <w:tcW w:w="1170" w:type="dxa"/>
            <w:gridSpan w:val="2"/>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2019 </w:t>
            </w:r>
          </w:p>
        </w:tc>
        <w:tc>
          <w:tcPr>
            <w:tcW w:w="197" w:type="dxa"/>
            <w:tcBorders/>
            <w:shd w:fill="auto" w:val="clear"/>
            <w:vAlign w:val="bottom"/>
          </w:tcPr>
          <w:p>
            <w:pPr>
              <w:pStyle w:val="TableHeading"/>
              <w:suppressLineNumbers/>
              <w:spacing w:before="0" w:after="283"/>
              <w:jc w:val="center"/>
              <w:rPr/>
            </w:pPr>
            <w:r>
              <w:rPr/>
              <w:t> </w:t>
            </w:r>
          </w:p>
        </w:tc>
        <w:tc>
          <w:tcPr>
            <w:tcW w:w="1171" w:type="dxa"/>
            <w:gridSpan w:val="2"/>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2020 </w:t>
            </w:r>
          </w:p>
        </w:tc>
        <w:tc>
          <w:tcPr>
            <w:tcW w:w="197" w:type="dxa"/>
            <w:tcBorders/>
            <w:shd w:fill="auto" w:val="clear"/>
            <w:vAlign w:val="bottom"/>
          </w:tcPr>
          <w:p>
            <w:pPr>
              <w:pStyle w:val="TableHeading"/>
              <w:suppressLineNumbers/>
              <w:spacing w:before="0" w:after="283"/>
              <w:jc w:val="center"/>
              <w:rPr/>
            </w:pPr>
            <w:r>
              <w:rPr/>
              <w:t> </w:t>
            </w:r>
          </w:p>
        </w:tc>
      </w:tr>
      <w:tr>
        <w:trPr/>
        <w:tc>
          <w:tcPr>
            <w:tcW w:w="3172" w:type="dxa"/>
            <w:tcBorders/>
            <w:shd w:fill="auto" w:val="clear"/>
            <w:vAlign w:val="bottom"/>
          </w:tcPr>
          <w:p>
            <w:pPr>
              <w:pStyle w:val="TableHeading"/>
              <w:spacing w:before="0" w:after="283"/>
              <w:jc w:val="left"/>
              <w:rPr/>
            </w:pPr>
            <w:r>
              <w:rPr/>
              <w:t> </w:t>
            </w:r>
          </w:p>
        </w:tc>
        <w:tc>
          <w:tcPr>
            <w:tcW w:w="197" w:type="dxa"/>
            <w:tcBorders/>
            <w:shd w:fill="auto" w:val="clear"/>
            <w:vAlign w:val="bottom"/>
          </w:tcPr>
          <w:p>
            <w:pPr>
              <w:pStyle w:val="TableHeading"/>
              <w:suppressLineNumbers/>
              <w:spacing w:before="0" w:after="283"/>
              <w:jc w:val="center"/>
              <w:rPr/>
            </w:pPr>
            <w:r>
              <w:rPr/>
              <w:t> </w:t>
            </w:r>
          </w:p>
        </w:tc>
        <w:tc>
          <w:tcPr>
            <w:tcW w:w="1170" w:type="dxa"/>
            <w:gridSpan w:val="2"/>
            <w:tcBorders/>
            <w:shd w:fill="auto" w:val="clear"/>
            <w:vAlign w:val="bottom"/>
          </w:tcPr>
          <w:p>
            <w:pPr>
              <w:pStyle w:val="TableHeading"/>
              <w:spacing w:before="0" w:after="283"/>
              <w:jc w:val="left"/>
              <w:rPr/>
            </w:pPr>
            <w:r>
              <w:rPr/>
              <w:t> </w:t>
            </w:r>
          </w:p>
        </w:tc>
        <w:tc>
          <w:tcPr>
            <w:tcW w:w="197" w:type="dxa"/>
            <w:tcBorders/>
            <w:shd w:fill="auto" w:val="clear"/>
            <w:vAlign w:val="bottom"/>
          </w:tcPr>
          <w:p>
            <w:pPr>
              <w:pStyle w:val="TableHeading"/>
              <w:suppressLineNumbers/>
              <w:spacing w:before="0" w:after="283"/>
              <w:jc w:val="center"/>
              <w:rPr/>
            </w:pPr>
            <w:r>
              <w:rPr/>
              <w:t> </w:t>
            </w:r>
          </w:p>
        </w:tc>
        <w:tc>
          <w:tcPr>
            <w:tcW w:w="3904" w:type="dxa"/>
            <w:gridSpan w:val="8"/>
            <w:tcBorders/>
            <w:shd w:fill="auto" w:val="clear"/>
            <w:vAlign w:val="bottom"/>
          </w:tcPr>
          <w:p>
            <w:pPr>
              <w:pStyle w:val="TableHeading"/>
              <w:spacing w:before="0" w:after="283"/>
              <w:jc w:val="center"/>
              <w:rPr>
                <w:rFonts w:ascii="times" w:hAnsi="times"/>
                <w:b/>
                <w:sz w:val="14"/>
              </w:rPr>
            </w:pPr>
            <w:r>
              <w:rPr>
                <w:rFonts w:ascii="times" w:hAnsi="times"/>
                <w:b/>
                <w:sz w:val="14"/>
              </w:rPr>
              <w:t>(in thousands of U.S. dollars, except per unit data)</w:t>
            </w:r>
          </w:p>
        </w:tc>
        <w:tc>
          <w:tcPr>
            <w:tcW w:w="197" w:type="dxa"/>
            <w:tcBorders/>
            <w:shd w:fill="auto" w:val="clear"/>
            <w:vAlign w:val="bottom"/>
          </w:tcPr>
          <w:p>
            <w:pPr>
              <w:pStyle w:val="TableHeading"/>
              <w:suppressLineNumbers/>
              <w:spacing w:before="0" w:after="283"/>
              <w:jc w:val="center"/>
              <w:rPr/>
            </w:pPr>
            <w:r>
              <w:rPr/>
              <w:t> </w:t>
            </w:r>
          </w:p>
        </w:tc>
        <w:tc>
          <w:tcPr>
            <w:tcW w:w="1171" w:type="dxa"/>
            <w:gridSpan w:val="2"/>
            <w:tcBorders/>
            <w:shd w:fill="auto" w:val="clear"/>
            <w:vAlign w:val="bottom"/>
          </w:tcPr>
          <w:p>
            <w:pPr>
              <w:pStyle w:val="TableHeading"/>
              <w:spacing w:before="0" w:after="283"/>
              <w:jc w:val="left"/>
              <w:rPr/>
            </w:pPr>
            <w:r>
              <w:rPr/>
              <w:t> </w:t>
            </w:r>
          </w:p>
        </w:tc>
        <w:tc>
          <w:tcPr>
            <w:tcW w:w="197" w:type="dxa"/>
            <w:tcBorders/>
            <w:shd w:fill="auto" w:val="clear"/>
            <w:vAlign w:val="bottom"/>
          </w:tcPr>
          <w:p>
            <w:pPr>
              <w:pStyle w:val="TableHeading"/>
              <w:suppressLineNumbers/>
              <w:spacing w:before="0" w:after="283"/>
              <w:jc w:val="center"/>
              <w:rPr/>
            </w:pPr>
            <w:r>
              <w:rPr/>
              <w:t> </w:t>
            </w:r>
          </w:p>
        </w:tc>
      </w:tr>
      <w:tr>
        <w:trPr/>
        <w:tc>
          <w:tcPr>
            <w:tcW w:w="3172" w:type="dxa"/>
            <w:tcBorders/>
            <w:shd w:fill="auto" w:val="clear"/>
            <w:vAlign w:val="bottom"/>
          </w:tcPr>
          <w:p>
            <w:pPr>
              <w:pStyle w:val="TableContents"/>
              <w:spacing w:before="0" w:after="283"/>
              <w:ind w:left="140" w:right="0" w:hanging="140"/>
              <w:rPr>
                <w:rFonts w:ascii="times" w:hAnsi="times"/>
                <w:b/>
                <w:sz w:val="14"/>
              </w:rPr>
            </w:pPr>
            <w:r>
              <w:rPr>
                <w:rFonts w:ascii="times" w:hAnsi="times"/>
                <w:b/>
                <w:sz w:val="14"/>
              </w:rPr>
              <w:t>STATEMENT OF FINANCIAL POSITION DATA</w:t>
            </w:r>
          </w:p>
        </w:tc>
        <w:tc>
          <w:tcPr>
            <w:tcW w:w="197" w:type="dxa"/>
            <w:tcBorders/>
            <w:shd w:fill="auto" w:val="clear"/>
            <w:vAlign w:val="bottom"/>
          </w:tcPr>
          <w:p>
            <w:pPr>
              <w:pStyle w:val="TableContents"/>
              <w:spacing w:before="0" w:after="283"/>
              <w:rPr/>
            </w:pPr>
            <w:r>
              <w:rPr/>
              <w:t> </w:t>
            </w:r>
          </w:p>
        </w:tc>
        <w:tc>
          <w:tcPr>
            <w:tcW w:w="103" w:type="dxa"/>
            <w:tcBorders/>
            <w:shd w:fill="auto" w:val="clear"/>
            <w:vAlign w:val="bottom"/>
          </w:tcPr>
          <w:p>
            <w:pPr>
              <w:pStyle w:val="TableContents"/>
              <w:spacing w:before="0" w:after="283"/>
              <w:rPr/>
            </w:pPr>
            <w:r>
              <w:rPr/>
              <w:t> </w:t>
            </w:r>
          </w:p>
        </w:tc>
        <w:tc>
          <w:tcPr>
            <w:tcW w:w="1067" w:type="dxa"/>
            <w:tcBorders/>
            <w:shd w:fill="auto" w:val="clear"/>
            <w:vAlign w:val="bottom"/>
          </w:tcPr>
          <w:p>
            <w:pPr>
              <w:pStyle w:val="TableContents"/>
              <w:spacing w:before="0" w:after="283"/>
              <w:jc w:val="right"/>
              <w:rPr/>
            </w:pPr>
            <w:r>
              <w:rPr/>
              <w:t> </w:t>
            </w:r>
          </w:p>
        </w:tc>
        <w:tc>
          <w:tcPr>
            <w:tcW w:w="197" w:type="dxa"/>
            <w:tcBorders/>
            <w:shd w:fill="auto" w:val="clear"/>
            <w:vAlign w:val="bottom"/>
          </w:tcPr>
          <w:p>
            <w:pPr>
              <w:pStyle w:val="TableContents"/>
              <w:spacing w:before="0" w:after="283"/>
              <w:rPr/>
            </w:pPr>
            <w:r>
              <w:rPr/>
              <w:t> </w:t>
            </w:r>
          </w:p>
        </w:tc>
        <w:tc>
          <w:tcPr>
            <w:tcW w:w="104" w:type="dxa"/>
            <w:tcBorders/>
            <w:shd w:fill="auto" w:val="clear"/>
            <w:vAlign w:val="bottom"/>
          </w:tcPr>
          <w:p>
            <w:pPr>
              <w:pStyle w:val="TableContents"/>
              <w:spacing w:before="0" w:after="283"/>
              <w:rPr/>
            </w:pPr>
            <w:r>
              <w:rPr/>
              <w:t> </w:t>
            </w:r>
          </w:p>
        </w:tc>
        <w:tc>
          <w:tcPr>
            <w:tcW w:w="1066" w:type="dxa"/>
            <w:tcBorders/>
            <w:shd w:fill="auto" w:val="clear"/>
            <w:vAlign w:val="bottom"/>
          </w:tcPr>
          <w:p>
            <w:pPr>
              <w:pStyle w:val="TableContents"/>
              <w:spacing w:before="0" w:after="283"/>
              <w:jc w:val="right"/>
              <w:rPr/>
            </w:pPr>
            <w:r>
              <w:rPr/>
              <w:t> </w:t>
            </w:r>
          </w:p>
        </w:tc>
        <w:tc>
          <w:tcPr>
            <w:tcW w:w="197" w:type="dxa"/>
            <w:tcBorders/>
            <w:shd w:fill="auto" w:val="clear"/>
            <w:vAlign w:val="bottom"/>
          </w:tcPr>
          <w:p>
            <w:pPr>
              <w:pStyle w:val="TableContents"/>
              <w:spacing w:before="0" w:after="283"/>
              <w:rPr/>
            </w:pPr>
            <w:r>
              <w:rPr/>
              <w:t> </w:t>
            </w:r>
          </w:p>
        </w:tc>
        <w:tc>
          <w:tcPr>
            <w:tcW w:w="104" w:type="dxa"/>
            <w:tcBorders/>
            <w:shd w:fill="auto" w:val="clear"/>
            <w:vAlign w:val="bottom"/>
          </w:tcPr>
          <w:p>
            <w:pPr>
              <w:pStyle w:val="TableContents"/>
              <w:spacing w:before="0" w:after="283"/>
              <w:rPr/>
            </w:pPr>
            <w:r>
              <w:rPr/>
              <w:t> </w:t>
            </w:r>
          </w:p>
        </w:tc>
        <w:tc>
          <w:tcPr>
            <w:tcW w:w="1066" w:type="dxa"/>
            <w:tcBorders/>
            <w:shd w:fill="auto" w:val="clear"/>
            <w:vAlign w:val="bottom"/>
          </w:tcPr>
          <w:p>
            <w:pPr>
              <w:pStyle w:val="TableContents"/>
              <w:spacing w:before="0" w:after="283"/>
              <w:jc w:val="right"/>
              <w:rPr/>
            </w:pPr>
            <w:r>
              <w:rPr/>
              <w:t> </w:t>
            </w:r>
          </w:p>
        </w:tc>
        <w:tc>
          <w:tcPr>
            <w:tcW w:w="197" w:type="dxa"/>
            <w:tcBorders/>
            <w:shd w:fill="auto" w:val="clear"/>
            <w:vAlign w:val="bottom"/>
          </w:tcPr>
          <w:p>
            <w:pPr>
              <w:pStyle w:val="TableContents"/>
              <w:spacing w:before="0" w:after="283"/>
              <w:rPr/>
            </w:pPr>
            <w:r>
              <w:rPr/>
              <w:t> </w:t>
            </w:r>
          </w:p>
        </w:tc>
        <w:tc>
          <w:tcPr>
            <w:tcW w:w="104" w:type="dxa"/>
            <w:tcBorders/>
            <w:shd w:fill="auto" w:val="clear"/>
            <w:vAlign w:val="bottom"/>
          </w:tcPr>
          <w:p>
            <w:pPr>
              <w:pStyle w:val="TableContents"/>
              <w:spacing w:before="0" w:after="283"/>
              <w:rPr/>
            </w:pPr>
            <w:r>
              <w:rPr/>
              <w:t> </w:t>
            </w:r>
          </w:p>
        </w:tc>
        <w:tc>
          <w:tcPr>
            <w:tcW w:w="1066" w:type="dxa"/>
            <w:tcBorders/>
            <w:shd w:fill="auto" w:val="clear"/>
            <w:vAlign w:val="bottom"/>
          </w:tcPr>
          <w:p>
            <w:pPr>
              <w:pStyle w:val="TableContents"/>
              <w:spacing w:before="0" w:after="283"/>
              <w:jc w:val="right"/>
              <w:rPr/>
            </w:pPr>
            <w:r>
              <w:rPr/>
              <w:t> </w:t>
            </w:r>
          </w:p>
        </w:tc>
        <w:tc>
          <w:tcPr>
            <w:tcW w:w="197" w:type="dxa"/>
            <w:tcBorders/>
            <w:shd w:fill="auto" w:val="clear"/>
            <w:vAlign w:val="bottom"/>
          </w:tcPr>
          <w:p>
            <w:pPr>
              <w:pStyle w:val="TableContents"/>
              <w:spacing w:before="0" w:after="283"/>
              <w:rPr/>
            </w:pPr>
            <w:r>
              <w:rPr/>
              <w:t> </w:t>
            </w:r>
          </w:p>
        </w:tc>
        <w:tc>
          <w:tcPr>
            <w:tcW w:w="104" w:type="dxa"/>
            <w:tcBorders/>
            <w:shd w:fill="auto" w:val="clear"/>
            <w:vAlign w:val="bottom"/>
          </w:tcPr>
          <w:p>
            <w:pPr>
              <w:pStyle w:val="TableContents"/>
              <w:spacing w:before="0" w:after="283"/>
              <w:rPr/>
            </w:pPr>
            <w:r>
              <w:rPr/>
              <w:t> </w:t>
            </w:r>
          </w:p>
        </w:tc>
        <w:tc>
          <w:tcPr>
            <w:tcW w:w="1067" w:type="dxa"/>
            <w:tcBorders/>
            <w:shd w:fill="auto" w:val="clear"/>
            <w:vAlign w:val="bottom"/>
          </w:tcPr>
          <w:p>
            <w:pPr>
              <w:pStyle w:val="TableContents"/>
              <w:spacing w:before="0" w:after="283"/>
              <w:jc w:val="right"/>
              <w:rPr/>
            </w:pPr>
            <w:r>
              <w:rPr/>
              <w:t> </w:t>
            </w:r>
          </w:p>
        </w:tc>
        <w:tc>
          <w:tcPr>
            <w:tcW w:w="197" w:type="dxa"/>
            <w:tcBorders/>
            <w:shd w:fill="auto" w:val="clear"/>
            <w:vAlign w:val="bottom"/>
          </w:tcPr>
          <w:p>
            <w:pPr>
              <w:pStyle w:val="TableContents"/>
              <w:spacing w:before="0" w:after="283"/>
              <w:rPr/>
            </w:pPr>
            <w:r>
              <w:rPr/>
              <w:t> </w:t>
            </w:r>
          </w:p>
        </w:tc>
      </w:tr>
      <w:tr>
        <w:trPr/>
        <w:tc>
          <w:tcPr>
            <w:tcW w:w="3172" w:type="dxa"/>
            <w:tcBorders/>
            <w:shd w:fill="auto" w:val="clear"/>
            <w:vAlign w:val="bottom"/>
          </w:tcPr>
          <w:p>
            <w:pPr>
              <w:pStyle w:val="TableContents"/>
              <w:spacing w:before="0" w:after="283"/>
              <w:ind w:left="140" w:right="0" w:hanging="140"/>
              <w:rPr>
                <w:rFonts w:ascii="times" w:hAnsi="times"/>
                <w:sz w:val="14"/>
              </w:rPr>
            </w:pPr>
            <w:r>
              <w:rPr>
                <w:rFonts w:ascii="times" w:hAnsi="times"/>
                <w:sz w:val="14"/>
              </w:rPr>
              <w:t>Cash and cash equivalents</w:t>
            </w:r>
          </w:p>
        </w:tc>
        <w:tc>
          <w:tcPr>
            <w:tcW w:w="197" w:type="dxa"/>
            <w:tcBorders/>
            <w:shd w:fill="auto" w:val="clear"/>
            <w:vAlign w:val="bottom"/>
          </w:tcPr>
          <w:p>
            <w:pPr>
              <w:pStyle w:val="TableContents"/>
              <w:spacing w:before="0" w:after="283"/>
              <w:rPr/>
            </w:pPr>
            <w:r>
              <w:rPr/>
              <w:t> </w:t>
            </w:r>
          </w:p>
        </w:tc>
        <w:tc>
          <w:tcPr>
            <w:tcW w:w="103" w:type="dxa"/>
            <w:tcBorders/>
            <w:shd w:fill="auto" w:val="clear"/>
            <w:vAlign w:val="bottom"/>
          </w:tcPr>
          <w:p>
            <w:pPr>
              <w:pStyle w:val="TableContents"/>
              <w:spacing w:before="0" w:after="283"/>
              <w:rPr>
                <w:rFonts w:ascii="times" w:hAnsi="times"/>
                <w:sz w:val="14"/>
              </w:rPr>
            </w:pPr>
            <w:r>
              <w:rPr>
                <w:rFonts w:ascii="times" w:hAnsi="times"/>
                <w:sz w:val="14"/>
              </w:rPr>
              <w:t>$</w:t>
            </w:r>
          </w:p>
        </w:tc>
        <w:tc>
          <w:tcPr>
            <w:tcW w:w="1067" w:type="dxa"/>
            <w:tcBorders/>
            <w:shd w:fill="auto" w:val="clear"/>
            <w:vAlign w:val="bottom"/>
          </w:tcPr>
          <w:p>
            <w:pPr>
              <w:pStyle w:val="TableContents"/>
              <w:spacing w:before="0" w:after="283"/>
              <w:jc w:val="right"/>
              <w:rPr>
                <w:rFonts w:ascii="times" w:hAnsi="times"/>
                <w:sz w:val="14"/>
              </w:rPr>
            </w:pPr>
            <w:r>
              <w:rPr>
                <w:rFonts w:ascii="times" w:hAnsi="times"/>
                <w:sz w:val="14"/>
              </w:rPr>
              <w:t>66,978</w:t>
            </w:r>
          </w:p>
        </w:tc>
        <w:tc>
          <w:tcPr>
            <w:tcW w:w="197" w:type="dxa"/>
            <w:tcBorders/>
            <w:shd w:fill="auto" w:val="clear"/>
            <w:vAlign w:val="bottom"/>
          </w:tcPr>
          <w:p>
            <w:pPr>
              <w:pStyle w:val="TableContents"/>
              <w:spacing w:before="0" w:after="283"/>
              <w:rPr/>
            </w:pPr>
            <w:r>
              <w:rPr/>
              <w:t> </w:t>
            </w:r>
          </w:p>
        </w:tc>
        <w:tc>
          <w:tcPr>
            <w:tcW w:w="104" w:type="dxa"/>
            <w:tcBorders/>
            <w:shd w:fill="auto" w:val="clear"/>
            <w:vAlign w:val="bottom"/>
          </w:tcPr>
          <w:p>
            <w:pPr>
              <w:pStyle w:val="TableContents"/>
              <w:spacing w:before="0" w:after="283"/>
              <w:rPr>
                <w:rFonts w:ascii="times" w:hAnsi="times"/>
                <w:sz w:val="14"/>
              </w:rPr>
            </w:pPr>
            <w:r>
              <w:rPr>
                <w:rFonts w:ascii="times" w:hAnsi="times"/>
                <w:sz w:val="14"/>
              </w:rPr>
              <w:t>$</w:t>
            </w:r>
          </w:p>
        </w:tc>
        <w:tc>
          <w:tcPr>
            <w:tcW w:w="1066" w:type="dxa"/>
            <w:tcBorders/>
            <w:shd w:fill="auto" w:val="clear"/>
            <w:vAlign w:val="bottom"/>
          </w:tcPr>
          <w:p>
            <w:pPr>
              <w:pStyle w:val="TableContents"/>
              <w:spacing w:before="0" w:after="283"/>
              <w:jc w:val="right"/>
              <w:rPr>
                <w:rFonts w:ascii="times" w:hAnsi="times"/>
                <w:sz w:val="14"/>
              </w:rPr>
            </w:pPr>
            <w:r>
              <w:rPr>
                <w:rFonts w:ascii="times" w:hAnsi="times"/>
                <w:sz w:val="14"/>
              </w:rPr>
              <w:t>153,675</w:t>
            </w:r>
          </w:p>
        </w:tc>
        <w:tc>
          <w:tcPr>
            <w:tcW w:w="197" w:type="dxa"/>
            <w:tcBorders/>
            <w:shd w:fill="auto" w:val="clear"/>
            <w:vAlign w:val="bottom"/>
          </w:tcPr>
          <w:p>
            <w:pPr>
              <w:pStyle w:val="TableContents"/>
              <w:spacing w:before="0" w:after="283"/>
              <w:rPr/>
            </w:pPr>
            <w:r>
              <w:rPr/>
              <w:t> </w:t>
            </w:r>
          </w:p>
        </w:tc>
        <w:tc>
          <w:tcPr>
            <w:tcW w:w="104" w:type="dxa"/>
            <w:tcBorders/>
            <w:shd w:fill="auto" w:val="clear"/>
            <w:vAlign w:val="bottom"/>
          </w:tcPr>
          <w:p>
            <w:pPr>
              <w:pStyle w:val="TableContents"/>
              <w:spacing w:before="0" w:after="283"/>
              <w:rPr>
                <w:rFonts w:ascii="times" w:hAnsi="times"/>
                <w:sz w:val="14"/>
              </w:rPr>
            </w:pPr>
            <w:r>
              <w:rPr>
                <w:rFonts w:ascii="times" w:hAnsi="times"/>
                <w:sz w:val="14"/>
              </w:rPr>
              <w:t>$</w:t>
            </w:r>
          </w:p>
        </w:tc>
        <w:tc>
          <w:tcPr>
            <w:tcW w:w="1066" w:type="dxa"/>
            <w:tcBorders/>
            <w:shd w:fill="auto" w:val="clear"/>
            <w:vAlign w:val="bottom"/>
          </w:tcPr>
          <w:p>
            <w:pPr>
              <w:pStyle w:val="TableContents"/>
              <w:spacing w:before="0" w:after="283"/>
              <w:jc w:val="right"/>
              <w:rPr>
                <w:rFonts w:ascii="times" w:hAnsi="times"/>
                <w:sz w:val="14"/>
              </w:rPr>
            </w:pPr>
            <w:r>
              <w:rPr>
                <w:rFonts w:ascii="times" w:hAnsi="times"/>
                <w:sz w:val="14"/>
              </w:rPr>
              <w:t>133,370</w:t>
            </w:r>
          </w:p>
        </w:tc>
        <w:tc>
          <w:tcPr>
            <w:tcW w:w="197" w:type="dxa"/>
            <w:tcBorders/>
            <w:shd w:fill="auto" w:val="clear"/>
            <w:vAlign w:val="bottom"/>
          </w:tcPr>
          <w:p>
            <w:pPr>
              <w:pStyle w:val="TableContents"/>
              <w:spacing w:before="0" w:after="283"/>
              <w:rPr/>
            </w:pPr>
            <w:r>
              <w:rPr/>
              <w:t> </w:t>
            </w:r>
          </w:p>
        </w:tc>
        <w:tc>
          <w:tcPr>
            <w:tcW w:w="104" w:type="dxa"/>
            <w:tcBorders/>
            <w:shd w:fill="auto" w:val="clear"/>
            <w:vAlign w:val="bottom"/>
          </w:tcPr>
          <w:p>
            <w:pPr>
              <w:pStyle w:val="TableContents"/>
              <w:spacing w:before="0" w:after="283"/>
              <w:rPr>
                <w:rFonts w:ascii="times" w:hAnsi="times"/>
                <w:sz w:val="14"/>
              </w:rPr>
            </w:pPr>
            <w:r>
              <w:rPr>
                <w:rFonts w:ascii="times" w:hAnsi="times"/>
                <w:sz w:val="14"/>
              </w:rPr>
              <w:t>$</w:t>
            </w:r>
          </w:p>
        </w:tc>
        <w:tc>
          <w:tcPr>
            <w:tcW w:w="1066" w:type="dxa"/>
            <w:tcBorders/>
            <w:shd w:fill="auto" w:val="clear"/>
            <w:vAlign w:val="bottom"/>
          </w:tcPr>
          <w:p>
            <w:pPr>
              <w:pStyle w:val="TableContents"/>
              <w:spacing w:before="0" w:after="283"/>
              <w:jc w:val="right"/>
              <w:rPr>
                <w:rFonts w:ascii="times" w:hAnsi="times"/>
                <w:sz w:val="14"/>
              </w:rPr>
            </w:pPr>
            <w:r>
              <w:rPr>
                <w:rFonts w:ascii="times" w:hAnsi="times"/>
                <w:sz w:val="14"/>
              </w:rPr>
              <w:t>96,884</w:t>
            </w:r>
          </w:p>
        </w:tc>
        <w:tc>
          <w:tcPr>
            <w:tcW w:w="197" w:type="dxa"/>
            <w:tcBorders/>
            <w:shd w:fill="auto" w:val="clear"/>
            <w:vAlign w:val="bottom"/>
          </w:tcPr>
          <w:p>
            <w:pPr>
              <w:pStyle w:val="TableContents"/>
              <w:spacing w:before="0" w:after="283"/>
              <w:rPr/>
            </w:pPr>
            <w:r>
              <w:rPr/>
              <w:t> </w:t>
            </w:r>
          </w:p>
        </w:tc>
        <w:tc>
          <w:tcPr>
            <w:tcW w:w="104" w:type="dxa"/>
            <w:tcBorders/>
            <w:shd w:fill="auto" w:val="clear"/>
            <w:vAlign w:val="bottom"/>
          </w:tcPr>
          <w:p>
            <w:pPr>
              <w:pStyle w:val="TableContents"/>
              <w:spacing w:before="0" w:after="283"/>
              <w:rPr>
                <w:rFonts w:ascii="times" w:hAnsi="times"/>
                <w:sz w:val="14"/>
              </w:rPr>
            </w:pPr>
            <w:r>
              <w:rPr>
                <w:rFonts w:ascii="times" w:hAnsi="times"/>
                <w:sz w:val="14"/>
              </w:rPr>
              <w:t>$</w:t>
            </w:r>
          </w:p>
        </w:tc>
        <w:tc>
          <w:tcPr>
            <w:tcW w:w="1067" w:type="dxa"/>
            <w:tcBorders/>
            <w:shd w:fill="auto" w:val="clear"/>
            <w:vAlign w:val="bottom"/>
          </w:tcPr>
          <w:p>
            <w:pPr>
              <w:pStyle w:val="TableContents"/>
              <w:spacing w:before="0" w:after="283"/>
              <w:jc w:val="right"/>
              <w:rPr>
                <w:rFonts w:ascii="times" w:hAnsi="times"/>
                <w:sz w:val="14"/>
              </w:rPr>
            </w:pPr>
            <w:r>
              <w:rPr>
                <w:rFonts w:ascii="times" w:hAnsi="times"/>
                <w:sz w:val="14"/>
              </w:rPr>
              <w:t>103,736</w:t>
            </w:r>
          </w:p>
        </w:tc>
        <w:tc>
          <w:tcPr>
            <w:tcW w:w="197" w:type="dxa"/>
            <w:tcBorders/>
            <w:shd w:fill="auto" w:val="clear"/>
            <w:vAlign w:val="bottom"/>
          </w:tcPr>
          <w:p>
            <w:pPr>
              <w:pStyle w:val="TableContents"/>
              <w:spacing w:before="0" w:after="283"/>
              <w:rPr/>
            </w:pPr>
            <w:r>
              <w:rPr/>
              <w:t> </w:t>
            </w:r>
          </w:p>
        </w:tc>
      </w:tr>
      <w:tr>
        <w:trPr/>
        <w:tc>
          <w:tcPr>
            <w:tcW w:w="3172" w:type="dxa"/>
            <w:tcBorders/>
            <w:shd w:fill="auto" w:val="clear"/>
            <w:vAlign w:val="bottom"/>
          </w:tcPr>
          <w:p>
            <w:pPr>
              <w:pStyle w:val="TableContents"/>
              <w:spacing w:before="0" w:after="283"/>
              <w:ind w:left="140" w:right="0" w:hanging="140"/>
              <w:rPr>
                <w:rFonts w:ascii="times" w:hAnsi="times"/>
                <w:sz w:val="14"/>
              </w:rPr>
            </w:pPr>
            <w:r>
              <w:rPr>
                <w:rFonts w:ascii="times" w:hAnsi="times"/>
                <w:sz w:val="14"/>
              </w:rPr>
              <w:t>Short-term investments</w:t>
            </w:r>
          </w:p>
        </w:tc>
        <w:tc>
          <w:tcPr>
            <w:tcW w:w="197" w:type="dxa"/>
            <w:tcBorders/>
            <w:shd w:fill="auto" w:val="clear"/>
            <w:vAlign w:val="bottom"/>
          </w:tcPr>
          <w:p>
            <w:pPr>
              <w:pStyle w:val="TableContents"/>
              <w:spacing w:before="0" w:after="283"/>
              <w:rPr/>
            </w:pPr>
            <w:r>
              <w:rPr/>
              <w:t> </w:t>
            </w:r>
          </w:p>
        </w:tc>
        <w:tc>
          <w:tcPr>
            <w:tcW w:w="103" w:type="dxa"/>
            <w:tcBorders/>
            <w:shd w:fill="auto" w:val="clear"/>
            <w:vAlign w:val="bottom"/>
          </w:tcPr>
          <w:p>
            <w:pPr>
              <w:pStyle w:val="TableContents"/>
              <w:spacing w:before="0" w:after="283"/>
              <w:rPr/>
            </w:pPr>
            <w:r>
              <w:rPr/>
              <w:t> </w:t>
            </w:r>
          </w:p>
        </w:tc>
        <w:tc>
          <w:tcPr>
            <w:tcW w:w="1067" w:type="dxa"/>
            <w:tcBorders/>
            <w:shd w:fill="auto" w:val="clear"/>
            <w:vAlign w:val="bottom"/>
          </w:tcPr>
          <w:p>
            <w:pPr>
              <w:pStyle w:val="TableContents"/>
              <w:spacing w:before="0" w:after="283"/>
              <w:jc w:val="right"/>
              <w:rPr>
                <w:rFonts w:ascii="times" w:hAnsi="times"/>
                <w:sz w:val="14"/>
              </w:rPr>
            </w:pPr>
            <w:r>
              <w:rPr>
                <w:rFonts w:ascii="times" w:hAnsi="times"/>
                <w:sz w:val="14"/>
              </w:rPr>
              <w:t>9,000</w:t>
            </w:r>
          </w:p>
        </w:tc>
        <w:tc>
          <w:tcPr>
            <w:tcW w:w="197" w:type="dxa"/>
            <w:tcBorders/>
            <w:shd w:fill="auto" w:val="clear"/>
            <w:vAlign w:val="bottom"/>
          </w:tcPr>
          <w:p>
            <w:pPr>
              <w:pStyle w:val="TableContents"/>
              <w:spacing w:before="0" w:after="283"/>
              <w:rPr/>
            </w:pPr>
            <w:r>
              <w:rPr/>
              <w:t> </w:t>
            </w:r>
          </w:p>
        </w:tc>
        <w:tc>
          <w:tcPr>
            <w:tcW w:w="104" w:type="dxa"/>
            <w:tcBorders/>
            <w:shd w:fill="auto" w:val="clear"/>
            <w:vAlign w:val="bottom"/>
          </w:tcPr>
          <w:p>
            <w:pPr>
              <w:pStyle w:val="TableContents"/>
              <w:spacing w:before="0" w:after="283"/>
              <w:rPr/>
            </w:pPr>
            <w:r>
              <w:rPr/>
              <w:t> </w:t>
            </w:r>
          </w:p>
        </w:tc>
        <w:tc>
          <w:tcPr>
            <w:tcW w:w="1066" w:type="dxa"/>
            <w:tcBorders/>
            <w:shd w:fill="auto" w:val="clear"/>
            <w:vAlign w:val="bottom"/>
          </w:tcPr>
          <w:p>
            <w:pPr>
              <w:pStyle w:val="TableContents"/>
              <w:spacing w:before="0" w:after="283"/>
              <w:jc w:val="right"/>
              <w:rPr>
                <w:rFonts w:ascii="times" w:hAnsi="times"/>
                <w:sz w:val="14"/>
              </w:rPr>
            </w:pPr>
            <w:r>
              <w:rPr>
                <w:rFonts w:ascii="times" w:hAnsi="times"/>
                <w:sz w:val="14"/>
              </w:rPr>
              <w:t></w:t>
            </w:r>
          </w:p>
        </w:tc>
        <w:tc>
          <w:tcPr>
            <w:tcW w:w="197" w:type="dxa"/>
            <w:tcBorders/>
            <w:shd w:fill="auto" w:val="clear"/>
            <w:vAlign w:val="bottom"/>
          </w:tcPr>
          <w:p>
            <w:pPr>
              <w:pStyle w:val="TableContents"/>
              <w:spacing w:before="0" w:after="283"/>
              <w:rPr/>
            </w:pPr>
            <w:r>
              <w:rPr/>
              <w:t> </w:t>
            </w:r>
          </w:p>
        </w:tc>
        <w:tc>
          <w:tcPr>
            <w:tcW w:w="104" w:type="dxa"/>
            <w:tcBorders/>
            <w:shd w:fill="auto" w:val="clear"/>
            <w:vAlign w:val="bottom"/>
          </w:tcPr>
          <w:p>
            <w:pPr>
              <w:pStyle w:val="TableContents"/>
              <w:spacing w:before="0" w:after="283"/>
              <w:rPr/>
            </w:pPr>
            <w:r>
              <w:rPr/>
              <w:t> </w:t>
            </w:r>
          </w:p>
        </w:tc>
        <w:tc>
          <w:tcPr>
            <w:tcW w:w="1066" w:type="dxa"/>
            <w:tcBorders/>
            <w:shd w:fill="auto" w:val="clear"/>
            <w:vAlign w:val="bottom"/>
          </w:tcPr>
          <w:p>
            <w:pPr>
              <w:pStyle w:val="TableContents"/>
              <w:spacing w:before="0" w:after="283"/>
              <w:jc w:val="right"/>
              <w:rPr>
                <w:rFonts w:ascii="times" w:hAnsi="times"/>
                <w:sz w:val="14"/>
              </w:rPr>
            </w:pPr>
            <w:r>
              <w:rPr>
                <w:rFonts w:ascii="times" w:hAnsi="times"/>
                <w:sz w:val="14"/>
              </w:rPr>
              <w:t>10,000</w:t>
            </w:r>
          </w:p>
        </w:tc>
        <w:tc>
          <w:tcPr>
            <w:tcW w:w="197" w:type="dxa"/>
            <w:tcBorders/>
            <w:shd w:fill="auto" w:val="clear"/>
            <w:vAlign w:val="bottom"/>
          </w:tcPr>
          <w:p>
            <w:pPr>
              <w:pStyle w:val="TableContents"/>
              <w:spacing w:before="0" w:after="283"/>
              <w:rPr/>
            </w:pPr>
            <w:r>
              <w:rPr/>
              <w:t> </w:t>
            </w:r>
          </w:p>
        </w:tc>
        <w:tc>
          <w:tcPr>
            <w:tcW w:w="104" w:type="dxa"/>
            <w:tcBorders/>
            <w:shd w:fill="auto" w:val="clear"/>
            <w:vAlign w:val="bottom"/>
          </w:tcPr>
          <w:p>
            <w:pPr>
              <w:pStyle w:val="TableContents"/>
              <w:spacing w:before="0" w:after="283"/>
              <w:rPr/>
            </w:pPr>
            <w:r>
              <w:rPr/>
              <w:t> </w:t>
            </w:r>
          </w:p>
        </w:tc>
        <w:tc>
          <w:tcPr>
            <w:tcW w:w="1066" w:type="dxa"/>
            <w:tcBorders/>
            <w:shd w:fill="auto" w:val="clear"/>
            <w:vAlign w:val="bottom"/>
          </w:tcPr>
          <w:p>
            <w:pPr>
              <w:pStyle w:val="TableContents"/>
              <w:spacing w:before="0" w:after="283"/>
              <w:jc w:val="right"/>
              <w:rPr>
                <w:rFonts w:ascii="times" w:hAnsi="times"/>
                <w:sz w:val="14"/>
              </w:rPr>
            </w:pPr>
            <w:r>
              <w:rPr>
                <w:rFonts w:ascii="times" w:hAnsi="times"/>
                <w:sz w:val="14"/>
              </w:rPr>
              <w:t></w:t>
            </w:r>
          </w:p>
        </w:tc>
        <w:tc>
          <w:tcPr>
            <w:tcW w:w="197" w:type="dxa"/>
            <w:tcBorders/>
            <w:shd w:fill="auto" w:val="clear"/>
            <w:vAlign w:val="bottom"/>
          </w:tcPr>
          <w:p>
            <w:pPr>
              <w:pStyle w:val="TableContents"/>
              <w:spacing w:before="0" w:after="283"/>
              <w:rPr/>
            </w:pPr>
            <w:r>
              <w:rPr/>
              <w:t> </w:t>
            </w:r>
          </w:p>
        </w:tc>
        <w:tc>
          <w:tcPr>
            <w:tcW w:w="104" w:type="dxa"/>
            <w:tcBorders/>
            <w:shd w:fill="auto" w:val="clear"/>
            <w:vAlign w:val="bottom"/>
          </w:tcPr>
          <w:p>
            <w:pPr>
              <w:pStyle w:val="TableContents"/>
              <w:spacing w:before="0" w:after="283"/>
              <w:rPr/>
            </w:pPr>
            <w:r>
              <w:rPr/>
              <w:t> </w:t>
            </w:r>
          </w:p>
        </w:tc>
        <w:tc>
          <w:tcPr>
            <w:tcW w:w="1067" w:type="dxa"/>
            <w:tcBorders/>
            <w:shd w:fill="auto" w:val="clear"/>
            <w:vAlign w:val="bottom"/>
          </w:tcPr>
          <w:p>
            <w:pPr>
              <w:pStyle w:val="TableContents"/>
              <w:spacing w:before="0" w:after="283"/>
              <w:jc w:val="right"/>
              <w:rPr>
                <w:rFonts w:ascii="times" w:hAnsi="times"/>
                <w:sz w:val="14"/>
              </w:rPr>
            </w:pPr>
            <w:r>
              <w:rPr>
                <w:rFonts w:ascii="times" w:hAnsi="times"/>
                <w:sz w:val="14"/>
              </w:rPr>
              <w:t></w:t>
            </w:r>
          </w:p>
        </w:tc>
        <w:tc>
          <w:tcPr>
            <w:tcW w:w="197" w:type="dxa"/>
            <w:tcBorders/>
            <w:shd w:fill="auto" w:val="clear"/>
            <w:vAlign w:val="bottom"/>
          </w:tcPr>
          <w:p>
            <w:pPr>
              <w:pStyle w:val="TableContents"/>
              <w:spacing w:before="0" w:after="283"/>
              <w:rPr/>
            </w:pPr>
            <w:r>
              <w:rPr/>
              <w:t> </w:t>
            </w:r>
          </w:p>
        </w:tc>
      </w:tr>
      <w:tr>
        <w:trPr/>
        <w:tc>
          <w:tcPr>
            <w:tcW w:w="3172" w:type="dxa"/>
            <w:tcBorders/>
            <w:shd w:fill="auto" w:val="clear"/>
            <w:vAlign w:val="bottom"/>
          </w:tcPr>
          <w:p>
            <w:pPr>
              <w:pStyle w:val="TableContents"/>
              <w:spacing w:before="0" w:after="283"/>
              <w:ind w:left="140" w:right="0" w:hanging="140"/>
              <w:rPr>
                <w:rFonts w:ascii="times" w:hAnsi="times"/>
                <w:sz w:val="14"/>
              </w:rPr>
            </w:pPr>
            <w:r>
              <w:rPr>
                <w:rFonts w:ascii="times" w:hAnsi="times"/>
                <w:sz w:val="14"/>
              </w:rPr>
              <w:t>Tangible fixed assets</w:t>
            </w:r>
          </w:p>
        </w:tc>
        <w:tc>
          <w:tcPr>
            <w:tcW w:w="197" w:type="dxa"/>
            <w:tcBorders/>
            <w:shd w:fill="auto" w:val="clear"/>
            <w:vAlign w:val="bottom"/>
          </w:tcPr>
          <w:p>
            <w:pPr>
              <w:pStyle w:val="TableContents"/>
              <w:spacing w:before="0" w:after="283"/>
              <w:rPr/>
            </w:pPr>
            <w:r>
              <w:rPr/>
              <w:t> </w:t>
            </w:r>
          </w:p>
        </w:tc>
        <w:tc>
          <w:tcPr>
            <w:tcW w:w="103" w:type="dxa"/>
            <w:tcBorders/>
            <w:shd w:fill="auto" w:val="clear"/>
            <w:vAlign w:val="bottom"/>
          </w:tcPr>
          <w:p>
            <w:pPr>
              <w:pStyle w:val="TableContents"/>
              <w:spacing w:before="0" w:after="283"/>
              <w:rPr/>
            </w:pPr>
            <w:r>
              <w:rPr/>
              <w:t> </w:t>
            </w:r>
          </w:p>
        </w:tc>
        <w:tc>
          <w:tcPr>
            <w:tcW w:w="1067" w:type="dxa"/>
            <w:tcBorders/>
            <w:shd w:fill="auto" w:val="clear"/>
            <w:vAlign w:val="bottom"/>
          </w:tcPr>
          <w:p>
            <w:pPr>
              <w:pStyle w:val="TableContents"/>
              <w:spacing w:before="0" w:after="283"/>
              <w:jc w:val="right"/>
              <w:rPr>
                <w:rFonts w:ascii="times" w:hAnsi="times"/>
                <w:sz w:val="14"/>
              </w:rPr>
            </w:pPr>
            <w:r>
              <w:rPr>
                <w:rFonts w:ascii="times" w:hAnsi="times"/>
                <w:sz w:val="14"/>
              </w:rPr>
              <w:t>2,644,618</w:t>
            </w:r>
          </w:p>
        </w:tc>
        <w:tc>
          <w:tcPr>
            <w:tcW w:w="197" w:type="dxa"/>
            <w:tcBorders/>
            <w:shd w:fill="auto" w:val="clear"/>
            <w:vAlign w:val="bottom"/>
          </w:tcPr>
          <w:p>
            <w:pPr>
              <w:pStyle w:val="TableContents"/>
              <w:spacing w:before="0" w:after="283"/>
              <w:rPr/>
            </w:pPr>
            <w:r>
              <w:rPr/>
              <w:t> </w:t>
            </w:r>
          </w:p>
        </w:tc>
        <w:tc>
          <w:tcPr>
            <w:tcW w:w="104" w:type="dxa"/>
            <w:tcBorders/>
            <w:shd w:fill="auto" w:val="clear"/>
            <w:vAlign w:val="bottom"/>
          </w:tcPr>
          <w:p>
            <w:pPr>
              <w:pStyle w:val="TableContents"/>
              <w:spacing w:before="0" w:after="283"/>
              <w:rPr/>
            </w:pPr>
            <w:r>
              <w:rPr/>
              <w:t> </w:t>
            </w:r>
          </w:p>
        </w:tc>
        <w:tc>
          <w:tcPr>
            <w:tcW w:w="1066" w:type="dxa"/>
            <w:tcBorders/>
            <w:shd w:fill="auto" w:val="clear"/>
            <w:vAlign w:val="bottom"/>
          </w:tcPr>
          <w:p>
            <w:pPr>
              <w:pStyle w:val="TableContents"/>
              <w:spacing w:before="0" w:after="283"/>
              <w:jc w:val="right"/>
              <w:rPr>
                <w:rFonts w:ascii="times" w:hAnsi="times"/>
                <w:sz w:val="14"/>
              </w:rPr>
            </w:pPr>
            <w:r>
              <w:rPr>
                <w:rFonts w:ascii="times" w:hAnsi="times"/>
                <w:sz w:val="14"/>
              </w:rPr>
              <w:t>2,563,122</w:t>
            </w:r>
          </w:p>
        </w:tc>
        <w:tc>
          <w:tcPr>
            <w:tcW w:w="197" w:type="dxa"/>
            <w:tcBorders/>
            <w:shd w:fill="auto" w:val="clear"/>
            <w:vAlign w:val="bottom"/>
          </w:tcPr>
          <w:p>
            <w:pPr>
              <w:pStyle w:val="TableContents"/>
              <w:spacing w:before="0" w:after="283"/>
              <w:rPr/>
            </w:pPr>
            <w:r>
              <w:rPr/>
              <w:t> </w:t>
            </w:r>
          </w:p>
        </w:tc>
        <w:tc>
          <w:tcPr>
            <w:tcW w:w="104" w:type="dxa"/>
            <w:tcBorders/>
            <w:shd w:fill="auto" w:val="clear"/>
            <w:vAlign w:val="bottom"/>
          </w:tcPr>
          <w:p>
            <w:pPr>
              <w:pStyle w:val="TableContents"/>
              <w:spacing w:before="0" w:after="283"/>
              <w:rPr/>
            </w:pPr>
            <w:r>
              <w:rPr/>
              <w:t> </w:t>
            </w:r>
          </w:p>
        </w:tc>
        <w:tc>
          <w:tcPr>
            <w:tcW w:w="1066" w:type="dxa"/>
            <w:tcBorders/>
            <w:shd w:fill="auto" w:val="clear"/>
            <w:vAlign w:val="bottom"/>
          </w:tcPr>
          <w:p>
            <w:pPr>
              <w:pStyle w:val="TableContents"/>
              <w:spacing w:before="0" w:after="283"/>
              <w:jc w:val="right"/>
              <w:rPr>
                <w:rFonts w:ascii="times" w:hAnsi="times"/>
                <w:sz w:val="14"/>
              </w:rPr>
            </w:pPr>
            <w:r>
              <w:rPr>
                <w:rFonts w:ascii="times" w:hAnsi="times"/>
                <w:sz w:val="14"/>
              </w:rPr>
              <w:t>2,509,283</w:t>
            </w:r>
          </w:p>
        </w:tc>
        <w:tc>
          <w:tcPr>
            <w:tcW w:w="197" w:type="dxa"/>
            <w:tcBorders/>
            <w:shd w:fill="auto" w:val="clear"/>
            <w:vAlign w:val="bottom"/>
          </w:tcPr>
          <w:p>
            <w:pPr>
              <w:pStyle w:val="TableContents"/>
              <w:spacing w:before="0" w:after="283"/>
              <w:rPr/>
            </w:pPr>
            <w:r>
              <w:rPr/>
              <w:t> </w:t>
            </w:r>
          </w:p>
        </w:tc>
        <w:tc>
          <w:tcPr>
            <w:tcW w:w="104" w:type="dxa"/>
            <w:tcBorders/>
            <w:shd w:fill="auto" w:val="clear"/>
            <w:vAlign w:val="bottom"/>
          </w:tcPr>
          <w:p>
            <w:pPr>
              <w:pStyle w:val="TableContents"/>
              <w:spacing w:before="0" w:after="283"/>
              <w:rPr/>
            </w:pPr>
            <w:r>
              <w:rPr/>
              <w:t> </w:t>
            </w:r>
          </w:p>
        </w:tc>
        <w:tc>
          <w:tcPr>
            <w:tcW w:w="1066" w:type="dxa"/>
            <w:tcBorders/>
            <w:shd w:fill="auto" w:val="clear"/>
            <w:vAlign w:val="bottom"/>
          </w:tcPr>
          <w:p>
            <w:pPr>
              <w:pStyle w:val="TableContents"/>
              <w:spacing w:before="0" w:after="283"/>
              <w:jc w:val="right"/>
              <w:rPr>
                <w:rFonts w:ascii="times" w:hAnsi="times"/>
                <w:sz w:val="14"/>
              </w:rPr>
            </w:pPr>
            <w:r>
              <w:rPr>
                <w:rFonts w:ascii="times" w:hAnsi="times"/>
                <w:sz w:val="14"/>
              </w:rPr>
              <w:t>2,286,430</w:t>
            </w:r>
          </w:p>
        </w:tc>
        <w:tc>
          <w:tcPr>
            <w:tcW w:w="197" w:type="dxa"/>
            <w:tcBorders/>
            <w:shd w:fill="auto" w:val="clear"/>
            <w:vAlign w:val="bottom"/>
          </w:tcPr>
          <w:p>
            <w:pPr>
              <w:pStyle w:val="TableContents"/>
              <w:spacing w:before="0" w:after="283"/>
              <w:rPr/>
            </w:pPr>
            <w:r>
              <w:rPr/>
              <w:t> </w:t>
            </w:r>
          </w:p>
        </w:tc>
        <w:tc>
          <w:tcPr>
            <w:tcW w:w="104" w:type="dxa"/>
            <w:tcBorders/>
            <w:shd w:fill="auto" w:val="clear"/>
            <w:vAlign w:val="bottom"/>
          </w:tcPr>
          <w:p>
            <w:pPr>
              <w:pStyle w:val="TableContents"/>
              <w:spacing w:before="0" w:after="283"/>
              <w:rPr/>
            </w:pPr>
            <w:r>
              <w:rPr/>
              <w:t> </w:t>
            </w:r>
          </w:p>
        </w:tc>
        <w:tc>
          <w:tcPr>
            <w:tcW w:w="1067" w:type="dxa"/>
            <w:tcBorders/>
            <w:shd w:fill="auto" w:val="clear"/>
            <w:vAlign w:val="bottom"/>
          </w:tcPr>
          <w:p>
            <w:pPr>
              <w:pStyle w:val="TableContents"/>
              <w:spacing w:before="0" w:after="283"/>
              <w:jc w:val="right"/>
              <w:rPr>
                <w:rFonts w:ascii="times" w:hAnsi="times"/>
                <w:sz w:val="14"/>
              </w:rPr>
            </w:pPr>
            <w:r>
              <w:rPr>
                <w:rFonts w:ascii="times" w:hAnsi="times"/>
                <w:sz w:val="14"/>
              </w:rPr>
              <w:t>2,206,618</w:t>
            </w:r>
          </w:p>
        </w:tc>
        <w:tc>
          <w:tcPr>
            <w:tcW w:w="197" w:type="dxa"/>
            <w:tcBorders/>
            <w:shd w:fill="auto" w:val="clear"/>
            <w:vAlign w:val="bottom"/>
          </w:tcPr>
          <w:p>
            <w:pPr>
              <w:pStyle w:val="TableContents"/>
              <w:spacing w:before="0" w:after="283"/>
              <w:rPr/>
            </w:pPr>
            <w:r>
              <w:rPr/>
              <w:t> </w:t>
            </w:r>
          </w:p>
        </w:tc>
      </w:tr>
      <w:tr>
        <w:trPr/>
        <w:tc>
          <w:tcPr>
            <w:tcW w:w="3172" w:type="dxa"/>
            <w:tcBorders/>
            <w:shd w:fill="auto" w:val="clear"/>
            <w:vAlign w:val="bottom"/>
          </w:tcPr>
          <w:p>
            <w:pPr>
              <w:pStyle w:val="TableContents"/>
              <w:spacing w:before="0" w:after="283"/>
              <w:ind w:left="140" w:right="0" w:hanging="140"/>
              <w:rPr>
                <w:rFonts w:ascii="times" w:hAnsi="times"/>
                <w:sz w:val="14"/>
              </w:rPr>
            </w:pPr>
            <w:r>
              <w:rPr>
                <w:rFonts w:ascii="times" w:hAnsi="times"/>
                <w:sz w:val="14"/>
              </w:rPr>
              <w:t>Total assets</w:t>
            </w:r>
          </w:p>
        </w:tc>
        <w:tc>
          <w:tcPr>
            <w:tcW w:w="197" w:type="dxa"/>
            <w:tcBorders/>
            <w:shd w:fill="auto" w:val="clear"/>
            <w:vAlign w:val="bottom"/>
          </w:tcPr>
          <w:p>
            <w:pPr>
              <w:pStyle w:val="TableContents"/>
              <w:spacing w:before="0" w:after="283"/>
              <w:rPr/>
            </w:pPr>
            <w:r>
              <w:rPr/>
              <w:t> </w:t>
            </w:r>
          </w:p>
        </w:tc>
        <w:tc>
          <w:tcPr>
            <w:tcW w:w="103" w:type="dxa"/>
            <w:tcBorders/>
            <w:shd w:fill="auto" w:val="clear"/>
            <w:vAlign w:val="bottom"/>
          </w:tcPr>
          <w:p>
            <w:pPr>
              <w:pStyle w:val="TableContents"/>
              <w:spacing w:before="0" w:after="283"/>
              <w:rPr/>
            </w:pPr>
            <w:r>
              <w:rPr/>
              <w:t> </w:t>
            </w:r>
          </w:p>
        </w:tc>
        <w:tc>
          <w:tcPr>
            <w:tcW w:w="1067" w:type="dxa"/>
            <w:tcBorders/>
            <w:shd w:fill="auto" w:val="clear"/>
            <w:vAlign w:val="bottom"/>
          </w:tcPr>
          <w:p>
            <w:pPr>
              <w:pStyle w:val="TableContents"/>
              <w:spacing w:before="0" w:after="283"/>
              <w:jc w:val="right"/>
              <w:rPr>
                <w:rFonts w:ascii="times" w:hAnsi="times"/>
                <w:sz w:val="14"/>
              </w:rPr>
            </w:pPr>
            <w:r>
              <w:rPr>
                <w:rFonts w:ascii="times" w:hAnsi="times"/>
                <w:sz w:val="14"/>
              </w:rPr>
              <w:t>2,747,861</w:t>
            </w:r>
          </w:p>
        </w:tc>
        <w:tc>
          <w:tcPr>
            <w:tcW w:w="197" w:type="dxa"/>
            <w:tcBorders/>
            <w:shd w:fill="auto" w:val="clear"/>
            <w:vAlign w:val="bottom"/>
          </w:tcPr>
          <w:p>
            <w:pPr>
              <w:pStyle w:val="TableContents"/>
              <w:spacing w:before="0" w:after="283"/>
              <w:rPr/>
            </w:pPr>
            <w:r>
              <w:rPr/>
              <w:t> </w:t>
            </w:r>
          </w:p>
        </w:tc>
        <w:tc>
          <w:tcPr>
            <w:tcW w:w="104" w:type="dxa"/>
            <w:tcBorders/>
            <w:shd w:fill="auto" w:val="clear"/>
            <w:vAlign w:val="bottom"/>
          </w:tcPr>
          <w:p>
            <w:pPr>
              <w:pStyle w:val="TableContents"/>
              <w:spacing w:before="0" w:after="283"/>
              <w:rPr/>
            </w:pPr>
            <w:r>
              <w:rPr/>
              <w:t> </w:t>
            </w:r>
          </w:p>
        </w:tc>
        <w:tc>
          <w:tcPr>
            <w:tcW w:w="1066" w:type="dxa"/>
            <w:tcBorders/>
            <w:shd w:fill="auto" w:val="clear"/>
            <w:vAlign w:val="bottom"/>
          </w:tcPr>
          <w:p>
            <w:pPr>
              <w:pStyle w:val="TableContents"/>
              <w:spacing w:before="0" w:after="283"/>
              <w:jc w:val="right"/>
              <w:rPr>
                <w:rFonts w:ascii="times" w:hAnsi="times"/>
                <w:sz w:val="14"/>
              </w:rPr>
            </w:pPr>
            <w:r>
              <w:rPr>
                <w:rFonts w:ascii="times" w:hAnsi="times"/>
                <w:sz w:val="14"/>
              </w:rPr>
              <w:t>2,732,375</w:t>
            </w:r>
          </w:p>
        </w:tc>
        <w:tc>
          <w:tcPr>
            <w:tcW w:w="197" w:type="dxa"/>
            <w:tcBorders/>
            <w:shd w:fill="auto" w:val="clear"/>
            <w:vAlign w:val="bottom"/>
          </w:tcPr>
          <w:p>
            <w:pPr>
              <w:pStyle w:val="TableContents"/>
              <w:spacing w:before="0" w:after="283"/>
              <w:rPr/>
            </w:pPr>
            <w:r>
              <w:rPr/>
              <w:t> </w:t>
            </w:r>
          </w:p>
        </w:tc>
        <w:tc>
          <w:tcPr>
            <w:tcW w:w="104" w:type="dxa"/>
            <w:tcBorders/>
            <w:shd w:fill="auto" w:val="clear"/>
            <w:vAlign w:val="bottom"/>
          </w:tcPr>
          <w:p>
            <w:pPr>
              <w:pStyle w:val="TableContents"/>
              <w:spacing w:before="0" w:after="283"/>
              <w:rPr/>
            </w:pPr>
            <w:r>
              <w:rPr/>
              <w:t> </w:t>
            </w:r>
          </w:p>
        </w:tc>
        <w:tc>
          <w:tcPr>
            <w:tcW w:w="1066" w:type="dxa"/>
            <w:tcBorders/>
            <w:shd w:fill="auto" w:val="clear"/>
            <w:vAlign w:val="bottom"/>
          </w:tcPr>
          <w:p>
            <w:pPr>
              <w:pStyle w:val="TableContents"/>
              <w:spacing w:before="0" w:after="283"/>
              <w:jc w:val="right"/>
              <w:rPr>
                <w:rFonts w:ascii="times" w:hAnsi="times"/>
                <w:sz w:val="14"/>
              </w:rPr>
            </w:pPr>
            <w:r>
              <w:rPr>
                <w:rFonts w:ascii="times" w:hAnsi="times"/>
                <w:sz w:val="14"/>
              </w:rPr>
              <w:t>2,696,209</w:t>
            </w:r>
          </w:p>
        </w:tc>
        <w:tc>
          <w:tcPr>
            <w:tcW w:w="197" w:type="dxa"/>
            <w:tcBorders/>
            <w:shd w:fill="auto" w:val="clear"/>
            <w:vAlign w:val="bottom"/>
          </w:tcPr>
          <w:p>
            <w:pPr>
              <w:pStyle w:val="TableContents"/>
              <w:spacing w:before="0" w:after="283"/>
              <w:rPr/>
            </w:pPr>
            <w:r>
              <w:rPr/>
              <w:t> </w:t>
            </w:r>
          </w:p>
        </w:tc>
        <w:tc>
          <w:tcPr>
            <w:tcW w:w="104" w:type="dxa"/>
            <w:tcBorders/>
            <w:shd w:fill="auto" w:val="clear"/>
            <w:vAlign w:val="bottom"/>
          </w:tcPr>
          <w:p>
            <w:pPr>
              <w:pStyle w:val="TableContents"/>
              <w:spacing w:before="0" w:after="283"/>
              <w:rPr/>
            </w:pPr>
            <w:r>
              <w:rPr/>
              <w:t> </w:t>
            </w:r>
          </w:p>
        </w:tc>
        <w:tc>
          <w:tcPr>
            <w:tcW w:w="1066" w:type="dxa"/>
            <w:tcBorders/>
            <w:shd w:fill="auto" w:val="clear"/>
            <w:vAlign w:val="bottom"/>
          </w:tcPr>
          <w:p>
            <w:pPr>
              <w:pStyle w:val="TableContents"/>
              <w:spacing w:before="0" w:after="283"/>
              <w:jc w:val="right"/>
              <w:rPr>
                <w:rFonts w:ascii="times" w:hAnsi="times"/>
                <w:sz w:val="14"/>
              </w:rPr>
            </w:pPr>
            <w:r>
              <w:rPr>
                <w:rFonts w:ascii="times" w:hAnsi="times"/>
                <w:sz w:val="14"/>
              </w:rPr>
              <w:t>2,396,944</w:t>
            </w:r>
          </w:p>
        </w:tc>
        <w:tc>
          <w:tcPr>
            <w:tcW w:w="197" w:type="dxa"/>
            <w:tcBorders/>
            <w:shd w:fill="auto" w:val="clear"/>
            <w:vAlign w:val="bottom"/>
          </w:tcPr>
          <w:p>
            <w:pPr>
              <w:pStyle w:val="TableContents"/>
              <w:spacing w:before="0" w:after="283"/>
              <w:rPr/>
            </w:pPr>
            <w:r>
              <w:rPr/>
              <w:t> </w:t>
            </w:r>
          </w:p>
        </w:tc>
        <w:tc>
          <w:tcPr>
            <w:tcW w:w="104" w:type="dxa"/>
            <w:tcBorders/>
            <w:shd w:fill="auto" w:val="clear"/>
            <w:vAlign w:val="bottom"/>
          </w:tcPr>
          <w:p>
            <w:pPr>
              <w:pStyle w:val="TableContents"/>
              <w:spacing w:before="0" w:after="283"/>
              <w:rPr/>
            </w:pPr>
            <w:r>
              <w:rPr/>
              <w:t> </w:t>
            </w:r>
          </w:p>
        </w:tc>
        <w:tc>
          <w:tcPr>
            <w:tcW w:w="1067" w:type="dxa"/>
            <w:tcBorders/>
            <w:shd w:fill="auto" w:val="clear"/>
            <w:vAlign w:val="bottom"/>
          </w:tcPr>
          <w:p>
            <w:pPr>
              <w:pStyle w:val="TableContents"/>
              <w:spacing w:before="0" w:after="283"/>
              <w:jc w:val="right"/>
              <w:rPr>
                <w:rFonts w:ascii="times" w:hAnsi="times"/>
                <w:sz w:val="14"/>
              </w:rPr>
            </w:pPr>
            <w:r>
              <w:rPr>
                <w:rFonts w:ascii="times" w:hAnsi="times"/>
                <w:sz w:val="14"/>
              </w:rPr>
              <w:t>2,333,048</w:t>
            </w:r>
          </w:p>
        </w:tc>
        <w:tc>
          <w:tcPr>
            <w:tcW w:w="197" w:type="dxa"/>
            <w:tcBorders/>
            <w:shd w:fill="auto" w:val="clear"/>
            <w:vAlign w:val="bottom"/>
          </w:tcPr>
          <w:p>
            <w:pPr>
              <w:pStyle w:val="TableContents"/>
              <w:spacing w:before="0" w:after="283"/>
              <w:rPr/>
            </w:pPr>
            <w:r>
              <w:rPr/>
              <w:t> </w:t>
            </w:r>
          </w:p>
        </w:tc>
      </w:tr>
      <w:tr>
        <w:trPr/>
        <w:tc>
          <w:tcPr>
            <w:tcW w:w="3172" w:type="dxa"/>
            <w:tcBorders/>
            <w:shd w:fill="auto" w:val="clear"/>
            <w:vAlign w:val="bottom"/>
          </w:tcPr>
          <w:p>
            <w:pPr>
              <w:pStyle w:val="TableContents"/>
              <w:spacing w:before="0" w:after="283"/>
              <w:ind w:left="140" w:right="0" w:hanging="140"/>
              <w:rPr>
                <w:rFonts w:ascii="times" w:hAnsi="times"/>
                <w:sz w:val="14"/>
              </w:rPr>
            </w:pPr>
            <w:r>
              <w:rPr>
                <w:rFonts w:ascii="times" w:hAnsi="times"/>
                <w:sz w:val="14"/>
              </w:rPr>
              <w:t>Borrowingscurrent portion</w:t>
            </w:r>
          </w:p>
        </w:tc>
        <w:tc>
          <w:tcPr>
            <w:tcW w:w="197" w:type="dxa"/>
            <w:tcBorders/>
            <w:shd w:fill="auto" w:val="clear"/>
            <w:vAlign w:val="bottom"/>
          </w:tcPr>
          <w:p>
            <w:pPr>
              <w:pStyle w:val="TableContents"/>
              <w:spacing w:before="0" w:after="283"/>
              <w:rPr/>
            </w:pPr>
            <w:r>
              <w:rPr/>
              <w:t> </w:t>
            </w:r>
          </w:p>
        </w:tc>
        <w:tc>
          <w:tcPr>
            <w:tcW w:w="103" w:type="dxa"/>
            <w:tcBorders/>
            <w:shd w:fill="auto" w:val="clear"/>
            <w:vAlign w:val="bottom"/>
          </w:tcPr>
          <w:p>
            <w:pPr>
              <w:pStyle w:val="TableContents"/>
              <w:spacing w:before="0" w:after="283"/>
              <w:rPr/>
            </w:pPr>
            <w:r>
              <w:rPr/>
              <w:t> </w:t>
            </w:r>
          </w:p>
        </w:tc>
        <w:tc>
          <w:tcPr>
            <w:tcW w:w="1067" w:type="dxa"/>
            <w:tcBorders/>
            <w:shd w:fill="auto" w:val="clear"/>
            <w:vAlign w:val="bottom"/>
          </w:tcPr>
          <w:p>
            <w:pPr>
              <w:pStyle w:val="TableContents"/>
              <w:spacing w:before="0" w:after="283"/>
              <w:jc w:val="right"/>
              <w:rPr>
                <w:rFonts w:ascii="times" w:hAnsi="times"/>
                <w:sz w:val="14"/>
              </w:rPr>
            </w:pPr>
            <w:r>
              <w:rPr>
                <w:rFonts w:ascii="times" w:hAnsi="times"/>
                <w:sz w:val="14"/>
              </w:rPr>
              <w:t>100,281</w:t>
            </w:r>
          </w:p>
        </w:tc>
        <w:tc>
          <w:tcPr>
            <w:tcW w:w="197" w:type="dxa"/>
            <w:tcBorders/>
            <w:shd w:fill="auto" w:val="clear"/>
            <w:vAlign w:val="bottom"/>
          </w:tcPr>
          <w:p>
            <w:pPr>
              <w:pStyle w:val="TableContents"/>
              <w:spacing w:before="0" w:after="283"/>
              <w:rPr/>
            </w:pPr>
            <w:r>
              <w:rPr/>
              <w:t> </w:t>
            </w:r>
          </w:p>
        </w:tc>
        <w:tc>
          <w:tcPr>
            <w:tcW w:w="104" w:type="dxa"/>
            <w:tcBorders/>
            <w:shd w:fill="auto" w:val="clear"/>
            <w:vAlign w:val="bottom"/>
          </w:tcPr>
          <w:p>
            <w:pPr>
              <w:pStyle w:val="TableContents"/>
              <w:spacing w:before="0" w:after="283"/>
              <w:rPr/>
            </w:pPr>
            <w:r>
              <w:rPr/>
              <w:t> </w:t>
            </w:r>
          </w:p>
        </w:tc>
        <w:tc>
          <w:tcPr>
            <w:tcW w:w="1066" w:type="dxa"/>
            <w:tcBorders/>
            <w:shd w:fill="auto" w:val="clear"/>
            <w:vAlign w:val="bottom"/>
          </w:tcPr>
          <w:p>
            <w:pPr>
              <w:pStyle w:val="TableContents"/>
              <w:spacing w:before="0" w:after="283"/>
              <w:jc w:val="right"/>
              <w:rPr>
                <w:rFonts w:ascii="times" w:hAnsi="times"/>
                <w:sz w:val="14"/>
              </w:rPr>
            </w:pPr>
            <w:r>
              <w:rPr>
                <w:rFonts w:ascii="times" w:hAnsi="times"/>
                <w:sz w:val="14"/>
              </w:rPr>
              <w:t>132,102</w:t>
            </w:r>
          </w:p>
        </w:tc>
        <w:tc>
          <w:tcPr>
            <w:tcW w:w="197" w:type="dxa"/>
            <w:tcBorders/>
            <w:shd w:fill="auto" w:val="clear"/>
            <w:vAlign w:val="bottom"/>
          </w:tcPr>
          <w:p>
            <w:pPr>
              <w:pStyle w:val="TableContents"/>
              <w:spacing w:before="0" w:after="283"/>
              <w:rPr/>
            </w:pPr>
            <w:r>
              <w:rPr/>
              <w:t> </w:t>
            </w:r>
          </w:p>
        </w:tc>
        <w:tc>
          <w:tcPr>
            <w:tcW w:w="104" w:type="dxa"/>
            <w:tcBorders/>
            <w:shd w:fill="auto" w:val="clear"/>
            <w:vAlign w:val="bottom"/>
          </w:tcPr>
          <w:p>
            <w:pPr>
              <w:pStyle w:val="TableContents"/>
              <w:spacing w:before="0" w:after="283"/>
              <w:rPr/>
            </w:pPr>
            <w:r>
              <w:rPr/>
              <w:t> </w:t>
            </w:r>
          </w:p>
        </w:tc>
        <w:tc>
          <w:tcPr>
            <w:tcW w:w="1066" w:type="dxa"/>
            <w:tcBorders/>
            <w:shd w:fill="auto" w:val="clear"/>
            <w:vAlign w:val="bottom"/>
          </w:tcPr>
          <w:p>
            <w:pPr>
              <w:pStyle w:val="TableContents"/>
              <w:spacing w:before="0" w:after="283"/>
              <w:jc w:val="right"/>
              <w:rPr>
                <w:rFonts w:ascii="times" w:hAnsi="times"/>
                <w:sz w:val="14"/>
              </w:rPr>
            </w:pPr>
            <w:r>
              <w:rPr>
                <w:rFonts w:ascii="times" w:hAnsi="times"/>
                <w:sz w:val="14"/>
              </w:rPr>
              <w:t>440,389</w:t>
            </w:r>
          </w:p>
        </w:tc>
        <w:tc>
          <w:tcPr>
            <w:tcW w:w="197" w:type="dxa"/>
            <w:tcBorders/>
            <w:shd w:fill="auto" w:val="clear"/>
            <w:vAlign w:val="bottom"/>
          </w:tcPr>
          <w:p>
            <w:pPr>
              <w:pStyle w:val="TableContents"/>
              <w:spacing w:before="0" w:after="283"/>
              <w:rPr/>
            </w:pPr>
            <w:r>
              <w:rPr/>
              <w:t> </w:t>
            </w:r>
          </w:p>
        </w:tc>
        <w:tc>
          <w:tcPr>
            <w:tcW w:w="104" w:type="dxa"/>
            <w:tcBorders/>
            <w:shd w:fill="auto" w:val="clear"/>
            <w:vAlign w:val="bottom"/>
          </w:tcPr>
          <w:p>
            <w:pPr>
              <w:pStyle w:val="TableContents"/>
              <w:spacing w:before="0" w:after="283"/>
              <w:rPr/>
            </w:pPr>
            <w:r>
              <w:rPr/>
              <w:t> </w:t>
            </w:r>
          </w:p>
        </w:tc>
        <w:tc>
          <w:tcPr>
            <w:tcW w:w="1066" w:type="dxa"/>
            <w:tcBorders/>
            <w:shd w:fill="auto" w:val="clear"/>
            <w:vAlign w:val="bottom"/>
          </w:tcPr>
          <w:p>
            <w:pPr>
              <w:pStyle w:val="TableContents"/>
              <w:spacing w:before="0" w:after="283"/>
              <w:jc w:val="right"/>
              <w:rPr>
                <w:rFonts w:ascii="times" w:hAnsi="times"/>
                <w:sz w:val="14"/>
              </w:rPr>
            </w:pPr>
            <w:r>
              <w:rPr>
                <w:rFonts w:ascii="times" w:hAnsi="times"/>
                <w:sz w:val="14"/>
              </w:rPr>
              <w:t>109,822</w:t>
            </w:r>
          </w:p>
        </w:tc>
        <w:tc>
          <w:tcPr>
            <w:tcW w:w="197" w:type="dxa"/>
            <w:tcBorders/>
            <w:shd w:fill="auto" w:val="clear"/>
            <w:vAlign w:val="bottom"/>
          </w:tcPr>
          <w:p>
            <w:pPr>
              <w:pStyle w:val="TableContents"/>
              <w:spacing w:before="0" w:after="283"/>
              <w:rPr/>
            </w:pPr>
            <w:r>
              <w:rPr/>
              <w:t> </w:t>
            </w:r>
          </w:p>
        </w:tc>
        <w:tc>
          <w:tcPr>
            <w:tcW w:w="104" w:type="dxa"/>
            <w:tcBorders/>
            <w:shd w:fill="auto" w:val="clear"/>
            <w:vAlign w:val="bottom"/>
          </w:tcPr>
          <w:p>
            <w:pPr>
              <w:pStyle w:val="TableContents"/>
              <w:spacing w:before="0" w:after="283"/>
              <w:rPr/>
            </w:pPr>
            <w:r>
              <w:rPr/>
              <w:t> </w:t>
            </w:r>
          </w:p>
        </w:tc>
        <w:tc>
          <w:tcPr>
            <w:tcW w:w="1067" w:type="dxa"/>
            <w:tcBorders/>
            <w:shd w:fill="auto" w:val="clear"/>
            <w:vAlign w:val="bottom"/>
          </w:tcPr>
          <w:p>
            <w:pPr>
              <w:pStyle w:val="TableContents"/>
              <w:spacing w:before="0" w:after="283"/>
              <w:jc w:val="right"/>
              <w:rPr>
                <w:rFonts w:ascii="times" w:hAnsi="times"/>
                <w:sz w:val="14"/>
              </w:rPr>
            </w:pPr>
            <w:r>
              <w:rPr>
                <w:rFonts w:ascii="times" w:hAnsi="times"/>
                <w:sz w:val="14"/>
              </w:rPr>
              <w:t>104,908</w:t>
            </w:r>
          </w:p>
        </w:tc>
        <w:tc>
          <w:tcPr>
            <w:tcW w:w="197" w:type="dxa"/>
            <w:tcBorders/>
            <w:shd w:fill="auto" w:val="clear"/>
            <w:vAlign w:val="bottom"/>
          </w:tcPr>
          <w:p>
            <w:pPr>
              <w:pStyle w:val="TableContents"/>
              <w:spacing w:before="0" w:after="283"/>
              <w:rPr/>
            </w:pPr>
            <w:r>
              <w:rPr/>
              <w:t> </w:t>
            </w:r>
          </w:p>
        </w:tc>
      </w:tr>
      <w:tr>
        <w:trPr/>
        <w:tc>
          <w:tcPr>
            <w:tcW w:w="3172" w:type="dxa"/>
            <w:tcBorders/>
            <w:shd w:fill="auto" w:val="clear"/>
            <w:vAlign w:val="bottom"/>
          </w:tcPr>
          <w:p>
            <w:pPr>
              <w:pStyle w:val="TableContents"/>
              <w:spacing w:before="0" w:after="283"/>
              <w:ind w:left="140" w:right="0" w:hanging="140"/>
              <w:rPr>
                <w:rFonts w:ascii="times" w:hAnsi="times"/>
                <w:sz w:val="14"/>
              </w:rPr>
            </w:pPr>
            <w:r>
              <w:rPr>
                <w:rFonts w:ascii="times" w:hAnsi="times"/>
                <w:sz w:val="14"/>
              </w:rPr>
              <w:t>Borrowingsnon-current portion</w:t>
            </w:r>
          </w:p>
        </w:tc>
        <w:tc>
          <w:tcPr>
            <w:tcW w:w="197" w:type="dxa"/>
            <w:tcBorders/>
            <w:shd w:fill="auto" w:val="clear"/>
            <w:vAlign w:val="bottom"/>
          </w:tcPr>
          <w:p>
            <w:pPr>
              <w:pStyle w:val="TableContents"/>
              <w:spacing w:before="0" w:after="283"/>
              <w:rPr/>
            </w:pPr>
            <w:r>
              <w:rPr/>
              <w:t> </w:t>
            </w:r>
          </w:p>
        </w:tc>
        <w:tc>
          <w:tcPr>
            <w:tcW w:w="103" w:type="dxa"/>
            <w:tcBorders/>
            <w:shd w:fill="auto" w:val="clear"/>
            <w:vAlign w:val="bottom"/>
          </w:tcPr>
          <w:p>
            <w:pPr>
              <w:pStyle w:val="TableContents"/>
              <w:spacing w:before="0" w:after="283"/>
              <w:rPr/>
            </w:pPr>
            <w:r>
              <w:rPr/>
              <w:t> </w:t>
            </w:r>
          </w:p>
        </w:tc>
        <w:tc>
          <w:tcPr>
            <w:tcW w:w="1067" w:type="dxa"/>
            <w:tcBorders/>
            <w:shd w:fill="auto" w:val="clear"/>
            <w:vAlign w:val="bottom"/>
          </w:tcPr>
          <w:p>
            <w:pPr>
              <w:pStyle w:val="TableContents"/>
              <w:spacing w:before="0" w:after="283"/>
              <w:jc w:val="right"/>
              <w:rPr>
                <w:rFonts w:ascii="times" w:hAnsi="times"/>
                <w:sz w:val="14"/>
              </w:rPr>
            </w:pPr>
            <w:r>
              <w:rPr>
                <w:rFonts w:ascii="times" w:hAnsi="times"/>
                <w:sz w:val="14"/>
              </w:rPr>
              <w:t>1,616,219</w:t>
            </w:r>
          </w:p>
        </w:tc>
        <w:tc>
          <w:tcPr>
            <w:tcW w:w="197" w:type="dxa"/>
            <w:tcBorders/>
            <w:shd w:fill="auto" w:val="clear"/>
            <w:vAlign w:val="bottom"/>
          </w:tcPr>
          <w:p>
            <w:pPr>
              <w:pStyle w:val="TableContents"/>
              <w:spacing w:before="0" w:after="283"/>
              <w:rPr/>
            </w:pPr>
            <w:r>
              <w:rPr/>
              <w:t> </w:t>
            </w:r>
          </w:p>
        </w:tc>
        <w:tc>
          <w:tcPr>
            <w:tcW w:w="104" w:type="dxa"/>
            <w:tcBorders/>
            <w:shd w:fill="auto" w:val="clear"/>
            <w:vAlign w:val="bottom"/>
          </w:tcPr>
          <w:p>
            <w:pPr>
              <w:pStyle w:val="TableContents"/>
              <w:spacing w:before="0" w:after="283"/>
              <w:rPr/>
            </w:pPr>
            <w:r>
              <w:rPr/>
              <w:t> </w:t>
            </w:r>
          </w:p>
        </w:tc>
        <w:tc>
          <w:tcPr>
            <w:tcW w:w="1066" w:type="dxa"/>
            <w:tcBorders/>
            <w:shd w:fill="auto" w:val="clear"/>
            <w:vAlign w:val="bottom"/>
          </w:tcPr>
          <w:p>
            <w:pPr>
              <w:pStyle w:val="TableContents"/>
              <w:spacing w:before="0" w:after="283"/>
              <w:jc w:val="right"/>
              <w:rPr>
                <w:rFonts w:ascii="times" w:hAnsi="times"/>
                <w:sz w:val="14"/>
              </w:rPr>
            </w:pPr>
            <w:r>
              <w:rPr>
                <w:rFonts w:ascii="times" w:hAnsi="times"/>
                <w:sz w:val="14"/>
              </w:rPr>
              <w:t>1,409,734</w:t>
            </w:r>
          </w:p>
        </w:tc>
        <w:tc>
          <w:tcPr>
            <w:tcW w:w="197" w:type="dxa"/>
            <w:tcBorders/>
            <w:shd w:fill="auto" w:val="clear"/>
            <w:vAlign w:val="bottom"/>
          </w:tcPr>
          <w:p>
            <w:pPr>
              <w:pStyle w:val="TableContents"/>
              <w:spacing w:before="0" w:after="283"/>
              <w:rPr/>
            </w:pPr>
            <w:r>
              <w:rPr/>
              <w:t> </w:t>
            </w:r>
          </w:p>
        </w:tc>
        <w:tc>
          <w:tcPr>
            <w:tcW w:w="104" w:type="dxa"/>
            <w:tcBorders/>
            <w:shd w:fill="auto" w:val="clear"/>
            <w:vAlign w:val="bottom"/>
          </w:tcPr>
          <w:p>
            <w:pPr>
              <w:pStyle w:val="TableContents"/>
              <w:spacing w:before="0" w:after="283"/>
              <w:rPr/>
            </w:pPr>
            <w:r>
              <w:rPr/>
              <w:t> </w:t>
            </w:r>
          </w:p>
        </w:tc>
        <w:tc>
          <w:tcPr>
            <w:tcW w:w="1066" w:type="dxa"/>
            <w:tcBorders/>
            <w:shd w:fill="auto" w:val="clear"/>
            <w:vAlign w:val="bottom"/>
          </w:tcPr>
          <w:p>
            <w:pPr>
              <w:pStyle w:val="TableContents"/>
              <w:spacing w:before="0" w:after="283"/>
              <w:jc w:val="right"/>
              <w:rPr>
                <w:rFonts w:ascii="times" w:hAnsi="times"/>
                <w:sz w:val="14"/>
              </w:rPr>
            </w:pPr>
            <w:r>
              <w:rPr>
                <w:rFonts w:ascii="times" w:hAnsi="times"/>
                <w:sz w:val="14"/>
              </w:rPr>
              <w:t>925,411</w:t>
            </w:r>
          </w:p>
        </w:tc>
        <w:tc>
          <w:tcPr>
            <w:tcW w:w="197" w:type="dxa"/>
            <w:tcBorders/>
            <w:shd w:fill="auto" w:val="clear"/>
            <w:vAlign w:val="bottom"/>
          </w:tcPr>
          <w:p>
            <w:pPr>
              <w:pStyle w:val="TableContents"/>
              <w:spacing w:before="0" w:after="283"/>
              <w:rPr/>
            </w:pPr>
            <w:r>
              <w:rPr/>
              <w:t> </w:t>
            </w:r>
          </w:p>
        </w:tc>
        <w:tc>
          <w:tcPr>
            <w:tcW w:w="104" w:type="dxa"/>
            <w:tcBorders/>
            <w:shd w:fill="auto" w:val="clear"/>
            <w:vAlign w:val="bottom"/>
          </w:tcPr>
          <w:p>
            <w:pPr>
              <w:pStyle w:val="TableContents"/>
              <w:spacing w:before="0" w:after="283"/>
              <w:rPr/>
            </w:pPr>
            <w:r>
              <w:rPr/>
              <w:t> </w:t>
            </w:r>
          </w:p>
        </w:tc>
        <w:tc>
          <w:tcPr>
            <w:tcW w:w="1066" w:type="dxa"/>
            <w:tcBorders/>
            <w:shd w:fill="auto" w:val="clear"/>
            <w:vAlign w:val="bottom"/>
          </w:tcPr>
          <w:p>
            <w:pPr>
              <w:pStyle w:val="TableContents"/>
              <w:spacing w:before="0" w:after="283"/>
              <w:jc w:val="right"/>
              <w:rPr>
                <w:rFonts w:ascii="times" w:hAnsi="times"/>
                <w:sz w:val="14"/>
              </w:rPr>
            </w:pPr>
            <w:r>
              <w:rPr>
                <w:rFonts w:ascii="times" w:hAnsi="times"/>
                <w:sz w:val="14"/>
              </w:rPr>
              <w:t>1,236,202</w:t>
            </w:r>
          </w:p>
        </w:tc>
        <w:tc>
          <w:tcPr>
            <w:tcW w:w="197" w:type="dxa"/>
            <w:tcBorders/>
            <w:shd w:fill="auto" w:val="clear"/>
            <w:vAlign w:val="bottom"/>
          </w:tcPr>
          <w:p>
            <w:pPr>
              <w:pStyle w:val="TableContents"/>
              <w:spacing w:before="0" w:after="283"/>
              <w:rPr/>
            </w:pPr>
            <w:r>
              <w:rPr/>
              <w:t> </w:t>
            </w:r>
          </w:p>
        </w:tc>
        <w:tc>
          <w:tcPr>
            <w:tcW w:w="104" w:type="dxa"/>
            <w:tcBorders/>
            <w:shd w:fill="auto" w:val="clear"/>
            <w:vAlign w:val="bottom"/>
          </w:tcPr>
          <w:p>
            <w:pPr>
              <w:pStyle w:val="TableContents"/>
              <w:spacing w:before="0" w:after="283"/>
              <w:rPr/>
            </w:pPr>
            <w:r>
              <w:rPr/>
              <w:t> </w:t>
            </w:r>
          </w:p>
        </w:tc>
        <w:tc>
          <w:tcPr>
            <w:tcW w:w="1067" w:type="dxa"/>
            <w:tcBorders/>
            <w:shd w:fill="auto" w:val="clear"/>
            <w:vAlign w:val="bottom"/>
          </w:tcPr>
          <w:p>
            <w:pPr>
              <w:pStyle w:val="TableContents"/>
              <w:spacing w:before="0" w:after="283"/>
              <w:jc w:val="right"/>
              <w:rPr>
                <w:rFonts w:ascii="times" w:hAnsi="times"/>
                <w:sz w:val="14"/>
              </w:rPr>
            </w:pPr>
            <w:r>
              <w:rPr>
                <w:rFonts w:ascii="times" w:hAnsi="times"/>
                <w:sz w:val="14"/>
              </w:rPr>
              <w:t>1,180,635</w:t>
            </w:r>
          </w:p>
        </w:tc>
        <w:tc>
          <w:tcPr>
            <w:tcW w:w="197" w:type="dxa"/>
            <w:tcBorders/>
            <w:shd w:fill="auto" w:val="clear"/>
            <w:vAlign w:val="bottom"/>
          </w:tcPr>
          <w:p>
            <w:pPr>
              <w:pStyle w:val="TableContents"/>
              <w:spacing w:before="0" w:after="283"/>
              <w:rPr/>
            </w:pPr>
            <w:r>
              <w:rPr/>
              <w:t> </w:t>
            </w:r>
          </w:p>
        </w:tc>
      </w:tr>
      <w:tr>
        <w:trPr/>
        <w:tc>
          <w:tcPr>
            <w:tcW w:w="3172" w:type="dxa"/>
            <w:tcBorders/>
            <w:shd w:fill="auto" w:val="clear"/>
            <w:vAlign w:val="bottom"/>
          </w:tcPr>
          <w:p>
            <w:pPr>
              <w:pStyle w:val="TableContents"/>
              <w:spacing w:before="0" w:after="283"/>
              <w:ind w:left="140" w:right="0" w:hanging="140"/>
              <w:rPr>
                <w:rFonts w:ascii="times" w:hAnsi="times"/>
                <w:sz w:val="14"/>
              </w:rPr>
            </w:pPr>
            <w:r>
              <w:rPr>
                <w:rFonts w:ascii="times" w:hAnsi="times"/>
                <w:sz w:val="14"/>
              </w:rPr>
              <w:t>Total owners'/partners' equity</w:t>
            </w:r>
          </w:p>
        </w:tc>
        <w:tc>
          <w:tcPr>
            <w:tcW w:w="197" w:type="dxa"/>
            <w:tcBorders/>
            <w:shd w:fill="auto" w:val="clear"/>
            <w:vAlign w:val="bottom"/>
          </w:tcPr>
          <w:p>
            <w:pPr>
              <w:pStyle w:val="TableContents"/>
              <w:spacing w:before="0" w:after="283"/>
              <w:rPr/>
            </w:pPr>
            <w:r>
              <w:rPr/>
              <w:t> </w:t>
            </w:r>
          </w:p>
        </w:tc>
        <w:tc>
          <w:tcPr>
            <w:tcW w:w="103" w:type="dxa"/>
            <w:tcBorders/>
            <w:shd w:fill="auto" w:val="clear"/>
            <w:vAlign w:val="bottom"/>
          </w:tcPr>
          <w:p>
            <w:pPr>
              <w:pStyle w:val="TableContents"/>
              <w:spacing w:before="0" w:after="283"/>
              <w:rPr/>
            </w:pPr>
            <w:r>
              <w:rPr/>
              <w:t> </w:t>
            </w:r>
          </w:p>
        </w:tc>
        <w:tc>
          <w:tcPr>
            <w:tcW w:w="1067" w:type="dxa"/>
            <w:tcBorders/>
            <w:shd w:fill="auto" w:val="clear"/>
            <w:vAlign w:val="bottom"/>
          </w:tcPr>
          <w:p>
            <w:pPr>
              <w:pStyle w:val="TableContents"/>
              <w:spacing w:before="0" w:after="283"/>
              <w:jc w:val="right"/>
              <w:rPr>
                <w:rFonts w:ascii="times" w:hAnsi="times"/>
                <w:sz w:val="14"/>
              </w:rPr>
            </w:pPr>
            <w:r>
              <w:rPr>
                <w:rFonts w:ascii="times" w:hAnsi="times"/>
                <w:sz w:val="14"/>
              </w:rPr>
              <w:t>966,928</w:t>
            </w:r>
          </w:p>
        </w:tc>
        <w:tc>
          <w:tcPr>
            <w:tcW w:w="197" w:type="dxa"/>
            <w:tcBorders/>
            <w:shd w:fill="auto" w:val="clear"/>
            <w:vAlign w:val="bottom"/>
          </w:tcPr>
          <w:p>
            <w:pPr>
              <w:pStyle w:val="TableContents"/>
              <w:spacing w:before="0" w:after="283"/>
              <w:rPr/>
            </w:pPr>
            <w:r>
              <w:rPr/>
              <w:t> </w:t>
            </w:r>
          </w:p>
        </w:tc>
        <w:tc>
          <w:tcPr>
            <w:tcW w:w="104" w:type="dxa"/>
            <w:tcBorders/>
            <w:shd w:fill="auto" w:val="clear"/>
            <w:vAlign w:val="bottom"/>
          </w:tcPr>
          <w:p>
            <w:pPr>
              <w:pStyle w:val="TableContents"/>
              <w:spacing w:before="0" w:after="283"/>
              <w:rPr/>
            </w:pPr>
            <w:r>
              <w:rPr/>
              <w:t> </w:t>
            </w:r>
          </w:p>
        </w:tc>
        <w:tc>
          <w:tcPr>
            <w:tcW w:w="1066" w:type="dxa"/>
            <w:tcBorders/>
            <w:shd w:fill="auto" w:val="clear"/>
            <w:vAlign w:val="bottom"/>
          </w:tcPr>
          <w:p>
            <w:pPr>
              <w:pStyle w:val="TableContents"/>
              <w:spacing w:before="0" w:after="283"/>
              <w:jc w:val="right"/>
              <w:rPr>
                <w:rFonts w:ascii="times" w:hAnsi="times"/>
                <w:sz w:val="14"/>
              </w:rPr>
            </w:pPr>
            <w:r>
              <w:rPr>
                <w:rFonts w:ascii="times" w:hAnsi="times"/>
                <w:sz w:val="14"/>
              </w:rPr>
              <w:t>1,126,309</w:t>
            </w:r>
          </w:p>
        </w:tc>
        <w:tc>
          <w:tcPr>
            <w:tcW w:w="197" w:type="dxa"/>
            <w:tcBorders/>
            <w:shd w:fill="auto" w:val="clear"/>
            <w:vAlign w:val="bottom"/>
          </w:tcPr>
          <w:p>
            <w:pPr>
              <w:pStyle w:val="TableContents"/>
              <w:spacing w:before="0" w:after="283"/>
              <w:rPr/>
            </w:pPr>
            <w:r>
              <w:rPr/>
              <w:t> </w:t>
            </w:r>
          </w:p>
        </w:tc>
        <w:tc>
          <w:tcPr>
            <w:tcW w:w="104" w:type="dxa"/>
            <w:tcBorders/>
            <w:shd w:fill="auto" w:val="clear"/>
            <w:vAlign w:val="bottom"/>
          </w:tcPr>
          <w:p>
            <w:pPr>
              <w:pStyle w:val="TableContents"/>
              <w:spacing w:before="0" w:after="283"/>
              <w:rPr/>
            </w:pPr>
            <w:r>
              <w:rPr/>
              <w:t> </w:t>
            </w:r>
          </w:p>
        </w:tc>
        <w:tc>
          <w:tcPr>
            <w:tcW w:w="1066" w:type="dxa"/>
            <w:tcBorders/>
            <w:shd w:fill="auto" w:val="clear"/>
            <w:vAlign w:val="bottom"/>
          </w:tcPr>
          <w:p>
            <w:pPr>
              <w:pStyle w:val="TableContents"/>
              <w:spacing w:before="0" w:after="283"/>
              <w:jc w:val="right"/>
              <w:rPr>
                <w:rFonts w:ascii="times" w:hAnsi="times"/>
                <w:sz w:val="14"/>
              </w:rPr>
            </w:pPr>
            <w:r>
              <w:rPr>
                <w:rFonts w:ascii="times" w:hAnsi="times"/>
                <w:sz w:val="14"/>
              </w:rPr>
              <w:t>1,252,793</w:t>
            </w:r>
          </w:p>
        </w:tc>
        <w:tc>
          <w:tcPr>
            <w:tcW w:w="197" w:type="dxa"/>
            <w:tcBorders/>
            <w:shd w:fill="auto" w:val="clear"/>
            <w:vAlign w:val="bottom"/>
          </w:tcPr>
          <w:p>
            <w:pPr>
              <w:pStyle w:val="TableContents"/>
              <w:spacing w:before="0" w:after="283"/>
              <w:rPr/>
            </w:pPr>
            <w:r>
              <w:rPr/>
              <w:t> </w:t>
            </w:r>
          </w:p>
        </w:tc>
        <w:tc>
          <w:tcPr>
            <w:tcW w:w="104" w:type="dxa"/>
            <w:tcBorders/>
            <w:shd w:fill="auto" w:val="clear"/>
            <w:vAlign w:val="bottom"/>
          </w:tcPr>
          <w:p>
            <w:pPr>
              <w:pStyle w:val="TableContents"/>
              <w:spacing w:before="0" w:after="283"/>
              <w:rPr/>
            </w:pPr>
            <w:r>
              <w:rPr/>
              <w:t> </w:t>
            </w:r>
          </w:p>
        </w:tc>
        <w:tc>
          <w:tcPr>
            <w:tcW w:w="1066" w:type="dxa"/>
            <w:tcBorders/>
            <w:shd w:fill="auto" w:val="clear"/>
            <w:vAlign w:val="bottom"/>
          </w:tcPr>
          <w:p>
            <w:pPr>
              <w:pStyle w:val="TableContents"/>
              <w:spacing w:before="0" w:after="283"/>
              <w:jc w:val="right"/>
              <w:rPr>
                <w:rFonts w:ascii="times" w:hAnsi="times"/>
                <w:sz w:val="14"/>
              </w:rPr>
            </w:pPr>
            <w:r>
              <w:rPr>
                <w:rFonts w:ascii="times" w:hAnsi="times"/>
                <w:sz w:val="14"/>
              </w:rPr>
              <w:t>965,971</w:t>
            </w:r>
          </w:p>
        </w:tc>
        <w:tc>
          <w:tcPr>
            <w:tcW w:w="197" w:type="dxa"/>
            <w:tcBorders/>
            <w:shd w:fill="auto" w:val="clear"/>
            <w:vAlign w:val="bottom"/>
          </w:tcPr>
          <w:p>
            <w:pPr>
              <w:pStyle w:val="TableContents"/>
              <w:spacing w:before="0" w:after="283"/>
              <w:rPr/>
            </w:pPr>
            <w:r>
              <w:rPr/>
              <w:t> </w:t>
            </w:r>
          </w:p>
        </w:tc>
        <w:tc>
          <w:tcPr>
            <w:tcW w:w="104" w:type="dxa"/>
            <w:tcBorders/>
            <w:shd w:fill="auto" w:val="clear"/>
            <w:vAlign w:val="bottom"/>
          </w:tcPr>
          <w:p>
            <w:pPr>
              <w:pStyle w:val="TableContents"/>
              <w:spacing w:before="0" w:after="283"/>
              <w:rPr/>
            </w:pPr>
            <w:r>
              <w:rPr/>
              <w:t> </w:t>
            </w:r>
          </w:p>
        </w:tc>
        <w:tc>
          <w:tcPr>
            <w:tcW w:w="1067" w:type="dxa"/>
            <w:tcBorders/>
            <w:shd w:fill="auto" w:val="clear"/>
            <w:vAlign w:val="bottom"/>
          </w:tcPr>
          <w:p>
            <w:pPr>
              <w:pStyle w:val="TableContents"/>
              <w:spacing w:before="0" w:after="283"/>
              <w:jc w:val="right"/>
              <w:rPr>
                <w:rFonts w:ascii="times" w:hAnsi="times"/>
                <w:sz w:val="14"/>
              </w:rPr>
            </w:pPr>
            <w:r>
              <w:rPr>
                <w:rFonts w:ascii="times" w:hAnsi="times"/>
                <w:sz w:val="14"/>
              </w:rPr>
              <w:t>953,818</w:t>
            </w:r>
          </w:p>
        </w:tc>
        <w:tc>
          <w:tcPr>
            <w:tcW w:w="197" w:type="dxa"/>
            <w:tcBorders/>
            <w:shd w:fill="auto" w:val="clear"/>
            <w:vAlign w:val="bottom"/>
          </w:tcPr>
          <w:p>
            <w:pPr>
              <w:pStyle w:val="TableContents"/>
              <w:spacing w:before="0" w:after="283"/>
              <w:rPr/>
            </w:pPr>
            <w:r>
              <w:rPr/>
              <w:t> </w:t>
            </w:r>
          </w:p>
        </w:tc>
      </w:tr>
    </w:tbl>
    <w:p>
      <w:pPr>
        <w:pStyle w:val="TextBody"/>
        <w:rPr>
          <w:bdr w:val="single" w:sz="8" w:space="12" w:color="000000"/>
        </w:rPr>
      </w:pPr>
      <w:r>
        <w:rPr>
          <w:bdr w:val="single" w:sz="8" w:space="12" w:color="000000"/>
        </w:rPr>
        <w:t> </w:t>
      </w:r>
    </w:p>
    <w:tbl>
      <w:tblPr>
        <w:tblW w:w="5000" w:type="pct"/>
        <w:jc w:val="center"/>
        <w:tblInd w:w="0" w:type="dxa"/>
        <w:tblCellMar>
          <w:top w:w="0" w:type="dxa"/>
          <w:left w:w="0" w:type="dxa"/>
          <w:bottom w:w="0" w:type="dxa"/>
          <w:right w:w="0" w:type="dxa"/>
        </w:tblCellMar>
      </w:tblPr>
      <w:tblGrid>
        <w:gridCol w:w="3205"/>
        <w:gridCol w:w="196"/>
        <w:gridCol w:w="104"/>
        <w:gridCol w:w="1061"/>
        <w:gridCol w:w="196"/>
        <w:gridCol w:w="103"/>
        <w:gridCol w:w="1062"/>
        <w:gridCol w:w="196"/>
        <w:gridCol w:w="103"/>
        <w:gridCol w:w="1061"/>
        <w:gridCol w:w="196"/>
        <w:gridCol w:w="104"/>
        <w:gridCol w:w="1061"/>
        <w:gridCol w:w="196"/>
        <w:gridCol w:w="103"/>
        <w:gridCol w:w="1062"/>
        <w:gridCol w:w="196"/>
      </w:tblGrid>
      <w:tr>
        <w:trPr/>
        <w:tc>
          <w:tcPr>
            <w:tcW w:w="3205"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104" w:type="dxa"/>
            <w:tcBorders/>
            <w:shd w:fill="auto" w:val="clear"/>
            <w:vAlign w:val="center"/>
          </w:tcPr>
          <w:p>
            <w:pPr>
              <w:pStyle w:val="TableContents"/>
              <w:spacing w:before="0" w:after="283"/>
              <w:rPr>
                <w:sz w:val="4"/>
                <w:szCs w:val="4"/>
              </w:rPr>
            </w:pPr>
            <w:r>
              <w:rPr>
                <w:sz w:val="4"/>
                <w:szCs w:val="4"/>
              </w:rPr>
            </w:r>
          </w:p>
        </w:tc>
        <w:tc>
          <w:tcPr>
            <w:tcW w:w="1061"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103" w:type="dxa"/>
            <w:tcBorders/>
            <w:shd w:fill="auto" w:val="clear"/>
            <w:vAlign w:val="center"/>
          </w:tcPr>
          <w:p>
            <w:pPr>
              <w:pStyle w:val="TableContents"/>
              <w:spacing w:before="0" w:after="283"/>
              <w:rPr>
                <w:sz w:val="4"/>
                <w:szCs w:val="4"/>
              </w:rPr>
            </w:pPr>
            <w:r>
              <w:rPr>
                <w:sz w:val="4"/>
                <w:szCs w:val="4"/>
              </w:rPr>
            </w:r>
          </w:p>
        </w:tc>
        <w:tc>
          <w:tcPr>
            <w:tcW w:w="1062"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103" w:type="dxa"/>
            <w:tcBorders/>
            <w:shd w:fill="auto" w:val="clear"/>
            <w:vAlign w:val="center"/>
          </w:tcPr>
          <w:p>
            <w:pPr>
              <w:pStyle w:val="TableContents"/>
              <w:spacing w:before="0" w:after="283"/>
              <w:rPr>
                <w:sz w:val="4"/>
                <w:szCs w:val="4"/>
              </w:rPr>
            </w:pPr>
            <w:r>
              <w:rPr>
                <w:sz w:val="4"/>
                <w:szCs w:val="4"/>
              </w:rPr>
            </w:r>
          </w:p>
        </w:tc>
        <w:tc>
          <w:tcPr>
            <w:tcW w:w="1061"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104" w:type="dxa"/>
            <w:tcBorders/>
            <w:shd w:fill="auto" w:val="clear"/>
            <w:vAlign w:val="center"/>
          </w:tcPr>
          <w:p>
            <w:pPr>
              <w:pStyle w:val="TableContents"/>
              <w:spacing w:before="0" w:after="283"/>
              <w:rPr>
                <w:sz w:val="4"/>
                <w:szCs w:val="4"/>
              </w:rPr>
            </w:pPr>
            <w:r>
              <w:rPr>
                <w:sz w:val="4"/>
                <w:szCs w:val="4"/>
              </w:rPr>
            </w:r>
          </w:p>
        </w:tc>
        <w:tc>
          <w:tcPr>
            <w:tcW w:w="1061"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103" w:type="dxa"/>
            <w:tcBorders/>
            <w:shd w:fill="auto" w:val="clear"/>
            <w:vAlign w:val="center"/>
          </w:tcPr>
          <w:p>
            <w:pPr>
              <w:pStyle w:val="TableContents"/>
              <w:spacing w:before="0" w:after="283"/>
              <w:rPr>
                <w:sz w:val="4"/>
                <w:szCs w:val="4"/>
              </w:rPr>
            </w:pPr>
            <w:r>
              <w:rPr>
                <w:sz w:val="4"/>
                <w:szCs w:val="4"/>
              </w:rPr>
            </w:r>
          </w:p>
        </w:tc>
        <w:tc>
          <w:tcPr>
            <w:tcW w:w="1062"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r>
      <w:tr>
        <w:trPr/>
        <w:tc>
          <w:tcPr>
            <w:tcW w:w="3205" w:type="dxa"/>
            <w:tcBorders/>
            <w:shd w:fill="auto" w:val="clear"/>
            <w:vAlign w:val="bottom"/>
          </w:tcPr>
          <w:p>
            <w:pPr>
              <w:pStyle w:val="TableHeading"/>
              <w:spacing w:before="0" w:after="283"/>
              <w:jc w:val="left"/>
              <w:rPr/>
            </w:pPr>
            <w:r>
              <w:rPr/>
              <w:t> </w:t>
            </w:r>
          </w:p>
        </w:tc>
        <w:tc>
          <w:tcPr>
            <w:tcW w:w="196" w:type="dxa"/>
            <w:tcBorders/>
            <w:shd w:fill="auto" w:val="clear"/>
            <w:vAlign w:val="bottom"/>
          </w:tcPr>
          <w:p>
            <w:pPr>
              <w:pStyle w:val="TableHeading"/>
              <w:suppressLineNumbers/>
              <w:spacing w:before="0" w:after="283"/>
              <w:jc w:val="center"/>
              <w:rPr/>
            </w:pPr>
            <w:r>
              <w:rPr/>
              <w:t> </w:t>
            </w:r>
          </w:p>
        </w:tc>
        <w:tc>
          <w:tcPr>
            <w:tcW w:w="6608" w:type="dxa"/>
            <w:gridSpan w:val="14"/>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Year Ended December 31, </w:t>
            </w:r>
          </w:p>
        </w:tc>
        <w:tc>
          <w:tcPr>
            <w:tcW w:w="196" w:type="dxa"/>
            <w:tcBorders/>
            <w:shd w:fill="auto" w:val="clear"/>
            <w:vAlign w:val="bottom"/>
          </w:tcPr>
          <w:p>
            <w:pPr>
              <w:pStyle w:val="TableHeading"/>
              <w:suppressLineNumbers/>
              <w:spacing w:before="0" w:after="283"/>
              <w:jc w:val="center"/>
              <w:rPr/>
            </w:pPr>
            <w:r>
              <w:rPr/>
              <w:t> </w:t>
            </w:r>
          </w:p>
        </w:tc>
      </w:tr>
      <w:tr>
        <w:trPr/>
        <w:tc>
          <w:tcPr>
            <w:tcW w:w="3205" w:type="dxa"/>
            <w:tcBorders/>
            <w:shd w:fill="auto" w:val="clear"/>
            <w:vAlign w:val="bottom"/>
          </w:tcPr>
          <w:p>
            <w:pPr>
              <w:pStyle w:val="TableHeading"/>
              <w:spacing w:before="0" w:after="283"/>
              <w:jc w:val="left"/>
              <w:rPr/>
            </w:pPr>
            <w:r>
              <w:rPr/>
              <w:t> </w:t>
            </w:r>
          </w:p>
        </w:tc>
        <w:tc>
          <w:tcPr>
            <w:tcW w:w="196" w:type="dxa"/>
            <w:tcBorders/>
            <w:shd w:fill="auto" w:val="clear"/>
            <w:vAlign w:val="bottom"/>
          </w:tcPr>
          <w:p>
            <w:pPr>
              <w:pStyle w:val="TableHeading"/>
              <w:suppressLineNumbers/>
              <w:spacing w:before="0" w:after="283"/>
              <w:jc w:val="center"/>
              <w:rPr/>
            </w:pPr>
            <w:r>
              <w:rPr/>
              <w:t> </w:t>
            </w:r>
          </w:p>
        </w:tc>
        <w:tc>
          <w:tcPr>
            <w:tcW w:w="1165" w:type="dxa"/>
            <w:gridSpan w:val="2"/>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2016 </w:t>
            </w:r>
          </w:p>
        </w:tc>
        <w:tc>
          <w:tcPr>
            <w:tcW w:w="196" w:type="dxa"/>
            <w:tcBorders/>
            <w:shd w:fill="auto" w:val="clear"/>
            <w:vAlign w:val="bottom"/>
          </w:tcPr>
          <w:p>
            <w:pPr>
              <w:pStyle w:val="TableHeading"/>
              <w:suppressLineNumbers/>
              <w:spacing w:before="0" w:after="283"/>
              <w:jc w:val="center"/>
              <w:rPr/>
            </w:pPr>
            <w:r>
              <w:rPr/>
              <w:t> </w:t>
            </w:r>
          </w:p>
        </w:tc>
        <w:tc>
          <w:tcPr>
            <w:tcW w:w="1165" w:type="dxa"/>
            <w:gridSpan w:val="2"/>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2017 </w:t>
            </w:r>
          </w:p>
        </w:tc>
        <w:tc>
          <w:tcPr>
            <w:tcW w:w="196" w:type="dxa"/>
            <w:tcBorders/>
            <w:shd w:fill="auto" w:val="clear"/>
            <w:vAlign w:val="bottom"/>
          </w:tcPr>
          <w:p>
            <w:pPr>
              <w:pStyle w:val="TableHeading"/>
              <w:suppressLineNumbers/>
              <w:spacing w:before="0" w:after="283"/>
              <w:jc w:val="center"/>
              <w:rPr/>
            </w:pPr>
            <w:r>
              <w:rPr/>
              <w:t> </w:t>
            </w:r>
          </w:p>
        </w:tc>
        <w:tc>
          <w:tcPr>
            <w:tcW w:w="1164" w:type="dxa"/>
            <w:gridSpan w:val="2"/>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2018 </w:t>
            </w:r>
          </w:p>
        </w:tc>
        <w:tc>
          <w:tcPr>
            <w:tcW w:w="196" w:type="dxa"/>
            <w:tcBorders/>
            <w:shd w:fill="auto" w:val="clear"/>
            <w:vAlign w:val="bottom"/>
          </w:tcPr>
          <w:p>
            <w:pPr>
              <w:pStyle w:val="TableHeading"/>
              <w:suppressLineNumbers/>
              <w:spacing w:before="0" w:after="283"/>
              <w:jc w:val="center"/>
              <w:rPr/>
            </w:pPr>
            <w:r>
              <w:rPr/>
              <w:t> </w:t>
            </w:r>
          </w:p>
        </w:tc>
        <w:tc>
          <w:tcPr>
            <w:tcW w:w="1165" w:type="dxa"/>
            <w:gridSpan w:val="2"/>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2019 </w:t>
            </w:r>
          </w:p>
        </w:tc>
        <w:tc>
          <w:tcPr>
            <w:tcW w:w="196" w:type="dxa"/>
            <w:tcBorders/>
            <w:shd w:fill="auto" w:val="clear"/>
            <w:vAlign w:val="bottom"/>
          </w:tcPr>
          <w:p>
            <w:pPr>
              <w:pStyle w:val="TableHeading"/>
              <w:suppressLineNumbers/>
              <w:spacing w:before="0" w:after="283"/>
              <w:jc w:val="center"/>
              <w:rPr/>
            </w:pPr>
            <w:r>
              <w:rPr/>
              <w:t> </w:t>
            </w:r>
          </w:p>
        </w:tc>
        <w:tc>
          <w:tcPr>
            <w:tcW w:w="1165" w:type="dxa"/>
            <w:gridSpan w:val="2"/>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2020 </w:t>
            </w:r>
          </w:p>
        </w:tc>
        <w:tc>
          <w:tcPr>
            <w:tcW w:w="196" w:type="dxa"/>
            <w:tcBorders/>
            <w:shd w:fill="auto" w:val="clear"/>
            <w:vAlign w:val="bottom"/>
          </w:tcPr>
          <w:p>
            <w:pPr>
              <w:pStyle w:val="TableHeading"/>
              <w:suppressLineNumbers/>
              <w:spacing w:before="0" w:after="283"/>
              <w:jc w:val="center"/>
              <w:rPr/>
            </w:pPr>
            <w:r>
              <w:rPr/>
              <w:t> </w:t>
            </w:r>
          </w:p>
        </w:tc>
      </w:tr>
      <w:tr>
        <w:trPr/>
        <w:tc>
          <w:tcPr>
            <w:tcW w:w="3205" w:type="dxa"/>
            <w:tcBorders/>
            <w:shd w:fill="auto" w:val="clear"/>
            <w:vAlign w:val="bottom"/>
          </w:tcPr>
          <w:p>
            <w:pPr>
              <w:pStyle w:val="TableHeading"/>
              <w:spacing w:before="0" w:after="283"/>
              <w:jc w:val="left"/>
              <w:rPr/>
            </w:pPr>
            <w:r>
              <w:rPr/>
              <w:t> </w:t>
            </w:r>
          </w:p>
        </w:tc>
        <w:tc>
          <w:tcPr>
            <w:tcW w:w="196" w:type="dxa"/>
            <w:tcBorders/>
            <w:shd w:fill="auto" w:val="clear"/>
            <w:vAlign w:val="bottom"/>
          </w:tcPr>
          <w:p>
            <w:pPr>
              <w:pStyle w:val="TableHeading"/>
              <w:suppressLineNumbers/>
              <w:spacing w:before="0" w:after="283"/>
              <w:jc w:val="center"/>
              <w:rPr/>
            </w:pPr>
            <w:r>
              <w:rPr/>
              <w:t> </w:t>
            </w:r>
          </w:p>
        </w:tc>
        <w:tc>
          <w:tcPr>
            <w:tcW w:w="1165" w:type="dxa"/>
            <w:gridSpan w:val="2"/>
            <w:tcBorders/>
            <w:shd w:fill="auto" w:val="clear"/>
            <w:vAlign w:val="bottom"/>
          </w:tcPr>
          <w:p>
            <w:pPr>
              <w:pStyle w:val="TableHeading"/>
              <w:spacing w:before="0" w:after="283"/>
              <w:jc w:val="left"/>
              <w:rPr/>
            </w:pPr>
            <w:r>
              <w:rPr/>
              <w:t> </w:t>
            </w:r>
          </w:p>
        </w:tc>
        <w:tc>
          <w:tcPr>
            <w:tcW w:w="196" w:type="dxa"/>
            <w:tcBorders/>
            <w:shd w:fill="auto" w:val="clear"/>
            <w:vAlign w:val="bottom"/>
          </w:tcPr>
          <w:p>
            <w:pPr>
              <w:pStyle w:val="TableHeading"/>
              <w:suppressLineNumbers/>
              <w:spacing w:before="0" w:after="283"/>
              <w:jc w:val="center"/>
              <w:rPr/>
            </w:pPr>
            <w:r>
              <w:rPr/>
              <w:t> </w:t>
            </w:r>
          </w:p>
        </w:tc>
        <w:tc>
          <w:tcPr>
            <w:tcW w:w="3886" w:type="dxa"/>
            <w:gridSpan w:val="8"/>
            <w:tcBorders/>
            <w:shd w:fill="auto" w:val="clear"/>
            <w:vAlign w:val="bottom"/>
          </w:tcPr>
          <w:p>
            <w:pPr>
              <w:pStyle w:val="TableHeading"/>
              <w:spacing w:before="0" w:after="283"/>
              <w:jc w:val="center"/>
              <w:rPr>
                <w:rFonts w:ascii="times" w:hAnsi="times"/>
                <w:b/>
                <w:sz w:val="14"/>
              </w:rPr>
            </w:pPr>
            <w:r>
              <w:rPr>
                <w:rFonts w:ascii="times" w:hAnsi="times"/>
                <w:b/>
                <w:sz w:val="14"/>
              </w:rPr>
              <w:t>(in thousands of U.S. dollars)</w:t>
            </w:r>
          </w:p>
        </w:tc>
        <w:tc>
          <w:tcPr>
            <w:tcW w:w="196" w:type="dxa"/>
            <w:tcBorders/>
            <w:shd w:fill="auto" w:val="clear"/>
            <w:vAlign w:val="bottom"/>
          </w:tcPr>
          <w:p>
            <w:pPr>
              <w:pStyle w:val="TableHeading"/>
              <w:suppressLineNumbers/>
              <w:spacing w:before="0" w:after="283"/>
              <w:jc w:val="center"/>
              <w:rPr/>
            </w:pPr>
            <w:r>
              <w:rPr/>
              <w:t> </w:t>
            </w:r>
          </w:p>
        </w:tc>
        <w:tc>
          <w:tcPr>
            <w:tcW w:w="1165" w:type="dxa"/>
            <w:gridSpan w:val="2"/>
            <w:tcBorders/>
            <w:shd w:fill="auto" w:val="clear"/>
            <w:vAlign w:val="bottom"/>
          </w:tcPr>
          <w:p>
            <w:pPr>
              <w:pStyle w:val="TableHeading"/>
              <w:spacing w:before="0" w:after="283"/>
              <w:jc w:val="left"/>
              <w:rPr/>
            </w:pPr>
            <w:r>
              <w:rPr/>
              <w:t> </w:t>
            </w:r>
          </w:p>
        </w:tc>
        <w:tc>
          <w:tcPr>
            <w:tcW w:w="196" w:type="dxa"/>
            <w:tcBorders/>
            <w:shd w:fill="auto" w:val="clear"/>
            <w:vAlign w:val="bottom"/>
          </w:tcPr>
          <w:p>
            <w:pPr>
              <w:pStyle w:val="TableHeading"/>
              <w:suppressLineNumbers/>
              <w:spacing w:before="0" w:after="283"/>
              <w:jc w:val="center"/>
              <w:rPr/>
            </w:pPr>
            <w:r>
              <w:rPr/>
              <w:t> </w:t>
            </w:r>
          </w:p>
        </w:tc>
      </w:tr>
      <w:tr>
        <w:trPr/>
        <w:tc>
          <w:tcPr>
            <w:tcW w:w="3205" w:type="dxa"/>
            <w:tcBorders/>
            <w:shd w:fill="auto" w:val="clear"/>
            <w:vAlign w:val="bottom"/>
          </w:tcPr>
          <w:p>
            <w:pPr>
              <w:pStyle w:val="TableContents"/>
              <w:spacing w:before="0" w:after="283"/>
              <w:ind w:left="140" w:right="0" w:hanging="140"/>
              <w:rPr>
                <w:rFonts w:ascii="times" w:hAnsi="times"/>
                <w:b/>
                <w:sz w:val="14"/>
              </w:rPr>
            </w:pPr>
            <w:r>
              <w:rPr>
                <w:rFonts w:ascii="times" w:hAnsi="times"/>
                <w:b/>
                <w:sz w:val="14"/>
              </w:rPr>
              <w:t>CASH FLOW DATA</w:t>
            </w:r>
          </w:p>
        </w:tc>
        <w:tc>
          <w:tcPr>
            <w:tcW w:w="196" w:type="dxa"/>
            <w:tcBorders/>
            <w:shd w:fill="auto" w:val="clear"/>
            <w:vAlign w:val="bottom"/>
          </w:tcPr>
          <w:p>
            <w:pPr>
              <w:pStyle w:val="TableContents"/>
              <w:spacing w:before="0" w:after="283"/>
              <w:rPr/>
            </w:pPr>
            <w:r>
              <w:rPr/>
              <w:t> </w:t>
            </w:r>
          </w:p>
        </w:tc>
        <w:tc>
          <w:tcPr>
            <w:tcW w:w="104" w:type="dxa"/>
            <w:tcBorders/>
            <w:shd w:fill="auto" w:val="clear"/>
            <w:vAlign w:val="bottom"/>
          </w:tcPr>
          <w:p>
            <w:pPr>
              <w:pStyle w:val="TableContents"/>
              <w:spacing w:before="0" w:after="283"/>
              <w:rPr/>
            </w:pPr>
            <w:r>
              <w:rPr/>
              <w:t> </w:t>
            </w:r>
          </w:p>
        </w:tc>
        <w:tc>
          <w:tcPr>
            <w:tcW w:w="1061" w:type="dxa"/>
            <w:tcBorders/>
            <w:shd w:fill="auto" w:val="clear"/>
            <w:vAlign w:val="bottom"/>
          </w:tcPr>
          <w:p>
            <w:pPr>
              <w:pStyle w:val="TableContents"/>
              <w:spacing w:before="0" w:after="283"/>
              <w:jc w:val="right"/>
              <w:rPr/>
            </w:pPr>
            <w:r>
              <w:rPr/>
              <w:t> </w:t>
            </w:r>
          </w:p>
        </w:tc>
        <w:tc>
          <w:tcPr>
            <w:tcW w:w="196" w:type="dxa"/>
            <w:tcBorders/>
            <w:shd w:fill="auto" w:val="clear"/>
            <w:vAlign w:val="bottom"/>
          </w:tcPr>
          <w:p>
            <w:pPr>
              <w:pStyle w:val="TableContents"/>
              <w:spacing w:before="0" w:after="283"/>
              <w:rPr/>
            </w:pPr>
            <w:r>
              <w:rPr/>
              <w:t> </w:t>
            </w:r>
          </w:p>
        </w:tc>
        <w:tc>
          <w:tcPr>
            <w:tcW w:w="103" w:type="dxa"/>
            <w:tcBorders/>
            <w:shd w:fill="auto" w:val="clear"/>
            <w:vAlign w:val="bottom"/>
          </w:tcPr>
          <w:p>
            <w:pPr>
              <w:pStyle w:val="TableContents"/>
              <w:spacing w:before="0" w:after="283"/>
              <w:rPr/>
            </w:pPr>
            <w:r>
              <w:rPr/>
              <w:t> </w:t>
            </w:r>
          </w:p>
        </w:tc>
        <w:tc>
          <w:tcPr>
            <w:tcW w:w="1062" w:type="dxa"/>
            <w:tcBorders/>
            <w:shd w:fill="auto" w:val="clear"/>
            <w:vAlign w:val="bottom"/>
          </w:tcPr>
          <w:p>
            <w:pPr>
              <w:pStyle w:val="TableContents"/>
              <w:spacing w:before="0" w:after="283"/>
              <w:jc w:val="right"/>
              <w:rPr/>
            </w:pPr>
            <w:r>
              <w:rPr/>
              <w:t> </w:t>
            </w:r>
          </w:p>
        </w:tc>
        <w:tc>
          <w:tcPr>
            <w:tcW w:w="196" w:type="dxa"/>
            <w:tcBorders/>
            <w:shd w:fill="auto" w:val="clear"/>
            <w:vAlign w:val="bottom"/>
          </w:tcPr>
          <w:p>
            <w:pPr>
              <w:pStyle w:val="TableContents"/>
              <w:spacing w:before="0" w:after="283"/>
              <w:rPr/>
            </w:pPr>
            <w:r>
              <w:rPr/>
              <w:t> </w:t>
            </w:r>
          </w:p>
        </w:tc>
        <w:tc>
          <w:tcPr>
            <w:tcW w:w="103" w:type="dxa"/>
            <w:tcBorders/>
            <w:shd w:fill="auto" w:val="clear"/>
            <w:vAlign w:val="bottom"/>
          </w:tcPr>
          <w:p>
            <w:pPr>
              <w:pStyle w:val="TableContents"/>
              <w:spacing w:before="0" w:after="283"/>
              <w:rPr/>
            </w:pPr>
            <w:r>
              <w:rPr/>
              <w:t> </w:t>
            </w:r>
          </w:p>
        </w:tc>
        <w:tc>
          <w:tcPr>
            <w:tcW w:w="1061" w:type="dxa"/>
            <w:tcBorders/>
            <w:shd w:fill="auto" w:val="clear"/>
            <w:vAlign w:val="bottom"/>
          </w:tcPr>
          <w:p>
            <w:pPr>
              <w:pStyle w:val="TableContents"/>
              <w:spacing w:before="0" w:after="283"/>
              <w:jc w:val="right"/>
              <w:rPr/>
            </w:pPr>
            <w:r>
              <w:rPr/>
              <w:t> </w:t>
            </w:r>
          </w:p>
        </w:tc>
        <w:tc>
          <w:tcPr>
            <w:tcW w:w="196" w:type="dxa"/>
            <w:tcBorders/>
            <w:shd w:fill="auto" w:val="clear"/>
            <w:vAlign w:val="bottom"/>
          </w:tcPr>
          <w:p>
            <w:pPr>
              <w:pStyle w:val="TableContents"/>
              <w:spacing w:before="0" w:after="283"/>
              <w:rPr/>
            </w:pPr>
            <w:r>
              <w:rPr/>
              <w:t> </w:t>
            </w:r>
          </w:p>
        </w:tc>
        <w:tc>
          <w:tcPr>
            <w:tcW w:w="104" w:type="dxa"/>
            <w:tcBorders/>
            <w:shd w:fill="auto" w:val="clear"/>
            <w:vAlign w:val="bottom"/>
          </w:tcPr>
          <w:p>
            <w:pPr>
              <w:pStyle w:val="TableContents"/>
              <w:spacing w:before="0" w:after="283"/>
              <w:rPr/>
            </w:pPr>
            <w:r>
              <w:rPr/>
              <w:t> </w:t>
            </w:r>
          </w:p>
        </w:tc>
        <w:tc>
          <w:tcPr>
            <w:tcW w:w="1061" w:type="dxa"/>
            <w:tcBorders/>
            <w:shd w:fill="auto" w:val="clear"/>
            <w:vAlign w:val="bottom"/>
          </w:tcPr>
          <w:p>
            <w:pPr>
              <w:pStyle w:val="TableContents"/>
              <w:spacing w:before="0" w:after="283"/>
              <w:jc w:val="right"/>
              <w:rPr/>
            </w:pPr>
            <w:r>
              <w:rPr/>
              <w:t> </w:t>
            </w:r>
          </w:p>
        </w:tc>
        <w:tc>
          <w:tcPr>
            <w:tcW w:w="196" w:type="dxa"/>
            <w:tcBorders/>
            <w:shd w:fill="auto" w:val="clear"/>
            <w:vAlign w:val="bottom"/>
          </w:tcPr>
          <w:p>
            <w:pPr>
              <w:pStyle w:val="TableContents"/>
              <w:spacing w:before="0" w:after="283"/>
              <w:rPr/>
            </w:pPr>
            <w:r>
              <w:rPr/>
              <w:t> </w:t>
            </w:r>
          </w:p>
        </w:tc>
        <w:tc>
          <w:tcPr>
            <w:tcW w:w="103" w:type="dxa"/>
            <w:tcBorders/>
            <w:shd w:fill="auto" w:val="clear"/>
            <w:vAlign w:val="bottom"/>
          </w:tcPr>
          <w:p>
            <w:pPr>
              <w:pStyle w:val="TableContents"/>
              <w:spacing w:before="0" w:after="283"/>
              <w:rPr/>
            </w:pPr>
            <w:r>
              <w:rPr/>
              <w:t> </w:t>
            </w:r>
          </w:p>
        </w:tc>
        <w:tc>
          <w:tcPr>
            <w:tcW w:w="1062" w:type="dxa"/>
            <w:tcBorders/>
            <w:shd w:fill="auto" w:val="clear"/>
            <w:vAlign w:val="bottom"/>
          </w:tcPr>
          <w:p>
            <w:pPr>
              <w:pStyle w:val="TableContents"/>
              <w:spacing w:before="0" w:after="283"/>
              <w:jc w:val="right"/>
              <w:rPr/>
            </w:pPr>
            <w:r>
              <w:rPr/>
              <w:t> </w:t>
            </w:r>
          </w:p>
        </w:tc>
        <w:tc>
          <w:tcPr>
            <w:tcW w:w="196" w:type="dxa"/>
            <w:tcBorders/>
            <w:shd w:fill="auto" w:val="clear"/>
            <w:vAlign w:val="bottom"/>
          </w:tcPr>
          <w:p>
            <w:pPr>
              <w:pStyle w:val="TableContents"/>
              <w:spacing w:before="0" w:after="283"/>
              <w:rPr/>
            </w:pPr>
            <w:r>
              <w:rPr/>
              <w:t> </w:t>
            </w:r>
          </w:p>
        </w:tc>
      </w:tr>
      <w:tr>
        <w:trPr/>
        <w:tc>
          <w:tcPr>
            <w:tcW w:w="3205" w:type="dxa"/>
            <w:tcBorders/>
            <w:shd w:fill="auto" w:val="clear"/>
            <w:vAlign w:val="bottom"/>
          </w:tcPr>
          <w:p>
            <w:pPr>
              <w:pStyle w:val="TableContents"/>
              <w:spacing w:before="0" w:after="283"/>
              <w:ind w:left="140" w:right="0" w:hanging="140"/>
              <w:rPr>
                <w:rFonts w:ascii="times" w:hAnsi="times"/>
                <w:sz w:val="14"/>
              </w:rPr>
            </w:pPr>
            <w:r>
              <w:rPr>
                <w:rFonts w:ascii="times" w:hAnsi="times"/>
                <w:sz w:val="14"/>
              </w:rPr>
              <w:t>Net cash provided by operating activities</w:t>
            </w:r>
          </w:p>
        </w:tc>
        <w:tc>
          <w:tcPr>
            <w:tcW w:w="196" w:type="dxa"/>
            <w:tcBorders/>
            <w:shd w:fill="auto" w:val="clear"/>
            <w:vAlign w:val="bottom"/>
          </w:tcPr>
          <w:p>
            <w:pPr>
              <w:pStyle w:val="TableContents"/>
              <w:spacing w:before="0" w:after="283"/>
              <w:rPr/>
            </w:pPr>
            <w:r>
              <w:rPr/>
              <w:t> </w:t>
            </w:r>
          </w:p>
        </w:tc>
        <w:tc>
          <w:tcPr>
            <w:tcW w:w="104" w:type="dxa"/>
            <w:tcBorders/>
            <w:shd w:fill="auto" w:val="clear"/>
            <w:vAlign w:val="bottom"/>
          </w:tcPr>
          <w:p>
            <w:pPr>
              <w:pStyle w:val="TableContents"/>
              <w:spacing w:before="0" w:after="283"/>
              <w:rPr>
                <w:rFonts w:ascii="times" w:hAnsi="times"/>
                <w:sz w:val="14"/>
              </w:rPr>
            </w:pPr>
            <w:r>
              <w:rPr>
                <w:rFonts w:ascii="times" w:hAnsi="times"/>
                <w:sz w:val="14"/>
              </w:rPr>
              <w:t>$</w:t>
            </w:r>
          </w:p>
        </w:tc>
        <w:tc>
          <w:tcPr>
            <w:tcW w:w="1061" w:type="dxa"/>
            <w:tcBorders/>
            <w:shd w:fill="auto" w:val="clear"/>
            <w:vAlign w:val="bottom"/>
          </w:tcPr>
          <w:p>
            <w:pPr>
              <w:pStyle w:val="TableContents"/>
              <w:spacing w:before="0" w:after="283"/>
              <w:jc w:val="right"/>
              <w:rPr>
                <w:rFonts w:ascii="times" w:hAnsi="times"/>
                <w:sz w:val="14"/>
              </w:rPr>
            </w:pPr>
            <w:r>
              <w:rPr>
                <w:rFonts w:ascii="times" w:hAnsi="times"/>
                <w:sz w:val="14"/>
              </w:rPr>
              <w:t>224,943</w:t>
            </w:r>
          </w:p>
        </w:tc>
        <w:tc>
          <w:tcPr>
            <w:tcW w:w="196" w:type="dxa"/>
            <w:tcBorders/>
            <w:shd w:fill="auto" w:val="clear"/>
            <w:vAlign w:val="bottom"/>
          </w:tcPr>
          <w:p>
            <w:pPr>
              <w:pStyle w:val="TableContents"/>
              <w:spacing w:before="0" w:after="283"/>
              <w:rPr/>
            </w:pPr>
            <w:r>
              <w:rPr/>
              <w:t> </w:t>
            </w:r>
          </w:p>
        </w:tc>
        <w:tc>
          <w:tcPr>
            <w:tcW w:w="103" w:type="dxa"/>
            <w:tcBorders/>
            <w:shd w:fill="auto" w:val="clear"/>
            <w:vAlign w:val="bottom"/>
          </w:tcPr>
          <w:p>
            <w:pPr>
              <w:pStyle w:val="TableContents"/>
              <w:spacing w:before="0" w:after="283"/>
              <w:rPr>
                <w:rFonts w:ascii="times" w:hAnsi="times"/>
                <w:sz w:val="14"/>
              </w:rPr>
            </w:pPr>
            <w:r>
              <w:rPr>
                <w:rFonts w:ascii="times" w:hAnsi="times"/>
                <w:sz w:val="14"/>
              </w:rPr>
              <w:t>$</w:t>
            </w:r>
          </w:p>
        </w:tc>
        <w:tc>
          <w:tcPr>
            <w:tcW w:w="1062" w:type="dxa"/>
            <w:tcBorders/>
            <w:shd w:fill="auto" w:val="clear"/>
            <w:vAlign w:val="bottom"/>
          </w:tcPr>
          <w:p>
            <w:pPr>
              <w:pStyle w:val="TableContents"/>
              <w:spacing w:before="0" w:after="283"/>
              <w:jc w:val="right"/>
              <w:rPr>
                <w:rFonts w:ascii="times" w:hAnsi="times"/>
                <w:sz w:val="14"/>
              </w:rPr>
            </w:pPr>
            <w:r>
              <w:rPr>
                <w:rFonts w:ascii="times" w:hAnsi="times"/>
                <w:sz w:val="14"/>
              </w:rPr>
              <w:t>254,193</w:t>
            </w:r>
          </w:p>
        </w:tc>
        <w:tc>
          <w:tcPr>
            <w:tcW w:w="196" w:type="dxa"/>
            <w:tcBorders/>
            <w:shd w:fill="auto" w:val="clear"/>
            <w:vAlign w:val="bottom"/>
          </w:tcPr>
          <w:p>
            <w:pPr>
              <w:pStyle w:val="TableContents"/>
              <w:spacing w:before="0" w:after="283"/>
              <w:rPr/>
            </w:pPr>
            <w:r>
              <w:rPr/>
              <w:t> </w:t>
            </w:r>
          </w:p>
        </w:tc>
        <w:tc>
          <w:tcPr>
            <w:tcW w:w="103" w:type="dxa"/>
            <w:tcBorders/>
            <w:shd w:fill="auto" w:val="clear"/>
            <w:vAlign w:val="bottom"/>
          </w:tcPr>
          <w:p>
            <w:pPr>
              <w:pStyle w:val="TableContents"/>
              <w:spacing w:before="0" w:after="283"/>
              <w:rPr>
                <w:rFonts w:ascii="times" w:hAnsi="times"/>
                <w:sz w:val="14"/>
              </w:rPr>
            </w:pPr>
            <w:r>
              <w:rPr>
                <w:rFonts w:ascii="times" w:hAnsi="times"/>
                <w:sz w:val="14"/>
              </w:rPr>
              <w:t>$</w:t>
            </w:r>
          </w:p>
        </w:tc>
        <w:tc>
          <w:tcPr>
            <w:tcW w:w="1061" w:type="dxa"/>
            <w:tcBorders/>
            <w:shd w:fill="auto" w:val="clear"/>
            <w:vAlign w:val="bottom"/>
          </w:tcPr>
          <w:p>
            <w:pPr>
              <w:pStyle w:val="TableContents"/>
              <w:spacing w:before="0" w:after="283"/>
              <w:jc w:val="right"/>
              <w:rPr>
                <w:rFonts w:ascii="times" w:hAnsi="times"/>
                <w:sz w:val="14"/>
              </w:rPr>
            </w:pPr>
            <w:r>
              <w:rPr>
                <w:rFonts w:ascii="times" w:hAnsi="times"/>
                <w:sz w:val="14"/>
              </w:rPr>
              <w:t>196,643</w:t>
            </w:r>
          </w:p>
        </w:tc>
        <w:tc>
          <w:tcPr>
            <w:tcW w:w="196" w:type="dxa"/>
            <w:tcBorders/>
            <w:shd w:fill="auto" w:val="clear"/>
            <w:vAlign w:val="bottom"/>
          </w:tcPr>
          <w:p>
            <w:pPr>
              <w:pStyle w:val="TableContents"/>
              <w:spacing w:before="0" w:after="283"/>
              <w:rPr/>
            </w:pPr>
            <w:r>
              <w:rPr/>
              <w:t> </w:t>
            </w:r>
          </w:p>
        </w:tc>
        <w:tc>
          <w:tcPr>
            <w:tcW w:w="104" w:type="dxa"/>
            <w:tcBorders/>
            <w:shd w:fill="auto" w:val="clear"/>
            <w:vAlign w:val="bottom"/>
          </w:tcPr>
          <w:p>
            <w:pPr>
              <w:pStyle w:val="TableContents"/>
              <w:spacing w:before="0" w:after="283"/>
              <w:rPr>
                <w:rFonts w:ascii="times" w:hAnsi="times"/>
                <w:sz w:val="14"/>
              </w:rPr>
            </w:pPr>
            <w:r>
              <w:rPr>
                <w:rFonts w:ascii="times" w:hAnsi="times"/>
                <w:sz w:val="14"/>
              </w:rPr>
              <w:t>$</w:t>
            </w:r>
          </w:p>
        </w:tc>
        <w:tc>
          <w:tcPr>
            <w:tcW w:w="1061" w:type="dxa"/>
            <w:tcBorders/>
            <w:shd w:fill="auto" w:val="clear"/>
            <w:vAlign w:val="bottom"/>
          </w:tcPr>
          <w:p>
            <w:pPr>
              <w:pStyle w:val="TableContents"/>
              <w:spacing w:before="0" w:after="283"/>
              <w:jc w:val="right"/>
              <w:rPr>
                <w:rFonts w:ascii="times" w:hAnsi="times"/>
                <w:sz w:val="14"/>
              </w:rPr>
            </w:pPr>
            <w:r>
              <w:rPr>
                <w:rFonts w:ascii="times" w:hAnsi="times"/>
                <w:sz w:val="14"/>
              </w:rPr>
              <w:t>239,061</w:t>
            </w:r>
          </w:p>
        </w:tc>
        <w:tc>
          <w:tcPr>
            <w:tcW w:w="196" w:type="dxa"/>
            <w:tcBorders/>
            <w:shd w:fill="auto" w:val="clear"/>
            <w:vAlign w:val="bottom"/>
          </w:tcPr>
          <w:p>
            <w:pPr>
              <w:pStyle w:val="TableContents"/>
              <w:spacing w:before="0" w:after="283"/>
              <w:rPr/>
            </w:pPr>
            <w:r>
              <w:rPr/>
              <w:t> </w:t>
            </w:r>
          </w:p>
        </w:tc>
        <w:tc>
          <w:tcPr>
            <w:tcW w:w="103" w:type="dxa"/>
            <w:tcBorders/>
            <w:shd w:fill="auto" w:val="clear"/>
            <w:vAlign w:val="bottom"/>
          </w:tcPr>
          <w:p>
            <w:pPr>
              <w:pStyle w:val="TableContents"/>
              <w:spacing w:before="0" w:after="283"/>
              <w:rPr>
                <w:rFonts w:ascii="times" w:hAnsi="times"/>
                <w:sz w:val="14"/>
              </w:rPr>
            </w:pPr>
            <w:r>
              <w:rPr>
                <w:rFonts w:ascii="times" w:hAnsi="times"/>
                <w:sz w:val="14"/>
              </w:rPr>
              <w:t>$</w:t>
            </w:r>
          </w:p>
        </w:tc>
        <w:tc>
          <w:tcPr>
            <w:tcW w:w="1062" w:type="dxa"/>
            <w:tcBorders/>
            <w:shd w:fill="auto" w:val="clear"/>
            <w:vAlign w:val="bottom"/>
          </w:tcPr>
          <w:p>
            <w:pPr>
              <w:pStyle w:val="TableContents"/>
              <w:spacing w:before="0" w:after="283"/>
              <w:jc w:val="right"/>
              <w:rPr>
                <w:rFonts w:ascii="times" w:hAnsi="times"/>
                <w:sz w:val="14"/>
              </w:rPr>
            </w:pPr>
            <w:r>
              <w:rPr>
                <w:rFonts w:ascii="times" w:hAnsi="times"/>
                <w:sz w:val="14"/>
              </w:rPr>
              <w:t>166,615</w:t>
            </w:r>
          </w:p>
        </w:tc>
        <w:tc>
          <w:tcPr>
            <w:tcW w:w="196" w:type="dxa"/>
            <w:tcBorders/>
            <w:shd w:fill="auto" w:val="clear"/>
            <w:vAlign w:val="bottom"/>
          </w:tcPr>
          <w:p>
            <w:pPr>
              <w:pStyle w:val="TableContents"/>
              <w:spacing w:before="0" w:after="283"/>
              <w:rPr/>
            </w:pPr>
            <w:r>
              <w:rPr/>
              <w:t> </w:t>
            </w:r>
          </w:p>
        </w:tc>
      </w:tr>
      <w:tr>
        <w:trPr/>
        <w:tc>
          <w:tcPr>
            <w:tcW w:w="3205" w:type="dxa"/>
            <w:tcBorders/>
            <w:shd w:fill="auto" w:val="clear"/>
            <w:vAlign w:val="bottom"/>
          </w:tcPr>
          <w:p>
            <w:pPr>
              <w:pStyle w:val="TableContents"/>
              <w:spacing w:before="0" w:after="283"/>
              <w:ind w:left="140" w:right="0" w:hanging="140"/>
              <w:rPr>
                <w:rFonts w:ascii="times" w:hAnsi="times"/>
                <w:sz w:val="14"/>
              </w:rPr>
            </w:pPr>
            <w:r>
              <w:rPr>
                <w:rFonts w:ascii="times" w:hAnsi="times"/>
                <w:sz w:val="14"/>
              </w:rPr>
              <w:t>Net cash (used in)/provided by investing activities</w:t>
            </w:r>
          </w:p>
        </w:tc>
        <w:tc>
          <w:tcPr>
            <w:tcW w:w="196" w:type="dxa"/>
            <w:tcBorders/>
            <w:shd w:fill="auto" w:val="clear"/>
            <w:vAlign w:val="bottom"/>
          </w:tcPr>
          <w:p>
            <w:pPr>
              <w:pStyle w:val="TableContents"/>
              <w:spacing w:before="0" w:after="283"/>
              <w:rPr/>
            </w:pPr>
            <w:r>
              <w:rPr/>
              <w:t> </w:t>
            </w:r>
          </w:p>
        </w:tc>
        <w:tc>
          <w:tcPr>
            <w:tcW w:w="104" w:type="dxa"/>
            <w:tcBorders/>
            <w:shd w:fill="auto" w:val="clear"/>
            <w:vAlign w:val="bottom"/>
          </w:tcPr>
          <w:p>
            <w:pPr>
              <w:pStyle w:val="TableContents"/>
              <w:spacing w:before="0" w:after="283"/>
              <w:rPr/>
            </w:pPr>
            <w:r>
              <w:rPr/>
              <w:t> </w:t>
            </w:r>
          </w:p>
        </w:tc>
        <w:tc>
          <w:tcPr>
            <w:tcW w:w="1061" w:type="dxa"/>
            <w:tcBorders/>
            <w:shd w:fill="auto" w:val="clear"/>
            <w:vAlign w:val="bottom"/>
          </w:tcPr>
          <w:p>
            <w:pPr>
              <w:pStyle w:val="TableContents"/>
              <w:spacing w:before="0" w:after="283"/>
              <w:jc w:val="right"/>
              <w:rPr>
                <w:rFonts w:ascii="times" w:hAnsi="times"/>
                <w:sz w:val="14"/>
              </w:rPr>
            </w:pPr>
            <w:r>
              <w:rPr>
                <w:rFonts w:ascii="times" w:hAnsi="times"/>
                <w:sz w:val="14"/>
              </w:rPr>
              <w:t>(675,830</w:t>
            </w:r>
          </w:p>
        </w:tc>
        <w:tc>
          <w:tcPr>
            <w:tcW w:w="196" w:type="dxa"/>
            <w:tcBorders/>
            <w:shd w:fill="auto" w:val="clear"/>
            <w:vAlign w:val="bottom"/>
          </w:tcPr>
          <w:p>
            <w:pPr>
              <w:pStyle w:val="TableContents"/>
              <w:spacing w:before="0" w:after="283"/>
              <w:rPr>
                <w:rFonts w:ascii="times" w:hAnsi="times"/>
                <w:sz w:val="14"/>
              </w:rPr>
            </w:pPr>
            <w:r>
              <w:rPr>
                <w:rFonts w:ascii="times" w:hAnsi="times"/>
                <w:sz w:val="14"/>
              </w:rPr>
              <w:t>)</w:t>
            </w:r>
          </w:p>
        </w:tc>
        <w:tc>
          <w:tcPr>
            <w:tcW w:w="103" w:type="dxa"/>
            <w:tcBorders/>
            <w:shd w:fill="auto" w:val="clear"/>
            <w:vAlign w:val="bottom"/>
          </w:tcPr>
          <w:p>
            <w:pPr>
              <w:pStyle w:val="TableContents"/>
              <w:spacing w:before="0" w:after="283"/>
              <w:rPr/>
            </w:pPr>
            <w:r>
              <w:rPr/>
              <w:t> </w:t>
            </w:r>
          </w:p>
        </w:tc>
        <w:tc>
          <w:tcPr>
            <w:tcW w:w="1062" w:type="dxa"/>
            <w:tcBorders/>
            <w:shd w:fill="auto" w:val="clear"/>
            <w:vAlign w:val="bottom"/>
          </w:tcPr>
          <w:p>
            <w:pPr>
              <w:pStyle w:val="TableContents"/>
              <w:spacing w:before="0" w:after="283"/>
              <w:jc w:val="right"/>
              <w:rPr>
                <w:rFonts w:ascii="times" w:hAnsi="times"/>
                <w:sz w:val="14"/>
              </w:rPr>
            </w:pPr>
            <w:r>
              <w:rPr>
                <w:rFonts w:ascii="times" w:hAnsi="times"/>
                <w:sz w:val="14"/>
              </w:rPr>
              <w:t>4,974</w:t>
            </w:r>
          </w:p>
        </w:tc>
        <w:tc>
          <w:tcPr>
            <w:tcW w:w="196" w:type="dxa"/>
            <w:tcBorders/>
            <w:shd w:fill="auto" w:val="clear"/>
            <w:vAlign w:val="bottom"/>
          </w:tcPr>
          <w:p>
            <w:pPr>
              <w:pStyle w:val="TableContents"/>
              <w:spacing w:before="0" w:after="283"/>
              <w:rPr/>
            </w:pPr>
            <w:r>
              <w:rPr/>
              <w:t> </w:t>
            </w:r>
          </w:p>
        </w:tc>
        <w:tc>
          <w:tcPr>
            <w:tcW w:w="103" w:type="dxa"/>
            <w:tcBorders/>
            <w:shd w:fill="auto" w:val="clear"/>
            <w:vAlign w:val="bottom"/>
          </w:tcPr>
          <w:p>
            <w:pPr>
              <w:pStyle w:val="TableContents"/>
              <w:spacing w:before="0" w:after="283"/>
              <w:rPr/>
            </w:pPr>
            <w:r>
              <w:rPr/>
              <w:t> </w:t>
            </w:r>
          </w:p>
        </w:tc>
        <w:tc>
          <w:tcPr>
            <w:tcW w:w="1061" w:type="dxa"/>
            <w:tcBorders/>
            <w:shd w:fill="auto" w:val="clear"/>
            <w:vAlign w:val="bottom"/>
          </w:tcPr>
          <w:p>
            <w:pPr>
              <w:pStyle w:val="TableContents"/>
              <w:spacing w:before="0" w:after="283"/>
              <w:jc w:val="right"/>
              <w:rPr>
                <w:rFonts w:ascii="times" w:hAnsi="times"/>
                <w:sz w:val="14"/>
              </w:rPr>
            </w:pPr>
            <w:r>
              <w:rPr>
                <w:rFonts w:ascii="times" w:hAnsi="times"/>
                <w:sz w:val="14"/>
              </w:rPr>
              <w:t>(31,816</w:t>
            </w:r>
          </w:p>
        </w:tc>
        <w:tc>
          <w:tcPr>
            <w:tcW w:w="196" w:type="dxa"/>
            <w:tcBorders/>
            <w:shd w:fill="auto" w:val="clear"/>
            <w:vAlign w:val="bottom"/>
          </w:tcPr>
          <w:p>
            <w:pPr>
              <w:pStyle w:val="TableContents"/>
              <w:spacing w:before="0" w:after="283"/>
              <w:rPr>
                <w:rFonts w:ascii="times" w:hAnsi="times"/>
                <w:sz w:val="14"/>
              </w:rPr>
            </w:pPr>
            <w:r>
              <w:rPr>
                <w:rFonts w:ascii="times" w:hAnsi="times"/>
                <w:sz w:val="14"/>
              </w:rPr>
              <w:t>)</w:t>
            </w:r>
          </w:p>
        </w:tc>
        <w:tc>
          <w:tcPr>
            <w:tcW w:w="104" w:type="dxa"/>
            <w:tcBorders/>
            <w:shd w:fill="auto" w:val="clear"/>
            <w:vAlign w:val="bottom"/>
          </w:tcPr>
          <w:p>
            <w:pPr>
              <w:pStyle w:val="TableContents"/>
              <w:spacing w:before="0" w:after="283"/>
              <w:rPr/>
            </w:pPr>
            <w:r>
              <w:rPr/>
              <w:t> </w:t>
            </w:r>
          </w:p>
        </w:tc>
        <w:tc>
          <w:tcPr>
            <w:tcW w:w="1061" w:type="dxa"/>
            <w:tcBorders/>
            <w:shd w:fill="auto" w:val="clear"/>
            <w:vAlign w:val="bottom"/>
          </w:tcPr>
          <w:p>
            <w:pPr>
              <w:pStyle w:val="TableContents"/>
              <w:spacing w:before="0" w:after="283"/>
              <w:jc w:val="right"/>
              <w:rPr>
                <w:rFonts w:ascii="times" w:hAnsi="times"/>
                <w:sz w:val="14"/>
              </w:rPr>
            </w:pPr>
            <w:r>
              <w:rPr>
                <w:rFonts w:ascii="times" w:hAnsi="times"/>
                <w:sz w:val="14"/>
              </w:rPr>
              <w:t>5,475</w:t>
            </w:r>
          </w:p>
        </w:tc>
        <w:tc>
          <w:tcPr>
            <w:tcW w:w="196" w:type="dxa"/>
            <w:tcBorders/>
            <w:shd w:fill="auto" w:val="clear"/>
            <w:vAlign w:val="bottom"/>
          </w:tcPr>
          <w:p>
            <w:pPr>
              <w:pStyle w:val="TableContents"/>
              <w:spacing w:before="0" w:after="283"/>
              <w:rPr/>
            </w:pPr>
            <w:r>
              <w:rPr/>
              <w:t> </w:t>
            </w:r>
          </w:p>
        </w:tc>
        <w:tc>
          <w:tcPr>
            <w:tcW w:w="103" w:type="dxa"/>
            <w:tcBorders/>
            <w:shd w:fill="auto" w:val="clear"/>
            <w:vAlign w:val="bottom"/>
          </w:tcPr>
          <w:p>
            <w:pPr>
              <w:pStyle w:val="TableContents"/>
              <w:spacing w:before="0" w:after="283"/>
              <w:rPr/>
            </w:pPr>
            <w:r>
              <w:rPr/>
              <w:t> </w:t>
            </w:r>
          </w:p>
        </w:tc>
        <w:tc>
          <w:tcPr>
            <w:tcW w:w="1062" w:type="dxa"/>
            <w:tcBorders/>
            <w:shd w:fill="auto" w:val="clear"/>
            <w:vAlign w:val="bottom"/>
          </w:tcPr>
          <w:p>
            <w:pPr>
              <w:pStyle w:val="TableContents"/>
              <w:spacing w:before="0" w:after="283"/>
              <w:jc w:val="right"/>
              <w:rPr>
                <w:rFonts w:ascii="times" w:hAnsi="times"/>
                <w:sz w:val="14"/>
              </w:rPr>
            </w:pPr>
            <w:r>
              <w:rPr>
                <w:rFonts w:ascii="times" w:hAnsi="times"/>
                <w:sz w:val="14"/>
              </w:rPr>
              <w:t>(23,292</w:t>
            </w:r>
          </w:p>
        </w:tc>
        <w:tc>
          <w:tcPr>
            <w:tcW w:w="196" w:type="dxa"/>
            <w:tcBorders/>
            <w:shd w:fill="auto" w:val="clear"/>
            <w:vAlign w:val="bottom"/>
          </w:tcPr>
          <w:p>
            <w:pPr>
              <w:pStyle w:val="TableContents"/>
              <w:spacing w:before="0" w:after="283"/>
              <w:rPr>
                <w:rFonts w:ascii="times" w:hAnsi="times"/>
                <w:sz w:val="14"/>
              </w:rPr>
            </w:pPr>
            <w:r>
              <w:rPr>
                <w:rFonts w:ascii="times" w:hAnsi="times"/>
                <w:sz w:val="14"/>
              </w:rPr>
              <w:t>)</w:t>
            </w:r>
          </w:p>
        </w:tc>
      </w:tr>
      <w:tr>
        <w:trPr/>
        <w:tc>
          <w:tcPr>
            <w:tcW w:w="3205" w:type="dxa"/>
            <w:tcBorders/>
            <w:shd w:fill="auto" w:val="clear"/>
            <w:vAlign w:val="bottom"/>
          </w:tcPr>
          <w:p>
            <w:pPr>
              <w:pStyle w:val="TableContents"/>
              <w:spacing w:before="0" w:after="283"/>
              <w:ind w:left="140" w:right="0" w:hanging="140"/>
              <w:rPr>
                <w:rFonts w:ascii="times" w:hAnsi="times"/>
                <w:sz w:val="14"/>
              </w:rPr>
            </w:pPr>
            <w:r>
              <w:rPr>
                <w:rFonts w:ascii="times" w:hAnsi="times"/>
                <w:sz w:val="14"/>
              </w:rPr>
              <w:t>Net cash provided by/(used in) financing activities</w:t>
            </w:r>
          </w:p>
        </w:tc>
        <w:tc>
          <w:tcPr>
            <w:tcW w:w="196" w:type="dxa"/>
            <w:tcBorders/>
            <w:shd w:fill="auto" w:val="clear"/>
            <w:vAlign w:val="bottom"/>
          </w:tcPr>
          <w:p>
            <w:pPr>
              <w:pStyle w:val="TableContents"/>
              <w:spacing w:before="0" w:after="283"/>
              <w:rPr/>
            </w:pPr>
            <w:r>
              <w:rPr/>
              <w:t> </w:t>
            </w:r>
          </w:p>
        </w:tc>
        <w:tc>
          <w:tcPr>
            <w:tcW w:w="104" w:type="dxa"/>
            <w:tcBorders/>
            <w:shd w:fill="auto" w:val="clear"/>
            <w:vAlign w:val="bottom"/>
          </w:tcPr>
          <w:p>
            <w:pPr>
              <w:pStyle w:val="TableContents"/>
              <w:spacing w:before="0" w:after="283"/>
              <w:rPr/>
            </w:pPr>
            <w:r>
              <w:rPr/>
              <w:t> </w:t>
            </w:r>
          </w:p>
        </w:tc>
        <w:tc>
          <w:tcPr>
            <w:tcW w:w="1061" w:type="dxa"/>
            <w:tcBorders/>
            <w:shd w:fill="auto" w:val="clear"/>
            <w:vAlign w:val="bottom"/>
          </w:tcPr>
          <w:p>
            <w:pPr>
              <w:pStyle w:val="TableContents"/>
              <w:spacing w:before="0" w:after="283"/>
              <w:jc w:val="right"/>
              <w:rPr>
                <w:rFonts w:ascii="times" w:hAnsi="times"/>
                <w:sz w:val="14"/>
              </w:rPr>
            </w:pPr>
            <w:r>
              <w:rPr>
                <w:rFonts w:ascii="times" w:hAnsi="times"/>
                <w:sz w:val="14"/>
              </w:rPr>
              <w:t>447,586</w:t>
            </w:r>
          </w:p>
        </w:tc>
        <w:tc>
          <w:tcPr>
            <w:tcW w:w="196" w:type="dxa"/>
            <w:tcBorders/>
            <w:shd w:fill="auto" w:val="clear"/>
            <w:vAlign w:val="bottom"/>
          </w:tcPr>
          <w:p>
            <w:pPr>
              <w:pStyle w:val="TableContents"/>
              <w:spacing w:before="0" w:after="283"/>
              <w:rPr/>
            </w:pPr>
            <w:r>
              <w:rPr/>
              <w:t> </w:t>
            </w:r>
          </w:p>
        </w:tc>
        <w:tc>
          <w:tcPr>
            <w:tcW w:w="103" w:type="dxa"/>
            <w:tcBorders/>
            <w:shd w:fill="auto" w:val="clear"/>
            <w:vAlign w:val="bottom"/>
          </w:tcPr>
          <w:p>
            <w:pPr>
              <w:pStyle w:val="TableContents"/>
              <w:spacing w:before="0" w:after="283"/>
              <w:rPr/>
            </w:pPr>
            <w:r>
              <w:rPr/>
              <w:t> </w:t>
            </w:r>
          </w:p>
        </w:tc>
        <w:tc>
          <w:tcPr>
            <w:tcW w:w="1062" w:type="dxa"/>
            <w:tcBorders/>
            <w:shd w:fill="auto" w:val="clear"/>
            <w:vAlign w:val="bottom"/>
          </w:tcPr>
          <w:p>
            <w:pPr>
              <w:pStyle w:val="TableContents"/>
              <w:spacing w:before="0" w:after="283"/>
              <w:jc w:val="right"/>
              <w:rPr>
                <w:rFonts w:ascii="times" w:hAnsi="times"/>
                <w:sz w:val="14"/>
              </w:rPr>
            </w:pPr>
            <w:r>
              <w:rPr>
                <w:rFonts w:ascii="times" w:hAnsi="times"/>
                <w:sz w:val="14"/>
              </w:rPr>
              <w:t>(172,470</w:t>
            </w:r>
          </w:p>
        </w:tc>
        <w:tc>
          <w:tcPr>
            <w:tcW w:w="196" w:type="dxa"/>
            <w:tcBorders/>
            <w:shd w:fill="auto" w:val="clear"/>
            <w:vAlign w:val="bottom"/>
          </w:tcPr>
          <w:p>
            <w:pPr>
              <w:pStyle w:val="TableContents"/>
              <w:spacing w:before="0" w:after="283"/>
              <w:rPr>
                <w:rFonts w:ascii="times" w:hAnsi="times"/>
                <w:sz w:val="14"/>
              </w:rPr>
            </w:pPr>
            <w:r>
              <w:rPr>
                <w:rFonts w:ascii="times" w:hAnsi="times"/>
                <w:sz w:val="14"/>
              </w:rPr>
              <w:t>)</w:t>
            </w:r>
          </w:p>
        </w:tc>
        <w:tc>
          <w:tcPr>
            <w:tcW w:w="103" w:type="dxa"/>
            <w:tcBorders/>
            <w:shd w:fill="auto" w:val="clear"/>
            <w:vAlign w:val="bottom"/>
          </w:tcPr>
          <w:p>
            <w:pPr>
              <w:pStyle w:val="TableContents"/>
              <w:spacing w:before="0" w:after="283"/>
              <w:rPr/>
            </w:pPr>
            <w:r>
              <w:rPr/>
              <w:t> </w:t>
            </w:r>
          </w:p>
        </w:tc>
        <w:tc>
          <w:tcPr>
            <w:tcW w:w="1061" w:type="dxa"/>
            <w:tcBorders/>
            <w:shd w:fill="auto" w:val="clear"/>
            <w:vAlign w:val="bottom"/>
          </w:tcPr>
          <w:p>
            <w:pPr>
              <w:pStyle w:val="TableContents"/>
              <w:spacing w:before="0" w:after="283"/>
              <w:jc w:val="right"/>
              <w:rPr>
                <w:rFonts w:ascii="times" w:hAnsi="times"/>
                <w:sz w:val="14"/>
              </w:rPr>
            </w:pPr>
            <w:r>
              <w:rPr>
                <w:rFonts w:ascii="times" w:hAnsi="times"/>
                <w:sz w:val="14"/>
              </w:rPr>
              <w:t>(185,132</w:t>
            </w:r>
          </w:p>
        </w:tc>
        <w:tc>
          <w:tcPr>
            <w:tcW w:w="196" w:type="dxa"/>
            <w:tcBorders/>
            <w:shd w:fill="auto" w:val="clear"/>
            <w:vAlign w:val="bottom"/>
          </w:tcPr>
          <w:p>
            <w:pPr>
              <w:pStyle w:val="TableContents"/>
              <w:spacing w:before="0" w:after="283"/>
              <w:rPr>
                <w:rFonts w:ascii="times" w:hAnsi="times"/>
                <w:sz w:val="14"/>
              </w:rPr>
            </w:pPr>
            <w:r>
              <w:rPr>
                <w:rFonts w:ascii="times" w:hAnsi="times"/>
                <w:sz w:val="14"/>
              </w:rPr>
              <w:t>)</w:t>
            </w:r>
          </w:p>
        </w:tc>
        <w:tc>
          <w:tcPr>
            <w:tcW w:w="104" w:type="dxa"/>
            <w:tcBorders/>
            <w:shd w:fill="auto" w:val="clear"/>
            <w:vAlign w:val="bottom"/>
          </w:tcPr>
          <w:p>
            <w:pPr>
              <w:pStyle w:val="TableContents"/>
              <w:spacing w:before="0" w:after="283"/>
              <w:rPr/>
            </w:pPr>
            <w:r>
              <w:rPr/>
              <w:t> </w:t>
            </w:r>
          </w:p>
        </w:tc>
        <w:tc>
          <w:tcPr>
            <w:tcW w:w="1061" w:type="dxa"/>
            <w:tcBorders/>
            <w:shd w:fill="auto" w:val="clear"/>
            <w:vAlign w:val="bottom"/>
          </w:tcPr>
          <w:p>
            <w:pPr>
              <w:pStyle w:val="TableContents"/>
              <w:spacing w:before="0" w:after="283"/>
              <w:jc w:val="right"/>
              <w:rPr>
                <w:rFonts w:ascii="times" w:hAnsi="times"/>
                <w:sz w:val="14"/>
              </w:rPr>
            </w:pPr>
            <w:r>
              <w:rPr>
                <w:rFonts w:ascii="times" w:hAnsi="times"/>
                <w:sz w:val="14"/>
              </w:rPr>
              <w:t>(281,022</w:t>
            </w:r>
          </w:p>
        </w:tc>
        <w:tc>
          <w:tcPr>
            <w:tcW w:w="196" w:type="dxa"/>
            <w:tcBorders/>
            <w:shd w:fill="auto" w:val="clear"/>
            <w:vAlign w:val="bottom"/>
          </w:tcPr>
          <w:p>
            <w:pPr>
              <w:pStyle w:val="TableContents"/>
              <w:spacing w:before="0" w:after="283"/>
              <w:rPr>
                <w:rFonts w:ascii="times" w:hAnsi="times"/>
                <w:sz w:val="14"/>
              </w:rPr>
            </w:pPr>
            <w:r>
              <w:rPr>
                <w:rFonts w:ascii="times" w:hAnsi="times"/>
                <w:sz w:val="14"/>
              </w:rPr>
              <w:t>)</w:t>
            </w:r>
          </w:p>
        </w:tc>
        <w:tc>
          <w:tcPr>
            <w:tcW w:w="103" w:type="dxa"/>
            <w:tcBorders/>
            <w:shd w:fill="auto" w:val="clear"/>
            <w:vAlign w:val="bottom"/>
          </w:tcPr>
          <w:p>
            <w:pPr>
              <w:pStyle w:val="TableContents"/>
              <w:spacing w:before="0" w:after="283"/>
              <w:rPr/>
            </w:pPr>
            <w:r>
              <w:rPr/>
              <w:t> </w:t>
            </w:r>
          </w:p>
        </w:tc>
        <w:tc>
          <w:tcPr>
            <w:tcW w:w="1062" w:type="dxa"/>
            <w:tcBorders/>
            <w:shd w:fill="auto" w:val="clear"/>
            <w:vAlign w:val="bottom"/>
          </w:tcPr>
          <w:p>
            <w:pPr>
              <w:pStyle w:val="TableContents"/>
              <w:spacing w:before="0" w:after="283"/>
              <w:jc w:val="right"/>
              <w:rPr>
                <w:rFonts w:ascii="times" w:hAnsi="times"/>
                <w:sz w:val="14"/>
              </w:rPr>
            </w:pPr>
            <w:r>
              <w:rPr>
                <w:rFonts w:ascii="times" w:hAnsi="times"/>
                <w:sz w:val="14"/>
              </w:rPr>
              <w:t>(136,471</w:t>
            </w:r>
          </w:p>
        </w:tc>
        <w:tc>
          <w:tcPr>
            <w:tcW w:w="196" w:type="dxa"/>
            <w:tcBorders/>
            <w:shd w:fill="auto" w:val="clear"/>
            <w:vAlign w:val="bottom"/>
          </w:tcPr>
          <w:p>
            <w:pPr>
              <w:pStyle w:val="TableContents"/>
              <w:spacing w:before="0" w:after="283"/>
              <w:rPr>
                <w:rFonts w:ascii="times" w:hAnsi="times"/>
                <w:sz w:val="14"/>
              </w:rPr>
            </w:pPr>
            <w:r>
              <w:rPr>
                <w:rFonts w:ascii="times" w:hAnsi="times"/>
                <w:sz w:val="14"/>
              </w:rPr>
              <w:t>)</w:t>
            </w:r>
          </w:p>
        </w:tc>
      </w:tr>
    </w:tbl>
    <w:p>
      <w:pPr>
        <w:pStyle w:val="TextBody"/>
        <w:jc w:val="center"/>
        <w:rPr>
          <w:rFonts w:ascii="times" w:hAnsi="times"/>
          <w:sz w:val="20"/>
        </w:rPr>
      </w:pPr>
      <w:r>
        <w:rPr>
          <w:rFonts w:ascii="times" w:hAnsi="times"/>
          <w:sz w:val="20"/>
        </w:rPr>
        <w:t>S-13</w:t>
      </w:r>
    </w:p>
    <w:p>
      <w:pPr>
        <w:pStyle w:val="HorizontalLine"/>
        <w:pBdr>
          <w:bottom w:val="single" w:sz="20" w:space="0" w:color="808080"/>
        </w:pBdr>
        <w:rPr/>
      </w:pPr>
      <w:r>
        <w:rPr/>
      </w:r>
      <w:r>
        <w:br w:type="page"/>
      </w:r>
    </w:p>
    <w:p>
      <w:pPr>
        <w:pStyle w:val="TextBody"/>
        <w:rPr/>
      </w:pPr>
      <w:hyperlink w:anchor="bE43504A_main_toc">
        <w:bookmarkStart w:id="48" w:name="page_bm43504_1_14"/>
        <w:bookmarkEnd w:id="48"/>
        <w:r>
          <w:rPr>
            <w:rStyle w:val="InternetLink"/>
            <w:rFonts w:ascii="times" w:hAnsi="times"/>
            <w:sz w:val="20"/>
          </w:rPr>
          <w:t>Table of Contents</w:t>
        </w:r>
      </w:hyperlink>
    </w:p>
    <w:p>
      <w:pPr>
        <w:pStyle w:val="TextBody"/>
        <w:rPr>
          <w:sz w:val="20"/>
        </w:rPr>
      </w:pPr>
      <w:r>
        <w:rPr>
          <w:sz w:val="20"/>
        </w:rPr>
      </w:r>
    </w:p>
    <w:tbl>
      <w:tblPr>
        <w:tblW w:w="5000" w:type="pct"/>
        <w:jc w:val="center"/>
        <w:tblInd w:w="0" w:type="dxa"/>
        <w:tblCellMar>
          <w:top w:w="0" w:type="dxa"/>
          <w:left w:w="0" w:type="dxa"/>
          <w:bottom w:w="0" w:type="dxa"/>
          <w:right w:w="0" w:type="dxa"/>
        </w:tblCellMar>
      </w:tblPr>
      <w:tblGrid>
        <w:gridCol w:w="2691"/>
        <w:gridCol w:w="216"/>
        <w:gridCol w:w="72"/>
        <w:gridCol w:w="1171"/>
        <w:gridCol w:w="216"/>
        <w:gridCol w:w="72"/>
        <w:gridCol w:w="1172"/>
        <w:gridCol w:w="216"/>
        <w:gridCol w:w="72"/>
        <w:gridCol w:w="1171"/>
        <w:gridCol w:w="216"/>
        <w:gridCol w:w="72"/>
        <w:gridCol w:w="1172"/>
        <w:gridCol w:w="216"/>
        <w:gridCol w:w="72"/>
        <w:gridCol w:w="1171"/>
        <w:gridCol w:w="217"/>
      </w:tblGrid>
      <w:tr>
        <w:trPr/>
        <w:tc>
          <w:tcPr>
            <w:tcW w:w="2691" w:type="dxa"/>
            <w:tcBorders/>
            <w:shd w:fill="auto" w:val="clear"/>
            <w:vAlign w:val="center"/>
          </w:tcPr>
          <w:p>
            <w:pPr>
              <w:pStyle w:val="TableContents"/>
              <w:spacing w:before="0" w:after="283"/>
              <w:rPr>
                <w:sz w:val="4"/>
                <w:szCs w:val="4"/>
              </w:rPr>
            </w:pPr>
            <w:r>
              <w:rPr>
                <w:sz w:val="4"/>
                <w:szCs w:val="4"/>
              </w:rPr>
            </w:r>
          </w:p>
        </w:tc>
        <w:tc>
          <w:tcPr>
            <w:tcW w:w="216" w:type="dxa"/>
            <w:tcBorders/>
            <w:shd w:fill="auto" w:val="clear"/>
            <w:vAlign w:val="center"/>
          </w:tcPr>
          <w:p>
            <w:pPr>
              <w:pStyle w:val="TableContents"/>
              <w:spacing w:before="0" w:after="283"/>
              <w:rPr>
                <w:sz w:val="4"/>
                <w:szCs w:val="4"/>
              </w:rPr>
            </w:pPr>
            <w:r>
              <w:rPr>
                <w:sz w:val="4"/>
                <w:szCs w:val="4"/>
              </w:rPr>
            </w:r>
          </w:p>
        </w:tc>
        <w:tc>
          <w:tcPr>
            <w:tcW w:w="72" w:type="dxa"/>
            <w:tcBorders/>
            <w:shd w:fill="auto" w:val="clear"/>
            <w:vAlign w:val="center"/>
          </w:tcPr>
          <w:p>
            <w:pPr>
              <w:pStyle w:val="TableContents"/>
              <w:spacing w:before="0" w:after="283"/>
              <w:rPr>
                <w:sz w:val="4"/>
                <w:szCs w:val="4"/>
              </w:rPr>
            </w:pPr>
            <w:r>
              <w:rPr>
                <w:sz w:val="4"/>
                <w:szCs w:val="4"/>
              </w:rPr>
            </w:r>
          </w:p>
        </w:tc>
        <w:tc>
          <w:tcPr>
            <w:tcW w:w="1171" w:type="dxa"/>
            <w:tcBorders/>
            <w:shd w:fill="auto" w:val="clear"/>
            <w:vAlign w:val="center"/>
          </w:tcPr>
          <w:p>
            <w:pPr>
              <w:pStyle w:val="TableContents"/>
              <w:spacing w:before="0" w:after="283"/>
              <w:rPr>
                <w:sz w:val="4"/>
                <w:szCs w:val="4"/>
              </w:rPr>
            </w:pPr>
            <w:r>
              <w:rPr>
                <w:sz w:val="4"/>
                <w:szCs w:val="4"/>
              </w:rPr>
            </w:r>
          </w:p>
        </w:tc>
        <w:tc>
          <w:tcPr>
            <w:tcW w:w="216" w:type="dxa"/>
            <w:tcBorders/>
            <w:shd w:fill="auto" w:val="clear"/>
            <w:vAlign w:val="center"/>
          </w:tcPr>
          <w:p>
            <w:pPr>
              <w:pStyle w:val="TableContents"/>
              <w:spacing w:before="0" w:after="283"/>
              <w:rPr>
                <w:sz w:val="4"/>
                <w:szCs w:val="4"/>
              </w:rPr>
            </w:pPr>
            <w:r>
              <w:rPr>
                <w:sz w:val="4"/>
                <w:szCs w:val="4"/>
              </w:rPr>
            </w:r>
          </w:p>
        </w:tc>
        <w:tc>
          <w:tcPr>
            <w:tcW w:w="72" w:type="dxa"/>
            <w:tcBorders/>
            <w:shd w:fill="auto" w:val="clear"/>
            <w:vAlign w:val="center"/>
          </w:tcPr>
          <w:p>
            <w:pPr>
              <w:pStyle w:val="TableContents"/>
              <w:spacing w:before="0" w:after="283"/>
              <w:rPr>
                <w:sz w:val="4"/>
                <w:szCs w:val="4"/>
              </w:rPr>
            </w:pPr>
            <w:r>
              <w:rPr>
                <w:sz w:val="4"/>
                <w:szCs w:val="4"/>
              </w:rPr>
            </w:r>
          </w:p>
        </w:tc>
        <w:tc>
          <w:tcPr>
            <w:tcW w:w="1172" w:type="dxa"/>
            <w:tcBorders/>
            <w:shd w:fill="auto" w:val="clear"/>
            <w:vAlign w:val="center"/>
          </w:tcPr>
          <w:p>
            <w:pPr>
              <w:pStyle w:val="TableContents"/>
              <w:spacing w:before="0" w:after="283"/>
              <w:rPr>
                <w:sz w:val="4"/>
                <w:szCs w:val="4"/>
              </w:rPr>
            </w:pPr>
            <w:r>
              <w:rPr>
                <w:sz w:val="4"/>
                <w:szCs w:val="4"/>
              </w:rPr>
            </w:r>
          </w:p>
        </w:tc>
        <w:tc>
          <w:tcPr>
            <w:tcW w:w="216" w:type="dxa"/>
            <w:tcBorders/>
            <w:shd w:fill="auto" w:val="clear"/>
            <w:vAlign w:val="center"/>
          </w:tcPr>
          <w:p>
            <w:pPr>
              <w:pStyle w:val="TableContents"/>
              <w:spacing w:before="0" w:after="283"/>
              <w:rPr>
                <w:sz w:val="4"/>
                <w:szCs w:val="4"/>
              </w:rPr>
            </w:pPr>
            <w:r>
              <w:rPr>
                <w:sz w:val="4"/>
                <w:szCs w:val="4"/>
              </w:rPr>
            </w:r>
          </w:p>
        </w:tc>
        <w:tc>
          <w:tcPr>
            <w:tcW w:w="72" w:type="dxa"/>
            <w:tcBorders/>
            <w:shd w:fill="auto" w:val="clear"/>
            <w:vAlign w:val="center"/>
          </w:tcPr>
          <w:p>
            <w:pPr>
              <w:pStyle w:val="TableContents"/>
              <w:spacing w:before="0" w:after="283"/>
              <w:rPr>
                <w:sz w:val="4"/>
                <w:szCs w:val="4"/>
              </w:rPr>
            </w:pPr>
            <w:r>
              <w:rPr>
                <w:sz w:val="4"/>
                <w:szCs w:val="4"/>
              </w:rPr>
            </w:r>
          </w:p>
        </w:tc>
        <w:tc>
          <w:tcPr>
            <w:tcW w:w="1171" w:type="dxa"/>
            <w:tcBorders/>
            <w:shd w:fill="auto" w:val="clear"/>
            <w:vAlign w:val="center"/>
          </w:tcPr>
          <w:p>
            <w:pPr>
              <w:pStyle w:val="TableContents"/>
              <w:spacing w:before="0" w:after="283"/>
              <w:rPr>
                <w:sz w:val="4"/>
                <w:szCs w:val="4"/>
              </w:rPr>
            </w:pPr>
            <w:r>
              <w:rPr>
                <w:sz w:val="4"/>
                <w:szCs w:val="4"/>
              </w:rPr>
            </w:r>
          </w:p>
        </w:tc>
        <w:tc>
          <w:tcPr>
            <w:tcW w:w="216" w:type="dxa"/>
            <w:tcBorders/>
            <w:shd w:fill="auto" w:val="clear"/>
            <w:vAlign w:val="center"/>
          </w:tcPr>
          <w:p>
            <w:pPr>
              <w:pStyle w:val="TableContents"/>
              <w:spacing w:before="0" w:after="283"/>
              <w:rPr>
                <w:sz w:val="4"/>
                <w:szCs w:val="4"/>
              </w:rPr>
            </w:pPr>
            <w:r>
              <w:rPr>
                <w:sz w:val="4"/>
                <w:szCs w:val="4"/>
              </w:rPr>
            </w:r>
          </w:p>
        </w:tc>
        <w:tc>
          <w:tcPr>
            <w:tcW w:w="72" w:type="dxa"/>
            <w:tcBorders/>
            <w:shd w:fill="auto" w:val="clear"/>
            <w:vAlign w:val="center"/>
          </w:tcPr>
          <w:p>
            <w:pPr>
              <w:pStyle w:val="TableContents"/>
              <w:spacing w:before="0" w:after="283"/>
              <w:rPr>
                <w:sz w:val="4"/>
                <w:szCs w:val="4"/>
              </w:rPr>
            </w:pPr>
            <w:r>
              <w:rPr>
                <w:sz w:val="4"/>
                <w:szCs w:val="4"/>
              </w:rPr>
            </w:r>
          </w:p>
        </w:tc>
        <w:tc>
          <w:tcPr>
            <w:tcW w:w="1172" w:type="dxa"/>
            <w:tcBorders/>
            <w:shd w:fill="auto" w:val="clear"/>
            <w:vAlign w:val="center"/>
          </w:tcPr>
          <w:p>
            <w:pPr>
              <w:pStyle w:val="TableContents"/>
              <w:spacing w:before="0" w:after="283"/>
              <w:rPr>
                <w:sz w:val="4"/>
                <w:szCs w:val="4"/>
              </w:rPr>
            </w:pPr>
            <w:r>
              <w:rPr>
                <w:sz w:val="4"/>
                <w:szCs w:val="4"/>
              </w:rPr>
            </w:r>
          </w:p>
        </w:tc>
        <w:tc>
          <w:tcPr>
            <w:tcW w:w="216" w:type="dxa"/>
            <w:tcBorders/>
            <w:shd w:fill="auto" w:val="clear"/>
            <w:vAlign w:val="center"/>
          </w:tcPr>
          <w:p>
            <w:pPr>
              <w:pStyle w:val="TableContents"/>
              <w:spacing w:before="0" w:after="283"/>
              <w:rPr>
                <w:sz w:val="4"/>
                <w:szCs w:val="4"/>
              </w:rPr>
            </w:pPr>
            <w:r>
              <w:rPr>
                <w:sz w:val="4"/>
                <w:szCs w:val="4"/>
              </w:rPr>
            </w:r>
          </w:p>
        </w:tc>
        <w:tc>
          <w:tcPr>
            <w:tcW w:w="72" w:type="dxa"/>
            <w:tcBorders/>
            <w:shd w:fill="auto" w:val="clear"/>
            <w:vAlign w:val="center"/>
          </w:tcPr>
          <w:p>
            <w:pPr>
              <w:pStyle w:val="TableContents"/>
              <w:spacing w:before="0" w:after="283"/>
              <w:rPr>
                <w:sz w:val="4"/>
                <w:szCs w:val="4"/>
              </w:rPr>
            </w:pPr>
            <w:r>
              <w:rPr>
                <w:sz w:val="4"/>
                <w:szCs w:val="4"/>
              </w:rPr>
            </w:r>
          </w:p>
        </w:tc>
        <w:tc>
          <w:tcPr>
            <w:tcW w:w="1171" w:type="dxa"/>
            <w:tcBorders/>
            <w:shd w:fill="auto" w:val="clear"/>
            <w:vAlign w:val="center"/>
          </w:tcPr>
          <w:p>
            <w:pPr>
              <w:pStyle w:val="TableContents"/>
              <w:spacing w:before="0" w:after="283"/>
              <w:rPr>
                <w:sz w:val="4"/>
                <w:szCs w:val="4"/>
              </w:rPr>
            </w:pPr>
            <w:r>
              <w:rPr>
                <w:sz w:val="4"/>
                <w:szCs w:val="4"/>
              </w:rPr>
            </w:r>
          </w:p>
        </w:tc>
        <w:tc>
          <w:tcPr>
            <w:tcW w:w="217" w:type="dxa"/>
            <w:tcBorders/>
            <w:shd w:fill="auto" w:val="clear"/>
            <w:vAlign w:val="center"/>
          </w:tcPr>
          <w:p>
            <w:pPr>
              <w:pStyle w:val="TableContents"/>
              <w:spacing w:before="0" w:after="283"/>
              <w:rPr>
                <w:sz w:val="4"/>
                <w:szCs w:val="4"/>
              </w:rPr>
            </w:pPr>
            <w:r>
              <w:rPr>
                <w:sz w:val="4"/>
                <w:szCs w:val="4"/>
              </w:rPr>
            </w:r>
          </w:p>
        </w:tc>
      </w:tr>
      <w:tr>
        <w:trPr/>
        <w:tc>
          <w:tcPr>
            <w:tcW w:w="2691" w:type="dxa"/>
            <w:tcBorders/>
            <w:shd w:fill="auto" w:val="clear"/>
            <w:vAlign w:val="bottom"/>
          </w:tcPr>
          <w:p>
            <w:pPr>
              <w:pStyle w:val="TableHeading"/>
              <w:spacing w:before="0" w:after="283"/>
              <w:jc w:val="left"/>
              <w:rPr/>
            </w:pPr>
            <w:r>
              <w:rPr/>
              <w:t> </w:t>
            </w:r>
          </w:p>
        </w:tc>
        <w:tc>
          <w:tcPr>
            <w:tcW w:w="216" w:type="dxa"/>
            <w:tcBorders/>
            <w:shd w:fill="auto" w:val="clear"/>
            <w:vAlign w:val="bottom"/>
          </w:tcPr>
          <w:p>
            <w:pPr>
              <w:pStyle w:val="TableHeading"/>
              <w:suppressLineNumbers/>
              <w:spacing w:before="0" w:after="283"/>
              <w:jc w:val="center"/>
              <w:rPr/>
            </w:pPr>
            <w:r>
              <w:rPr/>
              <w:t> </w:t>
            </w:r>
          </w:p>
        </w:tc>
        <w:tc>
          <w:tcPr>
            <w:tcW w:w="7081" w:type="dxa"/>
            <w:gridSpan w:val="14"/>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Year Ended December 31, </w:t>
            </w:r>
          </w:p>
        </w:tc>
        <w:tc>
          <w:tcPr>
            <w:tcW w:w="217" w:type="dxa"/>
            <w:tcBorders/>
            <w:shd w:fill="auto" w:val="clear"/>
            <w:vAlign w:val="bottom"/>
          </w:tcPr>
          <w:p>
            <w:pPr>
              <w:pStyle w:val="TableHeading"/>
              <w:suppressLineNumbers/>
              <w:spacing w:before="0" w:after="283"/>
              <w:jc w:val="center"/>
              <w:rPr/>
            </w:pPr>
            <w:r>
              <w:rPr/>
              <w:t> </w:t>
            </w:r>
          </w:p>
        </w:tc>
      </w:tr>
      <w:tr>
        <w:trPr/>
        <w:tc>
          <w:tcPr>
            <w:tcW w:w="2691" w:type="dxa"/>
            <w:tcBorders/>
            <w:shd w:fill="auto" w:val="clear"/>
            <w:vAlign w:val="bottom"/>
          </w:tcPr>
          <w:p>
            <w:pPr>
              <w:pStyle w:val="TableHeading"/>
              <w:spacing w:before="0" w:after="283"/>
              <w:jc w:val="left"/>
              <w:rPr/>
            </w:pPr>
            <w:r>
              <w:rPr/>
              <w:t> </w:t>
            </w:r>
          </w:p>
        </w:tc>
        <w:tc>
          <w:tcPr>
            <w:tcW w:w="216" w:type="dxa"/>
            <w:tcBorders/>
            <w:shd w:fill="auto" w:val="clear"/>
            <w:vAlign w:val="bottom"/>
          </w:tcPr>
          <w:p>
            <w:pPr>
              <w:pStyle w:val="TableHeading"/>
              <w:suppressLineNumbers/>
              <w:spacing w:before="0" w:after="283"/>
              <w:jc w:val="center"/>
              <w:rPr/>
            </w:pPr>
            <w:r>
              <w:rPr/>
              <w:t> </w:t>
            </w:r>
          </w:p>
        </w:tc>
        <w:tc>
          <w:tcPr>
            <w:tcW w:w="1243" w:type="dxa"/>
            <w:gridSpan w:val="2"/>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2016 </w:t>
            </w:r>
          </w:p>
        </w:tc>
        <w:tc>
          <w:tcPr>
            <w:tcW w:w="216" w:type="dxa"/>
            <w:tcBorders/>
            <w:shd w:fill="auto" w:val="clear"/>
            <w:vAlign w:val="bottom"/>
          </w:tcPr>
          <w:p>
            <w:pPr>
              <w:pStyle w:val="TableHeading"/>
              <w:suppressLineNumbers/>
              <w:spacing w:before="0" w:after="283"/>
              <w:jc w:val="center"/>
              <w:rPr/>
            </w:pPr>
            <w:r>
              <w:rPr/>
              <w:t> </w:t>
            </w:r>
          </w:p>
        </w:tc>
        <w:tc>
          <w:tcPr>
            <w:tcW w:w="1244" w:type="dxa"/>
            <w:gridSpan w:val="2"/>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2017 </w:t>
            </w:r>
          </w:p>
        </w:tc>
        <w:tc>
          <w:tcPr>
            <w:tcW w:w="216" w:type="dxa"/>
            <w:tcBorders/>
            <w:shd w:fill="auto" w:val="clear"/>
            <w:vAlign w:val="bottom"/>
          </w:tcPr>
          <w:p>
            <w:pPr>
              <w:pStyle w:val="TableHeading"/>
              <w:suppressLineNumbers/>
              <w:spacing w:before="0" w:after="283"/>
              <w:jc w:val="center"/>
              <w:rPr/>
            </w:pPr>
            <w:r>
              <w:rPr/>
              <w:t> </w:t>
            </w:r>
          </w:p>
        </w:tc>
        <w:tc>
          <w:tcPr>
            <w:tcW w:w="1243" w:type="dxa"/>
            <w:gridSpan w:val="2"/>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2018 </w:t>
            </w:r>
          </w:p>
        </w:tc>
        <w:tc>
          <w:tcPr>
            <w:tcW w:w="216" w:type="dxa"/>
            <w:tcBorders/>
            <w:shd w:fill="auto" w:val="clear"/>
            <w:vAlign w:val="bottom"/>
          </w:tcPr>
          <w:p>
            <w:pPr>
              <w:pStyle w:val="TableHeading"/>
              <w:suppressLineNumbers/>
              <w:spacing w:before="0" w:after="283"/>
              <w:jc w:val="center"/>
              <w:rPr/>
            </w:pPr>
            <w:r>
              <w:rPr/>
              <w:t> </w:t>
            </w:r>
          </w:p>
        </w:tc>
        <w:tc>
          <w:tcPr>
            <w:tcW w:w="1244" w:type="dxa"/>
            <w:gridSpan w:val="2"/>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2019 </w:t>
            </w:r>
          </w:p>
        </w:tc>
        <w:tc>
          <w:tcPr>
            <w:tcW w:w="216" w:type="dxa"/>
            <w:tcBorders/>
            <w:shd w:fill="auto" w:val="clear"/>
            <w:vAlign w:val="bottom"/>
          </w:tcPr>
          <w:p>
            <w:pPr>
              <w:pStyle w:val="TableHeading"/>
              <w:suppressLineNumbers/>
              <w:spacing w:before="0" w:after="283"/>
              <w:jc w:val="center"/>
              <w:rPr/>
            </w:pPr>
            <w:r>
              <w:rPr/>
              <w:t> </w:t>
            </w:r>
          </w:p>
        </w:tc>
        <w:tc>
          <w:tcPr>
            <w:tcW w:w="1243" w:type="dxa"/>
            <w:gridSpan w:val="2"/>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2020 </w:t>
            </w:r>
          </w:p>
        </w:tc>
        <w:tc>
          <w:tcPr>
            <w:tcW w:w="217" w:type="dxa"/>
            <w:tcBorders/>
            <w:shd w:fill="auto" w:val="clear"/>
            <w:vAlign w:val="bottom"/>
          </w:tcPr>
          <w:p>
            <w:pPr>
              <w:pStyle w:val="TableHeading"/>
              <w:suppressLineNumbers/>
              <w:spacing w:before="0" w:after="283"/>
              <w:jc w:val="center"/>
              <w:rPr/>
            </w:pPr>
            <w:r>
              <w:rPr/>
              <w:t> </w:t>
            </w:r>
          </w:p>
        </w:tc>
      </w:tr>
      <w:tr>
        <w:trPr/>
        <w:tc>
          <w:tcPr>
            <w:tcW w:w="2691" w:type="dxa"/>
            <w:tcBorders/>
            <w:shd w:fill="auto" w:val="clear"/>
            <w:vAlign w:val="bottom"/>
          </w:tcPr>
          <w:p>
            <w:pPr>
              <w:pStyle w:val="TableHeading"/>
              <w:spacing w:before="0" w:after="283"/>
              <w:jc w:val="left"/>
              <w:rPr/>
            </w:pPr>
            <w:r>
              <w:rPr/>
              <w:t> </w:t>
            </w:r>
          </w:p>
        </w:tc>
        <w:tc>
          <w:tcPr>
            <w:tcW w:w="216" w:type="dxa"/>
            <w:tcBorders/>
            <w:shd w:fill="auto" w:val="clear"/>
            <w:vAlign w:val="bottom"/>
          </w:tcPr>
          <w:p>
            <w:pPr>
              <w:pStyle w:val="TableHeading"/>
              <w:suppressLineNumbers/>
              <w:spacing w:before="0" w:after="283"/>
              <w:jc w:val="center"/>
              <w:rPr/>
            </w:pPr>
            <w:r>
              <w:rPr/>
              <w:t> </w:t>
            </w:r>
          </w:p>
        </w:tc>
        <w:tc>
          <w:tcPr>
            <w:tcW w:w="1243" w:type="dxa"/>
            <w:gridSpan w:val="2"/>
            <w:tcBorders/>
            <w:shd w:fill="auto" w:val="clear"/>
            <w:vAlign w:val="bottom"/>
          </w:tcPr>
          <w:p>
            <w:pPr>
              <w:pStyle w:val="TableHeading"/>
              <w:spacing w:before="0" w:after="283"/>
              <w:jc w:val="left"/>
              <w:rPr/>
            </w:pPr>
            <w:r>
              <w:rPr/>
              <w:t> </w:t>
            </w:r>
          </w:p>
        </w:tc>
        <w:tc>
          <w:tcPr>
            <w:tcW w:w="216" w:type="dxa"/>
            <w:tcBorders/>
            <w:shd w:fill="auto" w:val="clear"/>
            <w:vAlign w:val="bottom"/>
          </w:tcPr>
          <w:p>
            <w:pPr>
              <w:pStyle w:val="TableHeading"/>
              <w:suppressLineNumbers/>
              <w:spacing w:before="0" w:after="283"/>
              <w:jc w:val="center"/>
              <w:rPr/>
            </w:pPr>
            <w:r>
              <w:rPr/>
              <w:t> </w:t>
            </w:r>
          </w:p>
        </w:tc>
        <w:tc>
          <w:tcPr>
            <w:tcW w:w="4163" w:type="dxa"/>
            <w:gridSpan w:val="8"/>
            <w:tcBorders/>
            <w:shd w:fill="auto" w:val="clear"/>
            <w:vAlign w:val="bottom"/>
          </w:tcPr>
          <w:p>
            <w:pPr>
              <w:pStyle w:val="TableHeading"/>
              <w:spacing w:before="0" w:after="283"/>
              <w:jc w:val="center"/>
              <w:rPr>
                <w:rFonts w:ascii="times" w:hAnsi="times"/>
                <w:b/>
                <w:sz w:val="14"/>
              </w:rPr>
            </w:pPr>
            <w:r>
              <w:rPr>
                <w:rFonts w:ascii="times" w:hAnsi="times"/>
                <w:b/>
                <w:sz w:val="14"/>
              </w:rPr>
              <w:t>(in thousands of U.S. dollars)</w:t>
            </w:r>
          </w:p>
        </w:tc>
        <w:tc>
          <w:tcPr>
            <w:tcW w:w="216" w:type="dxa"/>
            <w:tcBorders/>
            <w:shd w:fill="auto" w:val="clear"/>
            <w:vAlign w:val="bottom"/>
          </w:tcPr>
          <w:p>
            <w:pPr>
              <w:pStyle w:val="TableHeading"/>
              <w:suppressLineNumbers/>
              <w:spacing w:before="0" w:after="283"/>
              <w:jc w:val="center"/>
              <w:rPr/>
            </w:pPr>
            <w:r>
              <w:rPr/>
              <w:t> </w:t>
            </w:r>
          </w:p>
        </w:tc>
        <w:tc>
          <w:tcPr>
            <w:tcW w:w="1243" w:type="dxa"/>
            <w:gridSpan w:val="2"/>
            <w:tcBorders/>
            <w:shd w:fill="auto" w:val="clear"/>
            <w:vAlign w:val="bottom"/>
          </w:tcPr>
          <w:p>
            <w:pPr>
              <w:pStyle w:val="TableHeading"/>
              <w:spacing w:before="0" w:after="283"/>
              <w:jc w:val="left"/>
              <w:rPr/>
            </w:pPr>
            <w:r>
              <w:rPr/>
              <w:t> </w:t>
            </w:r>
          </w:p>
        </w:tc>
        <w:tc>
          <w:tcPr>
            <w:tcW w:w="217" w:type="dxa"/>
            <w:tcBorders/>
            <w:shd w:fill="auto" w:val="clear"/>
            <w:vAlign w:val="bottom"/>
          </w:tcPr>
          <w:p>
            <w:pPr>
              <w:pStyle w:val="TableHeading"/>
              <w:suppressLineNumbers/>
              <w:spacing w:before="0" w:after="283"/>
              <w:jc w:val="center"/>
              <w:rPr/>
            </w:pPr>
            <w:r>
              <w:rPr/>
              <w:t> </w:t>
            </w:r>
          </w:p>
        </w:tc>
      </w:tr>
      <w:tr>
        <w:trPr/>
        <w:tc>
          <w:tcPr>
            <w:tcW w:w="2691" w:type="dxa"/>
            <w:tcBorders/>
            <w:shd w:fill="CCEEFF" w:val="clear"/>
            <w:vAlign w:val="bottom"/>
          </w:tcPr>
          <w:p>
            <w:pPr>
              <w:pStyle w:val="TableContents"/>
              <w:spacing w:before="0" w:after="283"/>
              <w:ind w:left="140" w:right="0" w:hanging="140"/>
              <w:rPr>
                <w:rFonts w:ascii="times" w:hAnsi="times"/>
                <w:b/>
                <w:sz w:val="14"/>
              </w:rPr>
            </w:pPr>
            <w:r>
              <w:rPr>
                <w:rFonts w:ascii="times" w:hAnsi="times"/>
                <w:b/>
                <w:sz w:val="14"/>
              </w:rPr>
              <w:t>NUMBER OF UNITS OUTSTANDING</w:t>
            </w:r>
          </w:p>
        </w:tc>
        <w:tc>
          <w:tcPr>
            <w:tcW w:w="216" w:type="dxa"/>
            <w:tcBorders/>
            <w:shd w:fill="CCEEFF" w:val="clear"/>
            <w:vAlign w:val="bottom"/>
          </w:tcPr>
          <w:p>
            <w:pPr>
              <w:pStyle w:val="TableContents"/>
              <w:spacing w:before="0" w:after="283"/>
              <w:rPr/>
            </w:pPr>
            <w:r>
              <w:rPr/>
              <w:t> </w:t>
            </w:r>
          </w:p>
        </w:tc>
        <w:tc>
          <w:tcPr>
            <w:tcW w:w="72" w:type="dxa"/>
            <w:tcBorders/>
            <w:shd w:fill="CCEEFF" w:val="clear"/>
            <w:vAlign w:val="bottom"/>
          </w:tcPr>
          <w:p>
            <w:pPr>
              <w:pStyle w:val="TableContents"/>
              <w:spacing w:before="0" w:after="283"/>
              <w:rPr/>
            </w:pPr>
            <w:r>
              <w:rPr/>
              <w:t> </w:t>
            </w:r>
          </w:p>
        </w:tc>
        <w:tc>
          <w:tcPr>
            <w:tcW w:w="1171" w:type="dxa"/>
            <w:tcBorders/>
            <w:shd w:fill="CCEEFF" w:val="clear"/>
            <w:vAlign w:val="bottom"/>
          </w:tcPr>
          <w:p>
            <w:pPr>
              <w:pStyle w:val="TableContents"/>
              <w:spacing w:before="0" w:after="283"/>
              <w:jc w:val="right"/>
              <w:rPr/>
            </w:pPr>
            <w:r>
              <w:rPr/>
              <w:t> </w:t>
            </w:r>
          </w:p>
        </w:tc>
        <w:tc>
          <w:tcPr>
            <w:tcW w:w="216" w:type="dxa"/>
            <w:tcBorders/>
            <w:shd w:fill="CCEEFF" w:val="clear"/>
            <w:vAlign w:val="bottom"/>
          </w:tcPr>
          <w:p>
            <w:pPr>
              <w:pStyle w:val="TableContents"/>
              <w:spacing w:before="0" w:after="283"/>
              <w:rPr/>
            </w:pPr>
            <w:r>
              <w:rPr/>
              <w:t> </w:t>
            </w:r>
          </w:p>
        </w:tc>
        <w:tc>
          <w:tcPr>
            <w:tcW w:w="72" w:type="dxa"/>
            <w:tcBorders/>
            <w:shd w:fill="CCEEFF" w:val="clear"/>
            <w:vAlign w:val="bottom"/>
          </w:tcPr>
          <w:p>
            <w:pPr>
              <w:pStyle w:val="TableContents"/>
              <w:spacing w:before="0" w:after="283"/>
              <w:rPr/>
            </w:pPr>
            <w:r>
              <w:rPr/>
              <w:t> </w:t>
            </w:r>
          </w:p>
        </w:tc>
        <w:tc>
          <w:tcPr>
            <w:tcW w:w="1172" w:type="dxa"/>
            <w:tcBorders/>
            <w:shd w:fill="CCEEFF" w:val="clear"/>
            <w:vAlign w:val="bottom"/>
          </w:tcPr>
          <w:p>
            <w:pPr>
              <w:pStyle w:val="TableContents"/>
              <w:spacing w:before="0" w:after="283"/>
              <w:jc w:val="right"/>
              <w:rPr/>
            </w:pPr>
            <w:r>
              <w:rPr/>
              <w:t> </w:t>
            </w:r>
          </w:p>
        </w:tc>
        <w:tc>
          <w:tcPr>
            <w:tcW w:w="216" w:type="dxa"/>
            <w:tcBorders/>
            <w:shd w:fill="CCEEFF" w:val="clear"/>
            <w:vAlign w:val="bottom"/>
          </w:tcPr>
          <w:p>
            <w:pPr>
              <w:pStyle w:val="TableContents"/>
              <w:spacing w:before="0" w:after="283"/>
              <w:rPr/>
            </w:pPr>
            <w:r>
              <w:rPr/>
              <w:t> </w:t>
            </w:r>
          </w:p>
        </w:tc>
        <w:tc>
          <w:tcPr>
            <w:tcW w:w="72" w:type="dxa"/>
            <w:tcBorders/>
            <w:shd w:fill="CCEEFF" w:val="clear"/>
            <w:vAlign w:val="bottom"/>
          </w:tcPr>
          <w:p>
            <w:pPr>
              <w:pStyle w:val="TableContents"/>
              <w:spacing w:before="0" w:after="283"/>
              <w:rPr/>
            </w:pPr>
            <w:r>
              <w:rPr/>
              <w:t> </w:t>
            </w:r>
          </w:p>
        </w:tc>
        <w:tc>
          <w:tcPr>
            <w:tcW w:w="1171" w:type="dxa"/>
            <w:tcBorders/>
            <w:shd w:fill="CCEEFF" w:val="clear"/>
            <w:vAlign w:val="bottom"/>
          </w:tcPr>
          <w:p>
            <w:pPr>
              <w:pStyle w:val="TableContents"/>
              <w:spacing w:before="0" w:after="283"/>
              <w:jc w:val="right"/>
              <w:rPr/>
            </w:pPr>
            <w:r>
              <w:rPr/>
              <w:t> </w:t>
            </w:r>
          </w:p>
        </w:tc>
        <w:tc>
          <w:tcPr>
            <w:tcW w:w="216" w:type="dxa"/>
            <w:tcBorders/>
            <w:shd w:fill="CCEEFF" w:val="clear"/>
            <w:vAlign w:val="bottom"/>
          </w:tcPr>
          <w:p>
            <w:pPr>
              <w:pStyle w:val="TableContents"/>
              <w:spacing w:before="0" w:after="283"/>
              <w:rPr/>
            </w:pPr>
            <w:r>
              <w:rPr/>
              <w:t> </w:t>
            </w:r>
          </w:p>
        </w:tc>
        <w:tc>
          <w:tcPr>
            <w:tcW w:w="72" w:type="dxa"/>
            <w:tcBorders/>
            <w:shd w:fill="CCEEFF" w:val="clear"/>
            <w:vAlign w:val="bottom"/>
          </w:tcPr>
          <w:p>
            <w:pPr>
              <w:pStyle w:val="TableContents"/>
              <w:spacing w:before="0" w:after="283"/>
              <w:rPr/>
            </w:pPr>
            <w:r>
              <w:rPr/>
              <w:t> </w:t>
            </w:r>
          </w:p>
        </w:tc>
        <w:tc>
          <w:tcPr>
            <w:tcW w:w="1172" w:type="dxa"/>
            <w:tcBorders/>
            <w:shd w:fill="CCEEFF" w:val="clear"/>
            <w:vAlign w:val="bottom"/>
          </w:tcPr>
          <w:p>
            <w:pPr>
              <w:pStyle w:val="TableContents"/>
              <w:spacing w:before="0" w:after="283"/>
              <w:jc w:val="right"/>
              <w:rPr/>
            </w:pPr>
            <w:r>
              <w:rPr/>
              <w:t> </w:t>
            </w:r>
          </w:p>
        </w:tc>
        <w:tc>
          <w:tcPr>
            <w:tcW w:w="216" w:type="dxa"/>
            <w:tcBorders/>
            <w:shd w:fill="CCEEFF" w:val="clear"/>
            <w:vAlign w:val="bottom"/>
          </w:tcPr>
          <w:p>
            <w:pPr>
              <w:pStyle w:val="TableContents"/>
              <w:spacing w:before="0" w:after="283"/>
              <w:rPr/>
            </w:pPr>
            <w:r>
              <w:rPr/>
              <w:t> </w:t>
            </w:r>
          </w:p>
        </w:tc>
        <w:tc>
          <w:tcPr>
            <w:tcW w:w="72" w:type="dxa"/>
            <w:tcBorders/>
            <w:shd w:fill="CCEEFF" w:val="clear"/>
            <w:vAlign w:val="bottom"/>
          </w:tcPr>
          <w:p>
            <w:pPr>
              <w:pStyle w:val="TableContents"/>
              <w:spacing w:before="0" w:after="283"/>
              <w:rPr/>
            </w:pPr>
            <w:r>
              <w:rPr/>
              <w:t> </w:t>
            </w:r>
          </w:p>
        </w:tc>
        <w:tc>
          <w:tcPr>
            <w:tcW w:w="1171" w:type="dxa"/>
            <w:tcBorders/>
            <w:shd w:fill="CCEEFF" w:val="clear"/>
            <w:vAlign w:val="bottom"/>
          </w:tcPr>
          <w:p>
            <w:pPr>
              <w:pStyle w:val="TableContents"/>
              <w:spacing w:before="0" w:after="283"/>
              <w:jc w:val="right"/>
              <w:rPr/>
            </w:pPr>
            <w:r>
              <w:rPr/>
              <w:t> </w:t>
            </w:r>
          </w:p>
        </w:tc>
        <w:tc>
          <w:tcPr>
            <w:tcW w:w="217" w:type="dxa"/>
            <w:tcBorders/>
            <w:shd w:fill="CCEEFF" w:val="clear"/>
            <w:vAlign w:val="bottom"/>
          </w:tcPr>
          <w:p>
            <w:pPr>
              <w:pStyle w:val="TableContents"/>
              <w:spacing w:before="0" w:after="283"/>
              <w:rPr/>
            </w:pPr>
            <w:r>
              <w:rPr/>
              <w:t> </w:t>
            </w:r>
          </w:p>
        </w:tc>
      </w:tr>
      <w:tr>
        <w:trPr/>
        <w:tc>
          <w:tcPr>
            <w:tcW w:w="2691" w:type="dxa"/>
            <w:tcBorders/>
            <w:shd w:fill="FFFFFF" w:val="clear"/>
            <w:vAlign w:val="bottom"/>
          </w:tcPr>
          <w:p>
            <w:pPr>
              <w:pStyle w:val="TableContents"/>
              <w:spacing w:before="0" w:after="283"/>
              <w:ind w:left="140" w:right="0" w:hanging="140"/>
              <w:rPr>
                <w:rFonts w:ascii="times" w:hAnsi="times"/>
                <w:sz w:val="14"/>
              </w:rPr>
            </w:pPr>
            <w:r>
              <w:rPr>
                <w:rFonts w:ascii="times" w:hAnsi="times"/>
                <w:sz w:val="14"/>
              </w:rPr>
              <w:t>General partner units</w:t>
            </w:r>
          </w:p>
        </w:tc>
        <w:tc>
          <w:tcPr>
            <w:tcW w:w="216" w:type="dxa"/>
            <w:tcBorders/>
            <w:shd w:fill="FFFFFF" w:val="clear"/>
            <w:vAlign w:val="bottom"/>
          </w:tcPr>
          <w:p>
            <w:pPr>
              <w:pStyle w:val="TableContents"/>
              <w:spacing w:before="0" w:after="283"/>
              <w:rPr/>
            </w:pPr>
            <w:r>
              <w:rPr/>
              <w:t> </w:t>
            </w:r>
          </w:p>
        </w:tc>
        <w:tc>
          <w:tcPr>
            <w:tcW w:w="72" w:type="dxa"/>
            <w:tcBorders/>
            <w:shd w:fill="FFFFFF" w:val="clear"/>
            <w:vAlign w:val="bottom"/>
          </w:tcPr>
          <w:p>
            <w:pPr>
              <w:pStyle w:val="TableContents"/>
              <w:spacing w:before="0" w:after="283"/>
              <w:rPr/>
            </w:pPr>
            <w:r>
              <w:rPr/>
              <w:t> </w:t>
            </w:r>
          </w:p>
        </w:tc>
        <w:tc>
          <w:tcPr>
            <w:tcW w:w="1171" w:type="dxa"/>
            <w:tcBorders/>
            <w:shd w:fill="FFFFFF" w:val="clear"/>
            <w:vAlign w:val="bottom"/>
          </w:tcPr>
          <w:p>
            <w:pPr>
              <w:pStyle w:val="TableContents"/>
              <w:spacing w:before="0" w:after="283"/>
              <w:jc w:val="right"/>
              <w:rPr>
                <w:rFonts w:ascii="times" w:hAnsi="times"/>
                <w:sz w:val="14"/>
              </w:rPr>
            </w:pPr>
            <w:r>
              <w:rPr>
                <w:rFonts w:ascii="times" w:hAnsi="times"/>
                <w:sz w:val="14"/>
              </w:rPr>
              <w:t>701,933</w:t>
            </w:r>
          </w:p>
        </w:tc>
        <w:tc>
          <w:tcPr>
            <w:tcW w:w="216" w:type="dxa"/>
            <w:tcBorders/>
            <w:shd w:fill="FFFFFF" w:val="clear"/>
            <w:vAlign w:val="bottom"/>
          </w:tcPr>
          <w:p>
            <w:pPr>
              <w:pStyle w:val="TableContents"/>
              <w:spacing w:before="0" w:after="283"/>
              <w:rPr/>
            </w:pPr>
            <w:r>
              <w:rPr/>
              <w:t> </w:t>
            </w:r>
          </w:p>
        </w:tc>
        <w:tc>
          <w:tcPr>
            <w:tcW w:w="72" w:type="dxa"/>
            <w:tcBorders/>
            <w:shd w:fill="FFFFFF" w:val="clear"/>
            <w:vAlign w:val="bottom"/>
          </w:tcPr>
          <w:p>
            <w:pPr>
              <w:pStyle w:val="TableContents"/>
              <w:spacing w:before="0" w:after="283"/>
              <w:rPr/>
            </w:pPr>
            <w:r>
              <w:rPr/>
              <w:t> </w:t>
            </w:r>
          </w:p>
        </w:tc>
        <w:tc>
          <w:tcPr>
            <w:tcW w:w="1172" w:type="dxa"/>
            <w:tcBorders/>
            <w:shd w:fill="FFFFFF" w:val="clear"/>
            <w:vAlign w:val="bottom"/>
          </w:tcPr>
          <w:p>
            <w:pPr>
              <w:pStyle w:val="TableContents"/>
              <w:spacing w:before="0" w:after="283"/>
              <w:jc w:val="right"/>
              <w:rPr>
                <w:rFonts w:ascii="times" w:hAnsi="times"/>
                <w:sz w:val="14"/>
              </w:rPr>
            </w:pPr>
            <w:r>
              <w:rPr>
                <w:rFonts w:ascii="times" w:hAnsi="times"/>
                <w:sz w:val="14"/>
              </w:rPr>
              <w:t>836,779</w:t>
            </w:r>
          </w:p>
        </w:tc>
        <w:tc>
          <w:tcPr>
            <w:tcW w:w="216" w:type="dxa"/>
            <w:tcBorders/>
            <w:shd w:fill="FFFFFF" w:val="clear"/>
            <w:vAlign w:val="bottom"/>
          </w:tcPr>
          <w:p>
            <w:pPr>
              <w:pStyle w:val="TableContents"/>
              <w:spacing w:before="0" w:after="283"/>
              <w:rPr/>
            </w:pPr>
            <w:r>
              <w:rPr/>
              <w:t> </w:t>
            </w:r>
          </w:p>
        </w:tc>
        <w:tc>
          <w:tcPr>
            <w:tcW w:w="72" w:type="dxa"/>
            <w:tcBorders/>
            <w:shd w:fill="FFFFFF" w:val="clear"/>
            <w:vAlign w:val="bottom"/>
          </w:tcPr>
          <w:p>
            <w:pPr>
              <w:pStyle w:val="TableContents"/>
              <w:spacing w:before="0" w:after="283"/>
              <w:rPr/>
            </w:pPr>
            <w:r>
              <w:rPr/>
              <w:t> </w:t>
            </w:r>
          </w:p>
        </w:tc>
        <w:tc>
          <w:tcPr>
            <w:tcW w:w="1171" w:type="dxa"/>
            <w:tcBorders/>
            <w:shd w:fill="FFFFFF" w:val="clear"/>
            <w:vAlign w:val="bottom"/>
          </w:tcPr>
          <w:p>
            <w:pPr>
              <w:pStyle w:val="TableContents"/>
              <w:spacing w:before="0" w:after="283"/>
              <w:jc w:val="right"/>
              <w:rPr>
                <w:rFonts w:ascii="times" w:hAnsi="times"/>
                <w:sz w:val="14"/>
              </w:rPr>
            </w:pPr>
            <w:r>
              <w:rPr>
                <w:rFonts w:ascii="times" w:hAnsi="times"/>
                <w:sz w:val="14"/>
              </w:rPr>
              <w:t>927,532</w:t>
            </w:r>
          </w:p>
        </w:tc>
        <w:tc>
          <w:tcPr>
            <w:tcW w:w="216" w:type="dxa"/>
            <w:tcBorders/>
            <w:shd w:fill="FFFFFF" w:val="clear"/>
            <w:vAlign w:val="bottom"/>
          </w:tcPr>
          <w:p>
            <w:pPr>
              <w:pStyle w:val="TableContents"/>
              <w:spacing w:before="0" w:after="283"/>
              <w:rPr/>
            </w:pPr>
            <w:r>
              <w:rPr/>
              <w:t> </w:t>
            </w:r>
          </w:p>
        </w:tc>
        <w:tc>
          <w:tcPr>
            <w:tcW w:w="72" w:type="dxa"/>
            <w:tcBorders/>
            <w:shd w:fill="FFFFFF" w:val="clear"/>
            <w:vAlign w:val="bottom"/>
          </w:tcPr>
          <w:p>
            <w:pPr>
              <w:pStyle w:val="TableContents"/>
              <w:spacing w:before="0" w:after="283"/>
              <w:rPr/>
            </w:pPr>
            <w:r>
              <w:rPr/>
              <w:t> </w:t>
            </w:r>
          </w:p>
        </w:tc>
        <w:tc>
          <w:tcPr>
            <w:tcW w:w="1172" w:type="dxa"/>
            <w:tcBorders/>
            <w:shd w:fill="FFFFFF" w:val="clear"/>
            <w:vAlign w:val="bottom"/>
          </w:tcPr>
          <w:p>
            <w:pPr>
              <w:pStyle w:val="TableContents"/>
              <w:spacing w:before="0" w:after="283"/>
              <w:jc w:val="right"/>
              <w:rPr>
                <w:rFonts w:ascii="times" w:hAnsi="times"/>
                <w:sz w:val="14"/>
              </w:rPr>
            </w:pPr>
            <w:r>
              <w:rPr>
                <w:rFonts w:ascii="times" w:hAnsi="times"/>
                <w:sz w:val="14"/>
              </w:rPr>
              <w:t>1,021,336</w:t>
            </w:r>
          </w:p>
        </w:tc>
        <w:tc>
          <w:tcPr>
            <w:tcW w:w="216" w:type="dxa"/>
            <w:tcBorders/>
            <w:shd w:fill="FFFFFF" w:val="clear"/>
            <w:vAlign w:val="bottom"/>
          </w:tcPr>
          <w:p>
            <w:pPr>
              <w:pStyle w:val="TableContents"/>
              <w:spacing w:before="0" w:after="283"/>
              <w:rPr/>
            </w:pPr>
            <w:r>
              <w:rPr/>
              <w:t> </w:t>
            </w:r>
          </w:p>
        </w:tc>
        <w:tc>
          <w:tcPr>
            <w:tcW w:w="72" w:type="dxa"/>
            <w:tcBorders/>
            <w:shd w:fill="FFFFFF" w:val="clear"/>
            <w:vAlign w:val="bottom"/>
          </w:tcPr>
          <w:p>
            <w:pPr>
              <w:pStyle w:val="TableContents"/>
              <w:spacing w:before="0" w:after="283"/>
              <w:rPr/>
            </w:pPr>
            <w:r>
              <w:rPr/>
              <w:t> </w:t>
            </w:r>
          </w:p>
        </w:tc>
        <w:tc>
          <w:tcPr>
            <w:tcW w:w="1171" w:type="dxa"/>
            <w:tcBorders/>
            <w:shd w:fill="FFFFFF" w:val="clear"/>
            <w:vAlign w:val="bottom"/>
          </w:tcPr>
          <w:p>
            <w:pPr>
              <w:pStyle w:val="TableContents"/>
              <w:spacing w:before="0" w:after="283"/>
              <w:jc w:val="right"/>
              <w:rPr>
                <w:rFonts w:ascii="times" w:hAnsi="times"/>
                <w:sz w:val="14"/>
              </w:rPr>
            </w:pPr>
            <w:r>
              <w:rPr>
                <w:rFonts w:ascii="times" w:hAnsi="times"/>
                <w:sz w:val="14"/>
              </w:rPr>
              <w:t>1,021,336</w:t>
            </w:r>
          </w:p>
        </w:tc>
        <w:tc>
          <w:tcPr>
            <w:tcW w:w="217" w:type="dxa"/>
            <w:tcBorders/>
            <w:shd w:fill="FFFFFF" w:val="clear"/>
            <w:vAlign w:val="bottom"/>
          </w:tcPr>
          <w:p>
            <w:pPr>
              <w:pStyle w:val="TableContents"/>
              <w:spacing w:before="0" w:after="283"/>
              <w:rPr/>
            </w:pPr>
            <w:r>
              <w:rPr/>
              <w:t> </w:t>
            </w:r>
          </w:p>
        </w:tc>
      </w:tr>
      <w:tr>
        <w:trPr/>
        <w:tc>
          <w:tcPr>
            <w:tcW w:w="2691" w:type="dxa"/>
            <w:tcBorders/>
            <w:shd w:fill="CCEEFF" w:val="clear"/>
            <w:vAlign w:val="bottom"/>
          </w:tcPr>
          <w:p>
            <w:pPr>
              <w:pStyle w:val="TableContents"/>
              <w:spacing w:before="0" w:after="283"/>
              <w:ind w:left="140" w:right="0" w:hanging="140"/>
              <w:rPr>
                <w:rFonts w:ascii="times" w:hAnsi="times"/>
                <w:sz w:val="14"/>
              </w:rPr>
            </w:pPr>
            <w:r>
              <w:rPr>
                <w:rFonts w:ascii="times" w:hAnsi="times"/>
                <w:sz w:val="14"/>
              </w:rPr>
              <w:t>Common units</w:t>
            </w:r>
          </w:p>
        </w:tc>
        <w:tc>
          <w:tcPr>
            <w:tcW w:w="216" w:type="dxa"/>
            <w:tcBorders/>
            <w:shd w:fill="CCEEFF" w:val="clear"/>
            <w:vAlign w:val="bottom"/>
          </w:tcPr>
          <w:p>
            <w:pPr>
              <w:pStyle w:val="TableContents"/>
              <w:spacing w:before="0" w:after="283"/>
              <w:rPr/>
            </w:pPr>
            <w:r>
              <w:rPr/>
              <w:t> </w:t>
            </w:r>
          </w:p>
        </w:tc>
        <w:tc>
          <w:tcPr>
            <w:tcW w:w="72" w:type="dxa"/>
            <w:tcBorders/>
            <w:shd w:fill="CCEEFF" w:val="clear"/>
            <w:vAlign w:val="bottom"/>
          </w:tcPr>
          <w:p>
            <w:pPr>
              <w:pStyle w:val="TableContents"/>
              <w:spacing w:before="0" w:after="283"/>
              <w:rPr/>
            </w:pPr>
            <w:r>
              <w:rPr/>
              <w:t> </w:t>
            </w:r>
          </w:p>
        </w:tc>
        <w:tc>
          <w:tcPr>
            <w:tcW w:w="1171" w:type="dxa"/>
            <w:tcBorders/>
            <w:shd w:fill="CCEEFF" w:val="clear"/>
            <w:vAlign w:val="bottom"/>
          </w:tcPr>
          <w:p>
            <w:pPr>
              <w:pStyle w:val="TableContents"/>
              <w:spacing w:before="0" w:after="283"/>
              <w:jc w:val="right"/>
              <w:rPr>
                <w:rFonts w:ascii="times" w:hAnsi="times"/>
                <w:sz w:val="14"/>
              </w:rPr>
            </w:pPr>
            <w:r>
              <w:rPr>
                <w:rFonts w:ascii="times" w:hAnsi="times"/>
                <w:sz w:val="14"/>
              </w:rPr>
              <w:t>24,572,358</w:t>
            </w:r>
          </w:p>
        </w:tc>
        <w:tc>
          <w:tcPr>
            <w:tcW w:w="216" w:type="dxa"/>
            <w:tcBorders/>
            <w:shd w:fill="CCEEFF" w:val="clear"/>
            <w:vAlign w:val="bottom"/>
          </w:tcPr>
          <w:p>
            <w:pPr>
              <w:pStyle w:val="TableContents"/>
              <w:spacing w:before="0" w:after="283"/>
              <w:rPr/>
            </w:pPr>
            <w:r>
              <w:rPr/>
              <w:t> </w:t>
            </w:r>
          </w:p>
        </w:tc>
        <w:tc>
          <w:tcPr>
            <w:tcW w:w="72" w:type="dxa"/>
            <w:tcBorders/>
            <w:shd w:fill="CCEEFF" w:val="clear"/>
            <w:vAlign w:val="bottom"/>
          </w:tcPr>
          <w:p>
            <w:pPr>
              <w:pStyle w:val="TableContents"/>
              <w:spacing w:before="0" w:after="283"/>
              <w:rPr/>
            </w:pPr>
            <w:r>
              <w:rPr/>
              <w:t> </w:t>
            </w:r>
          </w:p>
        </w:tc>
        <w:tc>
          <w:tcPr>
            <w:tcW w:w="1172" w:type="dxa"/>
            <w:tcBorders/>
            <w:shd w:fill="CCEEFF" w:val="clear"/>
            <w:vAlign w:val="bottom"/>
          </w:tcPr>
          <w:p>
            <w:pPr>
              <w:pStyle w:val="TableContents"/>
              <w:spacing w:before="0" w:after="283"/>
              <w:jc w:val="right"/>
              <w:rPr>
                <w:rFonts w:ascii="times" w:hAnsi="times"/>
                <w:sz w:val="14"/>
              </w:rPr>
            </w:pPr>
            <w:r>
              <w:rPr>
                <w:rFonts w:ascii="times" w:hAnsi="times"/>
                <w:sz w:val="14"/>
              </w:rPr>
              <w:t>41,002,121</w:t>
            </w:r>
          </w:p>
        </w:tc>
        <w:tc>
          <w:tcPr>
            <w:tcW w:w="216" w:type="dxa"/>
            <w:tcBorders/>
            <w:shd w:fill="CCEEFF" w:val="clear"/>
            <w:vAlign w:val="bottom"/>
          </w:tcPr>
          <w:p>
            <w:pPr>
              <w:pStyle w:val="TableContents"/>
              <w:spacing w:before="0" w:after="283"/>
              <w:rPr/>
            </w:pPr>
            <w:r>
              <w:rPr/>
              <w:t> </w:t>
            </w:r>
          </w:p>
        </w:tc>
        <w:tc>
          <w:tcPr>
            <w:tcW w:w="72" w:type="dxa"/>
            <w:tcBorders/>
            <w:shd w:fill="CCEEFF" w:val="clear"/>
            <w:vAlign w:val="bottom"/>
          </w:tcPr>
          <w:p>
            <w:pPr>
              <w:pStyle w:val="TableContents"/>
              <w:spacing w:before="0" w:after="283"/>
              <w:rPr/>
            </w:pPr>
            <w:r>
              <w:rPr/>
              <w:t> </w:t>
            </w:r>
          </w:p>
        </w:tc>
        <w:tc>
          <w:tcPr>
            <w:tcW w:w="1171" w:type="dxa"/>
            <w:tcBorders/>
            <w:shd w:fill="CCEEFF" w:val="clear"/>
            <w:vAlign w:val="bottom"/>
          </w:tcPr>
          <w:p>
            <w:pPr>
              <w:pStyle w:val="TableContents"/>
              <w:spacing w:before="0" w:after="283"/>
              <w:jc w:val="right"/>
              <w:rPr>
                <w:rFonts w:ascii="times" w:hAnsi="times"/>
                <w:sz w:val="14"/>
              </w:rPr>
            </w:pPr>
            <w:r>
              <w:rPr>
                <w:rFonts w:ascii="times" w:hAnsi="times"/>
                <w:sz w:val="14"/>
              </w:rPr>
              <w:t>45,448,993</w:t>
            </w:r>
          </w:p>
        </w:tc>
        <w:tc>
          <w:tcPr>
            <w:tcW w:w="216" w:type="dxa"/>
            <w:tcBorders/>
            <w:shd w:fill="CCEEFF" w:val="clear"/>
            <w:vAlign w:val="bottom"/>
          </w:tcPr>
          <w:p>
            <w:pPr>
              <w:pStyle w:val="TableContents"/>
              <w:spacing w:before="0" w:after="283"/>
              <w:rPr/>
            </w:pPr>
            <w:r>
              <w:rPr/>
              <w:t> </w:t>
            </w:r>
          </w:p>
        </w:tc>
        <w:tc>
          <w:tcPr>
            <w:tcW w:w="72" w:type="dxa"/>
            <w:tcBorders/>
            <w:shd w:fill="CCEEFF" w:val="clear"/>
            <w:vAlign w:val="bottom"/>
          </w:tcPr>
          <w:p>
            <w:pPr>
              <w:pStyle w:val="TableContents"/>
              <w:spacing w:before="0" w:after="283"/>
              <w:rPr/>
            </w:pPr>
            <w:r>
              <w:rPr/>
              <w:t> </w:t>
            </w:r>
          </w:p>
        </w:tc>
        <w:tc>
          <w:tcPr>
            <w:tcW w:w="1172" w:type="dxa"/>
            <w:tcBorders/>
            <w:shd w:fill="CCEEFF" w:val="clear"/>
            <w:vAlign w:val="bottom"/>
          </w:tcPr>
          <w:p>
            <w:pPr>
              <w:pStyle w:val="TableContents"/>
              <w:spacing w:before="0" w:after="283"/>
              <w:jc w:val="right"/>
              <w:rPr>
                <w:rFonts w:ascii="times" w:hAnsi="times"/>
                <w:sz w:val="14"/>
              </w:rPr>
            </w:pPr>
            <w:r>
              <w:rPr>
                <w:rFonts w:ascii="times" w:hAnsi="times"/>
                <w:sz w:val="14"/>
              </w:rPr>
              <w:t>46,860,182</w:t>
            </w:r>
          </w:p>
        </w:tc>
        <w:tc>
          <w:tcPr>
            <w:tcW w:w="216" w:type="dxa"/>
            <w:tcBorders/>
            <w:shd w:fill="CCEEFF" w:val="clear"/>
            <w:vAlign w:val="bottom"/>
          </w:tcPr>
          <w:p>
            <w:pPr>
              <w:pStyle w:val="TableContents"/>
              <w:spacing w:before="0" w:after="283"/>
              <w:rPr/>
            </w:pPr>
            <w:r>
              <w:rPr/>
              <w:t> </w:t>
            </w:r>
          </w:p>
        </w:tc>
        <w:tc>
          <w:tcPr>
            <w:tcW w:w="72" w:type="dxa"/>
            <w:tcBorders/>
            <w:shd w:fill="CCEEFF" w:val="clear"/>
            <w:vAlign w:val="bottom"/>
          </w:tcPr>
          <w:p>
            <w:pPr>
              <w:pStyle w:val="TableContents"/>
              <w:spacing w:before="0" w:after="283"/>
              <w:rPr/>
            </w:pPr>
            <w:r>
              <w:rPr/>
              <w:t> </w:t>
            </w:r>
          </w:p>
        </w:tc>
        <w:tc>
          <w:tcPr>
            <w:tcW w:w="1171" w:type="dxa"/>
            <w:tcBorders/>
            <w:shd w:fill="CCEEFF" w:val="clear"/>
            <w:vAlign w:val="bottom"/>
          </w:tcPr>
          <w:p>
            <w:pPr>
              <w:pStyle w:val="TableContents"/>
              <w:spacing w:before="0" w:after="283"/>
              <w:jc w:val="right"/>
              <w:rPr>
                <w:rFonts w:ascii="times" w:hAnsi="times"/>
                <w:sz w:val="14"/>
              </w:rPr>
            </w:pPr>
            <w:r>
              <w:rPr>
                <w:rFonts w:ascii="times" w:hAnsi="times"/>
                <w:sz w:val="14"/>
              </w:rPr>
              <w:t>47,517,824</w:t>
            </w:r>
          </w:p>
        </w:tc>
        <w:tc>
          <w:tcPr>
            <w:tcW w:w="217" w:type="dxa"/>
            <w:tcBorders/>
            <w:shd w:fill="CCEEFF" w:val="clear"/>
            <w:vAlign w:val="bottom"/>
          </w:tcPr>
          <w:p>
            <w:pPr>
              <w:pStyle w:val="TableContents"/>
              <w:spacing w:before="0" w:after="283"/>
              <w:rPr/>
            </w:pPr>
            <w:r>
              <w:rPr/>
              <w:t> </w:t>
            </w:r>
          </w:p>
        </w:tc>
      </w:tr>
      <w:tr>
        <w:trPr/>
        <w:tc>
          <w:tcPr>
            <w:tcW w:w="2691" w:type="dxa"/>
            <w:tcBorders/>
            <w:shd w:fill="FFFFFF" w:val="clear"/>
            <w:vAlign w:val="bottom"/>
          </w:tcPr>
          <w:p>
            <w:pPr>
              <w:pStyle w:val="TableContents"/>
              <w:spacing w:before="0" w:after="283"/>
              <w:ind w:left="140" w:right="0" w:hanging="140"/>
              <w:rPr>
                <w:rFonts w:ascii="times" w:hAnsi="times"/>
                <w:sz w:val="14"/>
              </w:rPr>
            </w:pPr>
            <w:r>
              <w:rPr>
                <w:rFonts w:ascii="times" w:hAnsi="times"/>
                <w:sz w:val="14"/>
              </w:rPr>
              <w:t>Class B units</w:t>
            </w:r>
          </w:p>
        </w:tc>
        <w:tc>
          <w:tcPr>
            <w:tcW w:w="216" w:type="dxa"/>
            <w:tcBorders/>
            <w:shd w:fill="FFFFFF" w:val="clear"/>
            <w:vAlign w:val="bottom"/>
          </w:tcPr>
          <w:p>
            <w:pPr>
              <w:pStyle w:val="TableContents"/>
              <w:spacing w:before="0" w:after="283"/>
              <w:rPr/>
            </w:pPr>
            <w:r>
              <w:rPr/>
              <w:t> </w:t>
            </w:r>
          </w:p>
        </w:tc>
        <w:tc>
          <w:tcPr>
            <w:tcW w:w="72" w:type="dxa"/>
            <w:tcBorders/>
            <w:shd w:fill="FFFFFF" w:val="clear"/>
            <w:vAlign w:val="bottom"/>
          </w:tcPr>
          <w:p>
            <w:pPr>
              <w:pStyle w:val="TableContents"/>
              <w:spacing w:before="0" w:after="283"/>
              <w:rPr/>
            </w:pPr>
            <w:r>
              <w:rPr/>
              <w:t> </w:t>
            </w:r>
          </w:p>
        </w:tc>
        <w:tc>
          <w:tcPr>
            <w:tcW w:w="1171" w:type="dxa"/>
            <w:tcBorders/>
            <w:shd w:fill="FFFFFF" w:val="clear"/>
            <w:vAlign w:val="bottom"/>
          </w:tcPr>
          <w:p>
            <w:pPr>
              <w:pStyle w:val="TableContents"/>
              <w:spacing w:before="0" w:after="283"/>
              <w:jc w:val="right"/>
              <w:rPr>
                <w:rFonts w:ascii="times" w:hAnsi="times"/>
                <w:sz w:val="14"/>
              </w:rPr>
            </w:pPr>
            <w:r>
              <w:rPr>
                <w:rFonts w:ascii="times" w:hAnsi="times"/>
                <w:sz w:val="14"/>
              </w:rPr>
              <w:t></w:t>
            </w:r>
          </w:p>
        </w:tc>
        <w:tc>
          <w:tcPr>
            <w:tcW w:w="216" w:type="dxa"/>
            <w:tcBorders/>
            <w:shd w:fill="FFFFFF" w:val="clear"/>
            <w:vAlign w:val="bottom"/>
          </w:tcPr>
          <w:p>
            <w:pPr>
              <w:pStyle w:val="TableContents"/>
              <w:spacing w:before="0" w:after="283"/>
              <w:rPr/>
            </w:pPr>
            <w:r>
              <w:rPr/>
              <w:t> </w:t>
            </w:r>
          </w:p>
        </w:tc>
        <w:tc>
          <w:tcPr>
            <w:tcW w:w="72" w:type="dxa"/>
            <w:tcBorders/>
            <w:shd w:fill="FFFFFF" w:val="clear"/>
            <w:vAlign w:val="bottom"/>
          </w:tcPr>
          <w:p>
            <w:pPr>
              <w:pStyle w:val="TableContents"/>
              <w:spacing w:before="0" w:after="283"/>
              <w:rPr/>
            </w:pPr>
            <w:r>
              <w:rPr/>
              <w:t> </w:t>
            </w:r>
          </w:p>
        </w:tc>
        <w:tc>
          <w:tcPr>
            <w:tcW w:w="1172" w:type="dxa"/>
            <w:tcBorders/>
            <w:shd w:fill="FFFFFF" w:val="clear"/>
            <w:vAlign w:val="bottom"/>
          </w:tcPr>
          <w:p>
            <w:pPr>
              <w:pStyle w:val="TableContents"/>
              <w:spacing w:before="0" w:after="283"/>
              <w:jc w:val="right"/>
              <w:rPr>
                <w:rFonts w:ascii="times" w:hAnsi="times"/>
                <w:sz w:val="14"/>
              </w:rPr>
            </w:pPr>
            <w:r>
              <w:rPr>
                <w:rFonts w:ascii="times" w:hAnsi="times"/>
                <w:sz w:val="14"/>
              </w:rPr>
              <w:t></w:t>
            </w:r>
          </w:p>
        </w:tc>
        <w:tc>
          <w:tcPr>
            <w:tcW w:w="216" w:type="dxa"/>
            <w:tcBorders/>
            <w:shd w:fill="FFFFFF" w:val="clear"/>
            <w:vAlign w:val="bottom"/>
          </w:tcPr>
          <w:p>
            <w:pPr>
              <w:pStyle w:val="TableContents"/>
              <w:spacing w:before="0" w:after="283"/>
              <w:rPr/>
            </w:pPr>
            <w:r>
              <w:rPr/>
              <w:t> </w:t>
            </w:r>
          </w:p>
        </w:tc>
        <w:tc>
          <w:tcPr>
            <w:tcW w:w="72" w:type="dxa"/>
            <w:tcBorders/>
            <w:shd w:fill="FFFFFF" w:val="clear"/>
            <w:vAlign w:val="bottom"/>
          </w:tcPr>
          <w:p>
            <w:pPr>
              <w:pStyle w:val="TableContents"/>
              <w:spacing w:before="0" w:after="283"/>
              <w:rPr/>
            </w:pPr>
            <w:r>
              <w:rPr/>
              <w:t> </w:t>
            </w:r>
          </w:p>
        </w:tc>
        <w:tc>
          <w:tcPr>
            <w:tcW w:w="1171" w:type="dxa"/>
            <w:tcBorders/>
            <w:shd w:fill="FFFFFF" w:val="clear"/>
            <w:vAlign w:val="bottom"/>
          </w:tcPr>
          <w:p>
            <w:pPr>
              <w:pStyle w:val="TableContents"/>
              <w:spacing w:before="0" w:after="283"/>
              <w:jc w:val="right"/>
              <w:rPr>
                <w:rFonts w:ascii="times" w:hAnsi="times"/>
                <w:sz w:val="14"/>
              </w:rPr>
            </w:pPr>
            <w:r>
              <w:rPr>
                <w:rFonts w:ascii="times" w:hAnsi="times"/>
                <w:sz w:val="14"/>
              </w:rPr>
              <w:t></w:t>
            </w:r>
          </w:p>
        </w:tc>
        <w:tc>
          <w:tcPr>
            <w:tcW w:w="216" w:type="dxa"/>
            <w:tcBorders/>
            <w:shd w:fill="FFFFFF" w:val="clear"/>
            <w:vAlign w:val="bottom"/>
          </w:tcPr>
          <w:p>
            <w:pPr>
              <w:pStyle w:val="TableContents"/>
              <w:spacing w:before="0" w:after="283"/>
              <w:rPr/>
            </w:pPr>
            <w:r>
              <w:rPr/>
              <w:t> </w:t>
            </w:r>
          </w:p>
        </w:tc>
        <w:tc>
          <w:tcPr>
            <w:tcW w:w="72" w:type="dxa"/>
            <w:tcBorders/>
            <w:shd w:fill="FFFFFF" w:val="clear"/>
            <w:vAlign w:val="bottom"/>
          </w:tcPr>
          <w:p>
            <w:pPr>
              <w:pStyle w:val="TableContents"/>
              <w:spacing w:before="0" w:after="283"/>
              <w:rPr/>
            </w:pPr>
            <w:r>
              <w:rPr/>
              <w:t> </w:t>
            </w:r>
          </w:p>
        </w:tc>
        <w:tc>
          <w:tcPr>
            <w:tcW w:w="1172" w:type="dxa"/>
            <w:tcBorders/>
            <w:shd w:fill="FFFFFF" w:val="clear"/>
            <w:vAlign w:val="bottom"/>
          </w:tcPr>
          <w:p>
            <w:pPr>
              <w:pStyle w:val="TableContents"/>
              <w:spacing w:before="0" w:after="283"/>
              <w:jc w:val="right"/>
              <w:rPr>
                <w:rFonts w:ascii="times" w:hAnsi="times"/>
                <w:sz w:val="14"/>
              </w:rPr>
            </w:pPr>
            <w:r>
              <w:rPr>
                <w:rFonts w:ascii="times" w:hAnsi="times"/>
                <w:sz w:val="14"/>
              </w:rPr>
              <w:t>2,490,000</w:t>
            </w:r>
          </w:p>
        </w:tc>
        <w:tc>
          <w:tcPr>
            <w:tcW w:w="216" w:type="dxa"/>
            <w:tcBorders/>
            <w:shd w:fill="FFFFFF" w:val="clear"/>
            <w:vAlign w:val="bottom"/>
          </w:tcPr>
          <w:p>
            <w:pPr>
              <w:pStyle w:val="TableContents"/>
              <w:spacing w:before="0" w:after="283"/>
              <w:rPr/>
            </w:pPr>
            <w:r>
              <w:rPr/>
              <w:t> </w:t>
            </w:r>
          </w:p>
        </w:tc>
        <w:tc>
          <w:tcPr>
            <w:tcW w:w="72" w:type="dxa"/>
            <w:tcBorders/>
            <w:shd w:fill="FFFFFF" w:val="clear"/>
            <w:vAlign w:val="bottom"/>
          </w:tcPr>
          <w:p>
            <w:pPr>
              <w:pStyle w:val="TableContents"/>
              <w:spacing w:before="0" w:after="283"/>
              <w:rPr/>
            </w:pPr>
            <w:r>
              <w:rPr/>
              <w:t> </w:t>
            </w:r>
          </w:p>
        </w:tc>
        <w:tc>
          <w:tcPr>
            <w:tcW w:w="1171" w:type="dxa"/>
            <w:tcBorders/>
            <w:shd w:fill="FFFFFF" w:val="clear"/>
            <w:vAlign w:val="bottom"/>
          </w:tcPr>
          <w:p>
            <w:pPr>
              <w:pStyle w:val="TableContents"/>
              <w:spacing w:before="0" w:after="283"/>
              <w:jc w:val="right"/>
              <w:rPr>
                <w:rFonts w:ascii="times" w:hAnsi="times"/>
                <w:sz w:val="14"/>
              </w:rPr>
            </w:pPr>
            <w:r>
              <w:rPr>
                <w:rFonts w:ascii="times" w:hAnsi="times"/>
                <w:sz w:val="14"/>
              </w:rPr>
              <w:t>2,075,000</w:t>
            </w:r>
          </w:p>
        </w:tc>
        <w:tc>
          <w:tcPr>
            <w:tcW w:w="217" w:type="dxa"/>
            <w:tcBorders/>
            <w:shd w:fill="FFFFFF" w:val="clear"/>
            <w:vAlign w:val="bottom"/>
          </w:tcPr>
          <w:p>
            <w:pPr>
              <w:pStyle w:val="TableContents"/>
              <w:spacing w:before="0" w:after="283"/>
              <w:rPr/>
            </w:pPr>
            <w:r>
              <w:rPr/>
              <w:t> </w:t>
            </w:r>
          </w:p>
        </w:tc>
      </w:tr>
      <w:tr>
        <w:trPr/>
        <w:tc>
          <w:tcPr>
            <w:tcW w:w="2691" w:type="dxa"/>
            <w:tcBorders/>
            <w:shd w:fill="CCEEFF" w:val="clear"/>
            <w:vAlign w:val="bottom"/>
          </w:tcPr>
          <w:p>
            <w:pPr>
              <w:pStyle w:val="TableContents"/>
              <w:spacing w:before="0" w:after="283"/>
              <w:ind w:left="140" w:right="0" w:hanging="140"/>
              <w:rPr>
                <w:rFonts w:ascii="times" w:hAnsi="times"/>
                <w:sz w:val="14"/>
              </w:rPr>
            </w:pPr>
            <w:r>
              <w:rPr>
                <w:rFonts w:ascii="times" w:hAnsi="times"/>
                <w:sz w:val="14"/>
              </w:rPr>
              <w:t>Subordinated units</w:t>
            </w:r>
            <w:r>
              <w:rPr>
                <w:rFonts w:ascii="times" w:hAnsi="times"/>
                <w:position w:val="5"/>
                <w:sz w:val="11"/>
                <w:sz w:val="14"/>
              </w:rPr>
              <w:t>(3)</w:t>
            </w:r>
          </w:p>
        </w:tc>
        <w:tc>
          <w:tcPr>
            <w:tcW w:w="216" w:type="dxa"/>
            <w:tcBorders/>
            <w:shd w:fill="CCEEFF" w:val="clear"/>
            <w:vAlign w:val="bottom"/>
          </w:tcPr>
          <w:p>
            <w:pPr>
              <w:pStyle w:val="TableContents"/>
              <w:spacing w:before="0" w:after="283"/>
              <w:rPr/>
            </w:pPr>
            <w:r>
              <w:rPr/>
              <w:t> </w:t>
            </w:r>
          </w:p>
        </w:tc>
        <w:tc>
          <w:tcPr>
            <w:tcW w:w="72" w:type="dxa"/>
            <w:tcBorders/>
            <w:shd w:fill="CCEEFF" w:val="clear"/>
            <w:vAlign w:val="bottom"/>
          </w:tcPr>
          <w:p>
            <w:pPr>
              <w:pStyle w:val="TableContents"/>
              <w:spacing w:before="0" w:after="283"/>
              <w:rPr/>
            </w:pPr>
            <w:r>
              <w:rPr/>
              <w:t> </w:t>
            </w:r>
          </w:p>
        </w:tc>
        <w:tc>
          <w:tcPr>
            <w:tcW w:w="1171" w:type="dxa"/>
            <w:tcBorders/>
            <w:shd w:fill="CCEEFF" w:val="clear"/>
            <w:vAlign w:val="bottom"/>
          </w:tcPr>
          <w:p>
            <w:pPr>
              <w:pStyle w:val="TableContents"/>
              <w:spacing w:before="0" w:after="283"/>
              <w:jc w:val="right"/>
              <w:rPr>
                <w:rFonts w:ascii="times" w:hAnsi="times"/>
                <w:sz w:val="14"/>
              </w:rPr>
            </w:pPr>
            <w:r>
              <w:rPr>
                <w:rFonts w:ascii="times" w:hAnsi="times"/>
                <w:sz w:val="14"/>
              </w:rPr>
              <w:t>9,822,358</w:t>
            </w:r>
          </w:p>
        </w:tc>
        <w:tc>
          <w:tcPr>
            <w:tcW w:w="216" w:type="dxa"/>
            <w:tcBorders/>
            <w:shd w:fill="CCEEFF" w:val="clear"/>
            <w:vAlign w:val="bottom"/>
          </w:tcPr>
          <w:p>
            <w:pPr>
              <w:pStyle w:val="TableContents"/>
              <w:spacing w:before="0" w:after="283"/>
              <w:rPr/>
            </w:pPr>
            <w:r>
              <w:rPr/>
              <w:t> </w:t>
            </w:r>
          </w:p>
        </w:tc>
        <w:tc>
          <w:tcPr>
            <w:tcW w:w="72" w:type="dxa"/>
            <w:tcBorders/>
            <w:shd w:fill="CCEEFF" w:val="clear"/>
            <w:vAlign w:val="bottom"/>
          </w:tcPr>
          <w:p>
            <w:pPr>
              <w:pStyle w:val="TableContents"/>
              <w:spacing w:before="0" w:after="283"/>
              <w:rPr/>
            </w:pPr>
            <w:r>
              <w:rPr/>
              <w:t> </w:t>
            </w:r>
          </w:p>
        </w:tc>
        <w:tc>
          <w:tcPr>
            <w:tcW w:w="1172" w:type="dxa"/>
            <w:tcBorders/>
            <w:shd w:fill="CCEEFF" w:val="clear"/>
            <w:vAlign w:val="bottom"/>
          </w:tcPr>
          <w:p>
            <w:pPr>
              <w:pStyle w:val="TableContents"/>
              <w:spacing w:before="0" w:after="283"/>
              <w:jc w:val="right"/>
              <w:rPr>
                <w:rFonts w:ascii="times" w:hAnsi="times"/>
                <w:sz w:val="14"/>
              </w:rPr>
            </w:pPr>
            <w:r>
              <w:rPr>
                <w:rFonts w:ascii="times" w:hAnsi="times"/>
                <w:sz w:val="14"/>
              </w:rPr>
              <w:t></w:t>
            </w:r>
          </w:p>
        </w:tc>
        <w:tc>
          <w:tcPr>
            <w:tcW w:w="216" w:type="dxa"/>
            <w:tcBorders/>
            <w:shd w:fill="CCEEFF" w:val="clear"/>
            <w:vAlign w:val="bottom"/>
          </w:tcPr>
          <w:p>
            <w:pPr>
              <w:pStyle w:val="TableContents"/>
              <w:spacing w:before="0" w:after="283"/>
              <w:rPr/>
            </w:pPr>
            <w:r>
              <w:rPr/>
              <w:t> </w:t>
            </w:r>
          </w:p>
        </w:tc>
        <w:tc>
          <w:tcPr>
            <w:tcW w:w="72" w:type="dxa"/>
            <w:tcBorders/>
            <w:shd w:fill="CCEEFF" w:val="clear"/>
            <w:vAlign w:val="bottom"/>
          </w:tcPr>
          <w:p>
            <w:pPr>
              <w:pStyle w:val="TableContents"/>
              <w:spacing w:before="0" w:after="283"/>
              <w:rPr/>
            </w:pPr>
            <w:r>
              <w:rPr/>
              <w:t> </w:t>
            </w:r>
          </w:p>
        </w:tc>
        <w:tc>
          <w:tcPr>
            <w:tcW w:w="1171" w:type="dxa"/>
            <w:tcBorders/>
            <w:shd w:fill="CCEEFF" w:val="clear"/>
            <w:vAlign w:val="bottom"/>
          </w:tcPr>
          <w:p>
            <w:pPr>
              <w:pStyle w:val="TableContents"/>
              <w:spacing w:before="0" w:after="283"/>
              <w:jc w:val="right"/>
              <w:rPr>
                <w:rFonts w:ascii="times" w:hAnsi="times"/>
                <w:sz w:val="14"/>
              </w:rPr>
            </w:pPr>
            <w:r>
              <w:rPr>
                <w:rFonts w:ascii="times" w:hAnsi="times"/>
                <w:sz w:val="14"/>
              </w:rPr>
              <w:t></w:t>
            </w:r>
          </w:p>
        </w:tc>
        <w:tc>
          <w:tcPr>
            <w:tcW w:w="216" w:type="dxa"/>
            <w:tcBorders/>
            <w:shd w:fill="CCEEFF" w:val="clear"/>
            <w:vAlign w:val="bottom"/>
          </w:tcPr>
          <w:p>
            <w:pPr>
              <w:pStyle w:val="TableContents"/>
              <w:spacing w:before="0" w:after="283"/>
              <w:rPr/>
            </w:pPr>
            <w:r>
              <w:rPr/>
              <w:t> </w:t>
            </w:r>
          </w:p>
        </w:tc>
        <w:tc>
          <w:tcPr>
            <w:tcW w:w="72" w:type="dxa"/>
            <w:tcBorders/>
            <w:shd w:fill="CCEEFF" w:val="clear"/>
            <w:vAlign w:val="bottom"/>
          </w:tcPr>
          <w:p>
            <w:pPr>
              <w:pStyle w:val="TableContents"/>
              <w:spacing w:before="0" w:after="283"/>
              <w:rPr/>
            </w:pPr>
            <w:r>
              <w:rPr/>
              <w:t> </w:t>
            </w:r>
          </w:p>
        </w:tc>
        <w:tc>
          <w:tcPr>
            <w:tcW w:w="1172" w:type="dxa"/>
            <w:tcBorders/>
            <w:shd w:fill="CCEEFF" w:val="clear"/>
            <w:vAlign w:val="bottom"/>
          </w:tcPr>
          <w:p>
            <w:pPr>
              <w:pStyle w:val="TableContents"/>
              <w:spacing w:before="0" w:after="283"/>
              <w:jc w:val="right"/>
              <w:rPr>
                <w:rFonts w:ascii="times" w:hAnsi="times"/>
                <w:sz w:val="14"/>
              </w:rPr>
            </w:pPr>
            <w:r>
              <w:rPr>
                <w:rFonts w:ascii="times" w:hAnsi="times"/>
                <w:sz w:val="14"/>
              </w:rPr>
              <w:t></w:t>
            </w:r>
          </w:p>
        </w:tc>
        <w:tc>
          <w:tcPr>
            <w:tcW w:w="216" w:type="dxa"/>
            <w:tcBorders/>
            <w:shd w:fill="CCEEFF" w:val="clear"/>
            <w:vAlign w:val="bottom"/>
          </w:tcPr>
          <w:p>
            <w:pPr>
              <w:pStyle w:val="TableContents"/>
              <w:spacing w:before="0" w:after="283"/>
              <w:rPr/>
            </w:pPr>
            <w:r>
              <w:rPr/>
              <w:t> </w:t>
            </w:r>
          </w:p>
        </w:tc>
        <w:tc>
          <w:tcPr>
            <w:tcW w:w="72" w:type="dxa"/>
            <w:tcBorders/>
            <w:shd w:fill="CCEEFF" w:val="clear"/>
            <w:vAlign w:val="bottom"/>
          </w:tcPr>
          <w:p>
            <w:pPr>
              <w:pStyle w:val="TableContents"/>
              <w:spacing w:before="0" w:after="283"/>
              <w:rPr/>
            </w:pPr>
            <w:r>
              <w:rPr/>
              <w:t> </w:t>
            </w:r>
          </w:p>
        </w:tc>
        <w:tc>
          <w:tcPr>
            <w:tcW w:w="1171" w:type="dxa"/>
            <w:tcBorders/>
            <w:shd w:fill="CCEEFF" w:val="clear"/>
            <w:vAlign w:val="bottom"/>
          </w:tcPr>
          <w:p>
            <w:pPr>
              <w:pStyle w:val="TableContents"/>
              <w:spacing w:before="0" w:after="283"/>
              <w:jc w:val="right"/>
              <w:rPr>
                <w:rFonts w:ascii="times" w:hAnsi="times"/>
                <w:sz w:val="14"/>
              </w:rPr>
            </w:pPr>
            <w:r>
              <w:rPr>
                <w:rFonts w:ascii="times" w:hAnsi="times"/>
                <w:sz w:val="14"/>
              </w:rPr>
              <w:t></w:t>
            </w:r>
          </w:p>
        </w:tc>
        <w:tc>
          <w:tcPr>
            <w:tcW w:w="217" w:type="dxa"/>
            <w:tcBorders/>
            <w:shd w:fill="CCEEFF" w:val="clear"/>
            <w:vAlign w:val="bottom"/>
          </w:tcPr>
          <w:p>
            <w:pPr>
              <w:pStyle w:val="TableContents"/>
              <w:spacing w:before="0" w:after="283"/>
              <w:rPr/>
            </w:pPr>
            <w:r>
              <w:rPr/>
              <w:t> </w:t>
            </w:r>
          </w:p>
        </w:tc>
      </w:tr>
      <w:tr>
        <w:trPr/>
        <w:tc>
          <w:tcPr>
            <w:tcW w:w="2691" w:type="dxa"/>
            <w:tcBorders/>
            <w:shd w:fill="FFFFFF" w:val="clear"/>
            <w:vAlign w:val="bottom"/>
          </w:tcPr>
          <w:p>
            <w:pPr>
              <w:pStyle w:val="TableContents"/>
              <w:spacing w:before="0" w:after="283"/>
              <w:ind w:left="140" w:right="0" w:hanging="140"/>
              <w:rPr>
                <w:rFonts w:ascii="times" w:hAnsi="times"/>
                <w:sz w:val="14"/>
              </w:rPr>
            </w:pPr>
            <w:r>
              <w:rPr>
                <w:rFonts w:ascii="times" w:hAnsi="times"/>
                <w:sz w:val="14"/>
              </w:rPr>
              <w:t>Preference Units</w:t>
            </w:r>
          </w:p>
        </w:tc>
        <w:tc>
          <w:tcPr>
            <w:tcW w:w="216" w:type="dxa"/>
            <w:tcBorders/>
            <w:shd w:fill="FFFFFF" w:val="clear"/>
            <w:vAlign w:val="bottom"/>
          </w:tcPr>
          <w:p>
            <w:pPr>
              <w:pStyle w:val="TableContents"/>
              <w:spacing w:before="0" w:after="283"/>
              <w:rPr/>
            </w:pPr>
            <w:r>
              <w:rPr/>
              <w:t> </w:t>
            </w:r>
          </w:p>
        </w:tc>
        <w:tc>
          <w:tcPr>
            <w:tcW w:w="72" w:type="dxa"/>
            <w:tcBorders/>
            <w:shd w:fill="FFFFFF" w:val="clear"/>
            <w:vAlign w:val="bottom"/>
          </w:tcPr>
          <w:p>
            <w:pPr>
              <w:pStyle w:val="TableContents"/>
              <w:spacing w:before="0" w:after="283"/>
              <w:rPr/>
            </w:pPr>
            <w:r>
              <w:rPr/>
              <w:t> </w:t>
            </w:r>
          </w:p>
        </w:tc>
        <w:tc>
          <w:tcPr>
            <w:tcW w:w="1171" w:type="dxa"/>
            <w:tcBorders/>
            <w:shd w:fill="FFFFFF" w:val="clear"/>
            <w:vAlign w:val="bottom"/>
          </w:tcPr>
          <w:p>
            <w:pPr>
              <w:pStyle w:val="TableContents"/>
              <w:spacing w:before="0" w:after="283"/>
              <w:jc w:val="right"/>
              <w:rPr>
                <w:rFonts w:ascii="times" w:hAnsi="times"/>
                <w:sz w:val="14"/>
              </w:rPr>
            </w:pPr>
            <w:r>
              <w:rPr>
                <w:rFonts w:ascii="times" w:hAnsi="times"/>
                <w:sz w:val="14"/>
              </w:rPr>
              <w:t></w:t>
            </w:r>
          </w:p>
        </w:tc>
        <w:tc>
          <w:tcPr>
            <w:tcW w:w="216" w:type="dxa"/>
            <w:tcBorders/>
            <w:shd w:fill="FFFFFF" w:val="clear"/>
            <w:vAlign w:val="bottom"/>
          </w:tcPr>
          <w:p>
            <w:pPr>
              <w:pStyle w:val="TableContents"/>
              <w:spacing w:before="0" w:after="283"/>
              <w:rPr/>
            </w:pPr>
            <w:r>
              <w:rPr/>
              <w:t> </w:t>
            </w:r>
          </w:p>
        </w:tc>
        <w:tc>
          <w:tcPr>
            <w:tcW w:w="72" w:type="dxa"/>
            <w:tcBorders/>
            <w:shd w:fill="FFFFFF" w:val="clear"/>
            <w:vAlign w:val="bottom"/>
          </w:tcPr>
          <w:p>
            <w:pPr>
              <w:pStyle w:val="TableContents"/>
              <w:spacing w:before="0" w:after="283"/>
              <w:rPr/>
            </w:pPr>
            <w:r>
              <w:rPr/>
              <w:t> </w:t>
            </w:r>
          </w:p>
        </w:tc>
        <w:tc>
          <w:tcPr>
            <w:tcW w:w="1172" w:type="dxa"/>
            <w:tcBorders/>
            <w:shd w:fill="FFFFFF" w:val="clear"/>
            <w:vAlign w:val="bottom"/>
          </w:tcPr>
          <w:p>
            <w:pPr>
              <w:pStyle w:val="TableContents"/>
              <w:spacing w:before="0" w:after="283"/>
              <w:jc w:val="right"/>
              <w:rPr>
                <w:rFonts w:ascii="times" w:hAnsi="times"/>
                <w:sz w:val="14"/>
              </w:rPr>
            </w:pPr>
            <w:r>
              <w:rPr>
                <w:rFonts w:ascii="times" w:hAnsi="times"/>
                <w:sz w:val="14"/>
              </w:rPr>
              <w:t>5,750,000</w:t>
            </w:r>
          </w:p>
        </w:tc>
        <w:tc>
          <w:tcPr>
            <w:tcW w:w="216" w:type="dxa"/>
            <w:tcBorders/>
            <w:shd w:fill="FFFFFF" w:val="clear"/>
            <w:vAlign w:val="bottom"/>
          </w:tcPr>
          <w:p>
            <w:pPr>
              <w:pStyle w:val="TableContents"/>
              <w:spacing w:before="0" w:after="283"/>
              <w:rPr/>
            </w:pPr>
            <w:r>
              <w:rPr/>
              <w:t> </w:t>
            </w:r>
          </w:p>
        </w:tc>
        <w:tc>
          <w:tcPr>
            <w:tcW w:w="72" w:type="dxa"/>
            <w:tcBorders/>
            <w:shd w:fill="FFFFFF" w:val="clear"/>
            <w:vAlign w:val="bottom"/>
          </w:tcPr>
          <w:p>
            <w:pPr>
              <w:pStyle w:val="TableContents"/>
              <w:spacing w:before="0" w:after="283"/>
              <w:rPr/>
            </w:pPr>
            <w:r>
              <w:rPr/>
              <w:t> </w:t>
            </w:r>
          </w:p>
        </w:tc>
        <w:tc>
          <w:tcPr>
            <w:tcW w:w="1171" w:type="dxa"/>
            <w:tcBorders/>
            <w:shd w:fill="FFFFFF" w:val="clear"/>
            <w:vAlign w:val="bottom"/>
          </w:tcPr>
          <w:p>
            <w:pPr>
              <w:pStyle w:val="TableContents"/>
              <w:spacing w:before="0" w:after="283"/>
              <w:jc w:val="right"/>
              <w:rPr>
                <w:rFonts w:ascii="times" w:hAnsi="times"/>
                <w:sz w:val="14"/>
              </w:rPr>
            </w:pPr>
            <w:r>
              <w:rPr>
                <w:rFonts w:ascii="times" w:hAnsi="times"/>
                <w:sz w:val="14"/>
              </w:rPr>
              <w:t>14,350,000</w:t>
            </w:r>
          </w:p>
        </w:tc>
        <w:tc>
          <w:tcPr>
            <w:tcW w:w="216" w:type="dxa"/>
            <w:tcBorders/>
            <w:shd w:fill="FFFFFF" w:val="clear"/>
            <w:vAlign w:val="bottom"/>
          </w:tcPr>
          <w:p>
            <w:pPr>
              <w:pStyle w:val="TableContents"/>
              <w:spacing w:before="0" w:after="283"/>
              <w:rPr/>
            </w:pPr>
            <w:r>
              <w:rPr/>
              <w:t> </w:t>
            </w:r>
          </w:p>
        </w:tc>
        <w:tc>
          <w:tcPr>
            <w:tcW w:w="72" w:type="dxa"/>
            <w:tcBorders/>
            <w:shd w:fill="FFFFFF" w:val="clear"/>
            <w:vAlign w:val="bottom"/>
          </w:tcPr>
          <w:p>
            <w:pPr>
              <w:pStyle w:val="TableContents"/>
              <w:spacing w:before="0" w:after="283"/>
              <w:rPr/>
            </w:pPr>
            <w:r>
              <w:rPr/>
              <w:t> </w:t>
            </w:r>
          </w:p>
        </w:tc>
        <w:tc>
          <w:tcPr>
            <w:tcW w:w="1172" w:type="dxa"/>
            <w:tcBorders/>
            <w:shd w:fill="FFFFFF" w:val="clear"/>
            <w:vAlign w:val="bottom"/>
          </w:tcPr>
          <w:p>
            <w:pPr>
              <w:pStyle w:val="TableContents"/>
              <w:spacing w:before="0" w:after="283"/>
              <w:jc w:val="right"/>
              <w:rPr>
                <w:rFonts w:ascii="times" w:hAnsi="times"/>
                <w:sz w:val="14"/>
              </w:rPr>
            </w:pPr>
            <w:r>
              <w:rPr>
                <w:rFonts w:ascii="times" w:hAnsi="times"/>
                <w:sz w:val="14"/>
              </w:rPr>
              <w:t>14,350,000</w:t>
            </w:r>
          </w:p>
        </w:tc>
        <w:tc>
          <w:tcPr>
            <w:tcW w:w="216" w:type="dxa"/>
            <w:tcBorders/>
            <w:shd w:fill="FFFFFF" w:val="clear"/>
            <w:vAlign w:val="bottom"/>
          </w:tcPr>
          <w:p>
            <w:pPr>
              <w:pStyle w:val="TableContents"/>
              <w:spacing w:before="0" w:after="283"/>
              <w:rPr/>
            </w:pPr>
            <w:r>
              <w:rPr/>
              <w:t> </w:t>
            </w:r>
          </w:p>
        </w:tc>
        <w:tc>
          <w:tcPr>
            <w:tcW w:w="72" w:type="dxa"/>
            <w:tcBorders/>
            <w:shd w:fill="FFFFFF" w:val="clear"/>
            <w:vAlign w:val="bottom"/>
          </w:tcPr>
          <w:p>
            <w:pPr>
              <w:pStyle w:val="TableContents"/>
              <w:spacing w:before="0" w:after="283"/>
              <w:rPr/>
            </w:pPr>
            <w:r>
              <w:rPr/>
              <w:t> </w:t>
            </w:r>
          </w:p>
        </w:tc>
        <w:tc>
          <w:tcPr>
            <w:tcW w:w="1171" w:type="dxa"/>
            <w:tcBorders/>
            <w:shd w:fill="FFFFFF" w:val="clear"/>
            <w:vAlign w:val="bottom"/>
          </w:tcPr>
          <w:p>
            <w:pPr>
              <w:pStyle w:val="TableContents"/>
              <w:spacing w:before="0" w:after="283"/>
              <w:jc w:val="right"/>
              <w:rPr>
                <w:rFonts w:ascii="times" w:hAnsi="times"/>
                <w:sz w:val="14"/>
              </w:rPr>
            </w:pPr>
            <w:r>
              <w:rPr>
                <w:rFonts w:ascii="times" w:hAnsi="times"/>
                <w:sz w:val="14"/>
              </w:rPr>
              <w:t>14,350,000</w:t>
            </w:r>
          </w:p>
        </w:tc>
        <w:tc>
          <w:tcPr>
            <w:tcW w:w="217" w:type="dxa"/>
            <w:tcBorders/>
            <w:shd w:fill="FFFFFF" w:val="clear"/>
            <w:vAlign w:val="bottom"/>
          </w:tcPr>
          <w:p>
            <w:pPr>
              <w:pStyle w:val="TableContents"/>
              <w:spacing w:before="0" w:after="283"/>
              <w:rPr/>
            </w:pPr>
            <w:r>
              <w:rPr/>
              <w:t> </w:t>
            </w:r>
          </w:p>
        </w:tc>
      </w:tr>
    </w:tbl>
    <w:p>
      <w:pPr>
        <w:pStyle w:val="TextBody"/>
        <w:rPr>
          <w:bdr w:val="single" w:sz="8" w:space="12" w:color="000000"/>
        </w:rPr>
      </w:pPr>
      <w:r>
        <w:rPr>
          <w:bdr w:val="single" w:sz="8" w:space="12" w:color="000000"/>
        </w:rPr>
        <w:t> </w:t>
      </w:r>
    </w:p>
    <w:tbl>
      <w:tblPr>
        <w:tblW w:w="5000" w:type="pct"/>
        <w:jc w:val="center"/>
        <w:tblInd w:w="0" w:type="dxa"/>
        <w:tblCellMar>
          <w:top w:w="0" w:type="dxa"/>
          <w:left w:w="0" w:type="dxa"/>
          <w:bottom w:w="0" w:type="dxa"/>
          <w:right w:w="0" w:type="dxa"/>
        </w:tblCellMar>
      </w:tblPr>
      <w:tblGrid>
        <w:gridCol w:w="3345"/>
        <w:gridCol w:w="197"/>
        <w:gridCol w:w="66"/>
        <w:gridCol w:w="1070"/>
        <w:gridCol w:w="197"/>
        <w:gridCol w:w="66"/>
        <w:gridCol w:w="1069"/>
        <w:gridCol w:w="197"/>
        <w:gridCol w:w="66"/>
        <w:gridCol w:w="1069"/>
        <w:gridCol w:w="198"/>
        <w:gridCol w:w="65"/>
        <w:gridCol w:w="1070"/>
        <w:gridCol w:w="197"/>
        <w:gridCol w:w="66"/>
        <w:gridCol w:w="1069"/>
        <w:gridCol w:w="198"/>
      </w:tblGrid>
      <w:tr>
        <w:trPr/>
        <w:tc>
          <w:tcPr>
            <w:tcW w:w="3345" w:type="dxa"/>
            <w:tcBorders/>
            <w:shd w:fill="auto" w:val="clear"/>
            <w:vAlign w:val="center"/>
          </w:tcPr>
          <w:p>
            <w:pPr>
              <w:pStyle w:val="TableContents"/>
              <w:spacing w:before="0" w:after="283"/>
              <w:rPr>
                <w:sz w:val="4"/>
                <w:szCs w:val="4"/>
              </w:rPr>
            </w:pPr>
            <w:r>
              <w:rPr>
                <w:sz w:val="4"/>
                <w:szCs w:val="4"/>
              </w:rPr>
            </w:r>
          </w:p>
        </w:tc>
        <w:tc>
          <w:tcPr>
            <w:tcW w:w="197" w:type="dxa"/>
            <w:tcBorders/>
            <w:shd w:fill="auto" w:val="clear"/>
            <w:vAlign w:val="center"/>
          </w:tcPr>
          <w:p>
            <w:pPr>
              <w:pStyle w:val="TableContents"/>
              <w:spacing w:before="0" w:after="283"/>
              <w:rPr>
                <w:sz w:val="4"/>
                <w:szCs w:val="4"/>
              </w:rPr>
            </w:pPr>
            <w:r>
              <w:rPr>
                <w:sz w:val="4"/>
                <w:szCs w:val="4"/>
              </w:rPr>
            </w:r>
          </w:p>
        </w:tc>
        <w:tc>
          <w:tcPr>
            <w:tcW w:w="66" w:type="dxa"/>
            <w:tcBorders/>
            <w:shd w:fill="auto" w:val="clear"/>
            <w:vAlign w:val="center"/>
          </w:tcPr>
          <w:p>
            <w:pPr>
              <w:pStyle w:val="TableContents"/>
              <w:spacing w:before="0" w:after="283"/>
              <w:rPr>
                <w:sz w:val="4"/>
                <w:szCs w:val="4"/>
              </w:rPr>
            </w:pPr>
            <w:r>
              <w:rPr>
                <w:sz w:val="4"/>
                <w:szCs w:val="4"/>
              </w:rPr>
            </w:r>
          </w:p>
        </w:tc>
        <w:tc>
          <w:tcPr>
            <w:tcW w:w="1070" w:type="dxa"/>
            <w:tcBorders/>
            <w:shd w:fill="auto" w:val="clear"/>
            <w:vAlign w:val="center"/>
          </w:tcPr>
          <w:p>
            <w:pPr>
              <w:pStyle w:val="TableContents"/>
              <w:spacing w:before="0" w:after="283"/>
              <w:rPr>
                <w:sz w:val="4"/>
                <w:szCs w:val="4"/>
              </w:rPr>
            </w:pPr>
            <w:r>
              <w:rPr>
                <w:sz w:val="4"/>
                <w:szCs w:val="4"/>
              </w:rPr>
            </w:r>
          </w:p>
        </w:tc>
        <w:tc>
          <w:tcPr>
            <w:tcW w:w="197" w:type="dxa"/>
            <w:tcBorders/>
            <w:shd w:fill="auto" w:val="clear"/>
            <w:vAlign w:val="center"/>
          </w:tcPr>
          <w:p>
            <w:pPr>
              <w:pStyle w:val="TableContents"/>
              <w:spacing w:before="0" w:after="283"/>
              <w:rPr>
                <w:sz w:val="4"/>
                <w:szCs w:val="4"/>
              </w:rPr>
            </w:pPr>
            <w:r>
              <w:rPr>
                <w:sz w:val="4"/>
                <w:szCs w:val="4"/>
              </w:rPr>
            </w:r>
          </w:p>
        </w:tc>
        <w:tc>
          <w:tcPr>
            <w:tcW w:w="66" w:type="dxa"/>
            <w:tcBorders/>
            <w:shd w:fill="auto" w:val="clear"/>
            <w:vAlign w:val="center"/>
          </w:tcPr>
          <w:p>
            <w:pPr>
              <w:pStyle w:val="TableContents"/>
              <w:spacing w:before="0" w:after="283"/>
              <w:rPr>
                <w:sz w:val="4"/>
                <w:szCs w:val="4"/>
              </w:rPr>
            </w:pPr>
            <w:r>
              <w:rPr>
                <w:sz w:val="4"/>
                <w:szCs w:val="4"/>
              </w:rPr>
            </w:r>
          </w:p>
        </w:tc>
        <w:tc>
          <w:tcPr>
            <w:tcW w:w="1069" w:type="dxa"/>
            <w:tcBorders/>
            <w:shd w:fill="auto" w:val="clear"/>
            <w:vAlign w:val="center"/>
          </w:tcPr>
          <w:p>
            <w:pPr>
              <w:pStyle w:val="TableContents"/>
              <w:spacing w:before="0" w:after="283"/>
              <w:rPr>
                <w:sz w:val="4"/>
                <w:szCs w:val="4"/>
              </w:rPr>
            </w:pPr>
            <w:r>
              <w:rPr>
                <w:sz w:val="4"/>
                <w:szCs w:val="4"/>
              </w:rPr>
            </w:r>
          </w:p>
        </w:tc>
        <w:tc>
          <w:tcPr>
            <w:tcW w:w="197" w:type="dxa"/>
            <w:tcBorders/>
            <w:shd w:fill="auto" w:val="clear"/>
            <w:vAlign w:val="center"/>
          </w:tcPr>
          <w:p>
            <w:pPr>
              <w:pStyle w:val="TableContents"/>
              <w:spacing w:before="0" w:after="283"/>
              <w:rPr>
                <w:sz w:val="4"/>
                <w:szCs w:val="4"/>
              </w:rPr>
            </w:pPr>
            <w:r>
              <w:rPr>
                <w:sz w:val="4"/>
                <w:szCs w:val="4"/>
              </w:rPr>
            </w:r>
          </w:p>
        </w:tc>
        <w:tc>
          <w:tcPr>
            <w:tcW w:w="66" w:type="dxa"/>
            <w:tcBorders/>
            <w:shd w:fill="auto" w:val="clear"/>
            <w:vAlign w:val="center"/>
          </w:tcPr>
          <w:p>
            <w:pPr>
              <w:pStyle w:val="TableContents"/>
              <w:spacing w:before="0" w:after="283"/>
              <w:rPr>
                <w:sz w:val="4"/>
                <w:szCs w:val="4"/>
              </w:rPr>
            </w:pPr>
            <w:r>
              <w:rPr>
                <w:sz w:val="4"/>
                <w:szCs w:val="4"/>
              </w:rPr>
            </w:r>
          </w:p>
        </w:tc>
        <w:tc>
          <w:tcPr>
            <w:tcW w:w="1069" w:type="dxa"/>
            <w:tcBorders/>
            <w:shd w:fill="auto" w:val="clear"/>
            <w:vAlign w:val="center"/>
          </w:tcPr>
          <w:p>
            <w:pPr>
              <w:pStyle w:val="TableContents"/>
              <w:spacing w:before="0" w:after="283"/>
              <w:rPr>
                <w:sz w:val="4"/>
                <w:szCs w:val="4"/>
              </w:rPr>
            </w:pPr>
            <w:r>
              <w:rPr>
                <w:sz w:val="4"/>
                <w:szCs w:val="4"/>
              </w:rPr>
            </w:r>
          </w:p>
        </w:tc>
        <w:tc>
          <w:tcPr>
            <w:tcW w:w="198" w:type="dxa"/>
            <w:tcBorders/>
            <w:shd w:fill="auto" w:val="clear"/>
            <w:vAlign w:val="center"/>
          </w:tcPr>
          <w:p>
            <w:pPr>
              <w:pStyle w:val="TableContents"/>
              <w:spacing w:before="0" w:after="283"/>
              <w:rPr>
                <w:sz w:val="4"/>
                <w:szCs w:val="4"/>
              </w:rPr>
            </w:pPr>
            <w:r>
              <w:rPr>
                <w:sz w:val="4"/>
                <w:szCs w:val="4"/>
              </w:rPr>
            </w:r>
          </w:p>
        </w:tc>
        <w:tc>
          <w:tcPr>
            <w:tcW w:w="65" w:type="dxa"/>
            <w:tcBorders/>
            <w:shd w:fill="auto" w:val="clear"/>
            <w:vAlign w:val="center"/>
          </w:tcPr>
          <w:p>
            <w:pPr>
              <w:pStyle w:val="TableContents"/>
              <w:spacing w:before="0" w:after="283"/>
              <w:rPr>
                <w:sz w:val="4"/>
                <w:szCs w:val="4"/>
              </w:rPr>
            </w:pPr>
            <w:r>
              <w:rPr>
                <w:sz w:val="4"/>
                <w:szCs w:val="4"/>
              </w:rPr>
            </w:r>
          </w:p>
        </w:tc>
        <w:tc>
          <w:tcPr>
            <w:tcW w:w="1070" w:type="dxa"/>
            <w:tcBorders/>
            <w:shd w:fill="auto" w:val="clear"/>
            <w:vAlign w:val="center"/>
          </w:tcPr>
          <w:p>
            <w:pPr>
              <w:pStyle w:val="TableContents"/>
              <w:spacing w:before="0" w:after="283"/>
              <w:rPr>
                <w:sz w:val="4"/>
                <w:szCs w:val="4"/>
              </w:rPr>
            </w:pPr>
            <w:r>
              <w:rPr>
                <w:sz w:val="4"/>
                <w:szCs w:val="4"/>
              </w:rPr>
            </w:r>
          </w:p>
        </w:tc>
        <w:tc>
          <w:tcPr>
            <w:tcW w:w="197" w:type="dxa"/>
            <w:tcBorders/>
            <w:shd w:fill="auto" w:val="clear"/>
            <w:vAlign w:val="center"/>
          </w:tcPr>
          <w:p>
            <w:pPr>
              <w:pStyle w:val="TableContents"/>
              <w:spacing w:before="0" w:after="283"/>
              <w:rPr>
                <w:sz w:val="4"/>
                <w:szCs w:val="4"/>
              </w:rPr>
            </w:pPr>
            <w:r>
              <w:rPr>
                <w:sz w:val="4"/>
                <w:szCs w:val="4"/>
              </w:rPr>
            </w:r>
          </w:p>
        </w:tc>
        <w:tc>
          <w:tcPr>
            <w:tcW w:w="66" w:type="dxa"/>
            <w:tcBorders/>
            <w:shd w:fill="auto" w:val="clear"/>
            <w:vAlign w:val="center"/>
          </w:tcPr>
          <w:p>
            <w:pPr>
              <w:pStyle w:val="TableContents"/>
              <w:spacing w:before="0" w:after="283"/>
              <w:rPr>
                <w:sz w:val="4"/>
                <w:szCs w:val="4"/>
              </w:rPr>
            </w:pPr>
            <w:r>
              <w:rPr>
                <w:sz w:val="4"/>
                <w:szCs w:val="4"/>
              </w:rPr>
            </w:r>
          </w:p>
        </w:tc>
        <w:tc>
          <w:tcPr>
            <w:tcW w:w="1069" w:type="dxa"/>
            <w:tcBorders/>
            <w:shd w:fill="auto" w:val="clear"/>
            <w:vAlign w:val="center"/>
          </w:tcPr>
          <w:p>
            <w:pPr>
              <w:pStyle w:val="TableContents"/>
              <w:spacing w:before="0" w:after="283"/>
              <w:rPr>
                <w:sz w:val="4"/>
                <w:szCs w:val="4"/>
              </w:rPr>
            </w:pPr>
            <w:r>
              <w:rPr>
                <w:sz w:val="4"/>
                <w:szCs w:val="4"/>
              </w:rPr>
            </w:r>
          </w:p>
        </w:tc>
        <w:tc>
          <w:tcPr>
            <w:tcW w:w="198" w:type="dxa"/>
            <w:tcBorders/>
            <w:shd w:fill="auto" w:val="clear"/>
            <w:vAlign w:val="center"/>
          </w:tcPr>
          <w:p>
            <w:pPr>
              <w:pStyle w:val="TableContents"/>
              <w:spacing w:before="0" w:after="283"/>
              <w:rPr>
                <w:sz w:val="4"/>
                <w:szCs w:val="4"/>
              </w:rPr>
            </w:pPr>
            <w:r>
              <w:rPr>
                <w:sz w:val="4"/>
                <w:szCs w:val="4"/>
              </w:rPr>
            </w:r>
          </w:p>
        </w:tc>
      </w:tr>
      <w:tr>
        <w:trPr/>
        <w:tc>
          <w:tcPr>
            <w:tcW w:w="3345" w:type="dxa"/>
            <w:tcBorders/>
            <w:shd w:fill="auto" w:val="clear"/>
            <w:vAlign w:val="bottom"/>
          </w:tcPr>
          <w:p>
            <w:pPr>
              <w:pStyle w:val="TableHeading"/>
              <w:spacing w:before="0" w:after="283"/>
              <w:jc w:val="left"/>
              <w:rPr/>
            </w:pPr>
            <w:r>
              <w:rPr/>
              <w:t> </w:t>
            </w:r>
          </w:p>
        </w:tc>
        <w:tc>
          <w:tcPr>
            <w:tcW w:w="197" w:type="dxa"/>
            <w:tcBorders/>
            <w:shd w:fill="auto" w:val="clear"/>
            <w:vAlign w:val="bottom"/>
          </w:tcPr>
          <w:p>
            <w:pPr>
              <w:pStyle w:val="TableHeading"/>
              <w:suppressLineNumbers/>
              <w:spacing w:before="0" w:after="283"/>
              <w:jc w:val="center"/>
              <w:rPr/>
            </w:pPr>
            <w:r>
              <w:rPr/>
              <w:t> </w:t>
            </w:r>
          </w:p>
        </w:tc>
        <w:tc>
          <w:tcPr>
            <w:tcW w:w="6465" w:type="dxa"/>
            <w:gridSpan w:val="14"/>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Year Ended December 31, </w:t>
            </w:r>
          </w:p>
        </w:tc>
        <w:tc>
          <w:tcPr>
            <w:tcW w:w="198" w:type="dxa"/>
            <w:tcBorders/>
            <w:shd w:fill="auto" w:val="clear"/>
            <w:vAlign w:val="bottom"/>
          </w:tcPr>
          <w:p>
            <w:pPr>
              <w:pStyle w:val="TableHeading"/>
              <w:suppressLineNumbers/>
              <w:spacing w:before="0" w:after="283"/>
              <w:jc w:val="center"/>
              <w:rPr/>
            </w:pPr>
            <w:r>
              <w:rPr/>
              <w:t> </w:t>
            </w:r>
          </w:p>
        </w:tc>
      </w:tr>
      <w:tr>
        <w:trPr/>
        <w:tc>
          <w:tcPr>
            <w:tcW w:w="3345" w:type="dxa"/>
            <w:tcBorders/>
            <w:shd w:fill="auto" w:val="clear"/>
            <w:vAlign w:val="bottom"/>
          </w:tcPr>
          <w:p>
            <w:pPr>
              <w:pStyle w:val="TableHeading"/>
              <w:spacing w:before="0" w:after="283"/>
              <w:jc w:val="left"/>
              <w:rPr/>
            </w:pPr>
            <w:r>
              <w:rPr/>
              <w:t> </w:t>
            </w:r>
          </w:p>
        </w:tc>
        <w:tc>
          <w:tcPr>
            <w:tcW w:w="197" w:type="dxa"/>
            <w:tcBorders/>
            <w:shd w:fill="auto" w:val="clear"/>
            <w:vAlign w:val="bottom"/>
          </w:tcPr>
          <w:p>
            <w:pPr>
              <w:pStyle w:val="TableHeading"/>
              <w:suppressLineNumbers/>
              <w:spacing w:before="0" w:after="283"/>
              <w:jc w:val="center"/>
              <w:rPr/>
            </w:pPr>
            <w:r>
              <w:rPr/>
              <w:t> </w:t>
            </w:r>
          </w:p>
        </w:tc>
        <w:tc>
          <w:tcPr>
            <w:tcW w:w="1136" w:type="dxa"/>
            <w:gridSpan w:val="2"/>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2016 </w:t>
            </w:r>
          </w:p>
        </w:tc>
        <w:tc>
          <w:tcPr>
            <w:tcW w:w="197" w:type="dxa"/>
            <w:tcBorders/>
            <w:shd w:fill="auto" w:val="clear"/>
            <w:vAlign w:val="bottom"/>
          </w:tcPr>
          <w:p>
            <w:pPr>
              <w:pStyle w:val="TableHeading"/>
              <w:suppressLineNumbers/>
              <w:spacing w:before="0" w:after="283"/>
              <w:jc w:val="center"/>
              <w:rPr/>
            </w:pPr>
            <w:r>
              <w:rPr/>
              <w:t> </w:t>
            </w:r>
          </w:p>
        </w:tc>
        <w:tc>
          <w:tcPr>
            <w:tcW w:w="1135" w:type="dxa"/>
            <w:gridSpan w:val="2"/>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2017 </w:t>
            </w:r>
          </w:p>
        </w:tc>
        <w:tc>
          <w:tcPr>
            <w:tcW w:w="197" w:type="dxa"/>
            <w:tcBorders/>
            <w:shd w:fill="auto" w:val="clear"/>
            <w:vAlign w:val="bottom"/>
          </w:tcPr>
          <w:p>
            <w:pPr>
              <w:pStyle w:val="TableHeading"/>
              <w:suppressLineNumbers/>
              <w:spacing w:before="0" w:after="283"/>
              <w:jc w:val="center"/>
              <w:rPr/>
            </w:pPr>
            <w:r>
              <w:rPr/>
              <w:t> </w:t>
            </w:r>
          </w:p>
        </w:tc>
        <w:tc>
          <w:tcPr>
            <w:tcW w:w="1135" w:type="dxa"/>
            <w:gridSpan w:val="2"/>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2018 </w:t>
            </w:r>
          </w:p>
        </w:tc>
        <w:tc>
          <w:tcPr>
            <w:tcW w:w="198" w:type="dxa"/>
            <w:tcBorders/>
            <w:shd w:fill="auto" w:val="clear"/>
            <w:vAlign w:val="bottom"/>
          </w:tcPr>
          <w:p>
            <w:pPr>
              <w:pStyle w:val="TableHeading"/>
              <w:suppressLineNumbers/>
              <w:spacing w:before="0" w:after="283"/>
              <w:jc w:val="center"/>
              <w:rPr/>
            </w:pPr>
            <w:r>
              <w:rPr/>
              <w:t> </w:t>
            </w:r>
          </w:p>
        </w:tc>
        <w:tc>
          <w:tcPr>
            <w:tcW w:w="1135" w:type="dxa"/>
            <w:gridSpan w:val="2"/>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2019 </w:t>
            </w:r>
          </w:p>
        </w:tc>
        <w:tc>
          <w:tcPr>
            <w:tcW w:w="197" w:type="dxa"/>
            <w:tcBorders/>
            <w:shd w:fill="auto" w:val="clear"/>
            <w:vAlign w:val="bottom"/>
          </w:tcPr>
          <w:p>
            <w:pPr>
              <w:pStyle w:val="TableHeading"/>
              <w:suppressLineNumbers/>
              <w:spacing w:before="0" w:after="283"/>
              <w:jc w:val="center"/>
              <w:rPr/>
            </w:pPr>
            <w:r>
              <w:rPr/>
              <w:t> </w:t>
            </w:r>
          </w:p>
        </w:tc>
        <w:tc>
          <w:tcPr>
            <w:tcW w:w="1135" w:type="dxa"/>
            <w:gridSpan w:val="2"/>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2020 </w:t>
            </w:r>
          </w:p>
        </w:tc>
        <w:tc>
          <w:tcPr>
            <w:tcW w:w="198" w:type="dxa"/>
            <w:tcBorders/>
            <w:shd w:fill="auto" w:val="clear"/>
            <w:vAlign w:val="bottom"/>
          </w:tcPr>
          <w:p>
            <w:pPr>
              <w:pStyle w:val="TableHeading"/>
              <w:suppressLineNumbers/>
              <w:spacing w:before="0" w:after="283"/>
              <w:jc w:val="center"/>
              <w:rPr/>
            </w:pPr>
            <w:r>
              <w:rPr/>
              <w:t> </w:t>
            </w:r>
          </w:p>
        </w:tc>
      </w:tr>
      <w:tr>
        <w:trPr/>
        <w:tc>
          <w:tcPr>
            <w:tcW w:w="3345" w:type="dxa"/>
            <w:tcBorders/>
            <w:shd w:fill="auto" w:val="clear"/>
            <w:vAlign w:val="bottom"/>
          </w:tcPr>
          <w:p>
            <w:pPr>
              <w:pStyle w:val="TableContents"/>
              <w:spacing w:before="0" w:after="283"/>
              <w:ind w:left="140" w:right="0" w:hanging="140"/>
              <w:rPr>
                <w:rFonts w:ascii="times" w:hAnsi="times"/>
                <w:b/>
                <w:sz w:val="14"/>
              </w:rPr>
            </w:pPr>
            <w:r>
              <w:rPr>
                <w:rFonts w:ascii="times" w:hAnsi="times"/>
                <w:b/>
                <w:sz w:val="14"/>
              </w:rPr>
              <w:t>FLEET DATA*</w:t>
            </w:r>
          </w:p>
        </w:tc>
        <w:tc>
          <w:tcPr>
            <w:tcW w:w="197" w:type="dxa"/>
            <w:tcBorders/>
            <w:shd w:fill="auto" w:val="clear"/>
            <w:vAlign w:val="bottom"/>
          </w:tcPr>
          <w:p>
            <w:pPr>
              <w:pStyle w:val="TableContents"/>
              <w:spacing w:before="0" w:after="283"/>
              <w:rPr/>
            </w:pPr>
            <w:r>
              <w:rPr/>
              <w:t> </w:t>
            </w:r>
          </w:p>
        </w:tc>
        <w:tc>
          <w:tcPr>
            <w:tcW w:w="66" w:type="dxa"/>
            <w:tcBorders/>
            <w:shd w:fill="auto" w:val="clear"/>
            <w:vAlign w:val="bottom"/>
          </w:tcPr>
          <w:p>
            <w:pPr>
              <w:pStyle w:val="TableContents"/>
              <w:spacing w:before="0" w:after="283"/>
              <w:rPr/>
            </w:pPr>
            <w:r>
              <w:rPr/>
              <w:t> </w:t>
            </w:r>
          </w:p>
        </w:tc>
        <w:tc>
          <w:tcPr>
            <w:tcW w:w="1070" w:type="dxa"/>
            <w:tcBorders/>
            <w:shd w:fill="auto" w:val="clear"/>
            <w:vAlign w:val="bottom"/>
          </w:tcPr>
          <w:p>
            <w:pPr>
              <w:pStyle w:val="TableContents"/>
              <w:spacing w:before="0" w:after="283"/>
              <w:jc w:val="right"/>
              <w:rPr/>
            </w:pPr>
            <w:r>
              <w:rPr/>
              <w:t> </w:t>
            </w:r>
          </w:p>
        </w:tc>
        <w:tc>
          <w:tcPr>
            <w:tcW w:w="197" w:type="dxa"/>
            <w:tcBorders/>
            <w:shd w:fill="auto" w:val="clear"/>
            <w:vAlign w:val="bottom"/>
          </w:tcPr>
          <w:p>
            <w:pPr>
              <w:pStyle w:val="TableContents"/>
              <w:spacing w:before="0" w:after="283"/>
              <w:rPr/>
            </w:pPr>
            <w:r>
              <w:rPr/>
              <w:t> </w:t>
            </w:r>
          </w:p>
        </w:tc>
        <w:tc>
          <w:tcPr>
            <w:tcW w:w="66" w:type="dxa"/>
            <w:tcBorders/>
            <w:shd w:fill="auto" w:val="clear"/>
            <w:vAlign w:val="bottom"/>
          </w:tcPr>
          <w:p>
            <w:pPr>
              <w:pStyle w:val="TableContents"/>
              <w:spacing w:before="0" w:after="283"/>
              <w:rPr/>
            </w:pPr>
            <w:r>
              <w:rPr/>
              <w:t> </w:t>
            </w:r>
          </w:p>
        </w:tc>
        <w:tc>
          <w:tcPr>
            <w:tcW w:w="1069" w:type="dxa"/>
            <w:tcBorders/>
            <w:shd w:fill="auto" w:val="clear"/>
            <w:vAlign w:val="bottom"/>
          </w:tcPr>
          <w:p>
            <w:pPr>
              <w:pStyle w:val="TableContents"/>
              <w:spacing w:before="0" w:after="283"/>
              <w:jc w:val="right"/>
              <w:rPr/>
            </w:pPr>
            <w:r>
              <w:rPr/>
              <w:t> </w:t>
            </w:r>
          </w:p>
        </w:tc>
        <w:tc>
          <w:tcPr>
            <w:tcW w:w="197" w:type="dxa"/>
            <w:tcBorders/>
            <w:shd w:fill="auto" w:val="clear"/>
            <w:vAlign w:val="bottom"/>
          </w:tcPr>
          <w:p>
            <w:pPr>
              <w:pStyle w:val="TableContents"/>
              <w:spacing w:before="0" w:after="283"/>
              <w:rPr/>
            </w:pPr>
            <w:r>
              <w:rPr/>
              <w:t> </w:t>
            </w:r>
          </w:p>
        </w:tc>
        <w:tc>
          <w:tcPr>
            <w:tcW w:w="66" w:type="dxa"/>
            <w:tcBorders/>
            <w:shd w:fill="auto" w:val="clear"/>
            <w:vAlign w:val="bottom"/>
          </w:tcPr>
          <w:p>
            <w:pPr>
              <w:pStyle w:val="TableContents"/>
              <w:spacing w:before="0" w:after="283"/>
              <w:rPr/>
            </w:pPr>
            <w:r>
              <w:rPr/>
              <w:t> </w:t>
            </w:r>
          </w:p>
        </w:tc>
        <w:tc>
          <w:tcPr>
            <w:tcW w:w="1069" w:type="dxa"/>
            <w:tcBorders/>
            <w:shd w:fill="auto" w:val="clear"/>
            <w:vAlign w:val="bottom"/>
          </w:tcPr>
          <w:p>
            <w:pPr>
              <w:pStyle w:val="TableContents"/>
              <w:spacing w:before="0" w:after="283"/>
              <w:jc w:val="right"/>
              <w:rPr/>
            </w:pPr>
            <w:r>
              <w:rPr/>
              <w:t> </w:t>
            </w:r>
          </w:p>
        </w:tc>
        <w:tc>
          <w:tcPr>
            <w:tcW w:w="198" w:type="dxa"/>
            <w:tcBorders/>
            <w:shd w:fill="auto" w:val="clear"/>
            <w:vAlign w:val="bottom"/>
          </w:tcPr>
          <w:p>
            <w:pPr>
              <w:pStyle w:val="TableContents"/>
              <w:spacing w:before="0" w:after="283"/>
              <w:rPr/>
            </w:pPr>
            <w:r>
              <w:rPr/>
              <w:t> </w:t>
            </w:r>
          </w:p>
        </w:tc>
        <w:tc>
          <w:tcPr>
            <w:tcW w:w="65" w:type="dxa"/>
            <w:tcBorders/>
            <w:shd w:fill="auto" w:val="clear"/>
            <w:vAlign w:val="bottom"/>
          </w:tcPr>
          <w:p>
            <w:pPr>
              <w:pStyle w:val="TableContents"/>
              <w:spacing w:before="0" w:after="283"/>
              <w:rPr/>
            </w:pPr>
            <w:r>
              <w:rPr/>
              <w:t> </w:t>
            </w:r>
          </w:p>
        </w:tc>
        <w:tc>
          <w:tcPr>
            <w:tcW w:w="1070" w:type="dxa"/>
            <w:tcBorders/>
            <w:shd w:fill="auto" w:val="clear"/>
            <w:vAlign w:val="bottom"/>
          </w:tcPr>
          <w:p>
            <w:pPr>
              <w:pStyle w:val="TableContents"/>
              <w:spacing w:before="0" w:after="283"/>
              <w:jc w:val="right"/>
              <w:rPr/>
            </w:pPr>
            <w:r>
              <w:rPr/>
              <w:t> </w:t>
            </w:r>
          </w:p>
        </w:tc>
        <w:tc>
          <w:tcPr>
            <w:tcW w:w="197" w:type="dxa"/>
            <w:tcBorders/>
            <w:shd w:fill="auto" w:val="clear"/>
            <w:vAlign w:val="bottom"/>
          </w:tcPr>
          <w:p>
            <w:pPr>
              <w:pStyle w:val="TableContents"/>
              <w:spacing w:before="0" w:after="283"/>
              <w:rPr/>
            </w:pPr>
            <w:r>
              <w:rPr/>
              <w:t> </w:t>
            </w:r>
          </w:p>
        </w:tc>
        <w:tc>
          <w:tcPr>
            <w:tcW w:w="66" w:type="dxa"/>
            <w:tcBorders/>
            <w:shd w:fill="auto" w:val="clear"/>
            <w:vAlign w:val="bottom"/>
          </w:tcPr>
          <w:p>
            <w:pPr>
              <w:pStyle w:val="TableContents"/>
              <w:spacing w:before="0" w:after="283"/>
              <w:rPr/>
            </w:pPr>
            <w:r>
              <w:rPr/>
              <w:t> </w:t>
            </w:r>
          </w:p>
        </w:tc>
        <w:tc>
          <w:tcPr>
            <w:tcW w:w="1069" w:type="dxa"/>
            <w:tcBorders/>
            <w:shd w:fill="auto" w:val="clear"/>
            <w:vAlign w:val="bottom"/>
          </w:tcPr>
          <w:p>
            <w:pPr>
              <w:pStyle w:val="TableContents"/>
              <w:spacing w:before="0" w:after="283"/>
              <w:jc w:val="right"/>
              <w:rPr/>
            </w:pPr>
            <w:r>
              <w:rPr/>
              <w:t> </w:t>
            </w:r>
          </w:p>
        </w:tc>
        <w:tc>
          <w:tcPr>
            <w:tcW w:w="198" w:type="dxa"/>
            <w:tcBorders/>
            <w:shd w:fill="auto" w:val="clear"/>
            <w:vAlign w:val="bottom"/>
          </w:tcPr>
          <w:p>
            <w:pPr>
              <w:pStyle w:val="TableContents"/>
              <w:spacing w:before="0" w:after="283"/>
              <w:rPr/>
            </w:pPr>
            <w:r>
              <w:rPr/>
              <w:t> </w:t>
            </w:r>
          </w:p>
        </w:tc>
      </w:tr>
      <w:tr>
        <w:trPr/>
        <w:tc>
          <w:tcPr>
            <w:tcW w:w="3345" w:type="dxa"/>
            <w:tcBorders/>
            <w:shd w:fill="auto" w:val="clear"/>
            <w:vAlign w:val="bottom"/>
          </w:tcPr>
          <w:p>
            <w:pPr>
              <w:pStyle w:val="TableContents"/>
              <w:spacing w:before="0" w:after="283"/>
              <w:ind w:left="140" w:right="0" w:hanging="140"/>
              <w:rPr>
                <w:rFonts w:ascii="times" w:hAnsi="times"/>
                <w:sz w:val="14"/>
              </w:rPr>
            </w:pPr>
            <w:r>
              <w:rPr>
                <w:rFonts w:ascii="times" w:hAnsi="times"/>
                <w:sz w:val="14"/>
              </w:rPr>
              <w:t>Number of LNG carriers at end of period</w:t>
            </w:r>
          </w:p>
        </w:tc>
        <w:tc>
          <w:tcPr>
            <w:tcW w:w="197" w:type="dxa"/>
            <w:tcBorders/>
            <w:shd w:fill="auto" w:val="clear"/>
            <w:vAlign w:val="bottom"/>
          </w:tcPr>
          <w:p>
            <w:pPr>
              <w:pStyle w:val="TableContents"/>
              <w:spacing w:before="0" w:after="283"/>
              <w:rPr/>
            </w:pPr>
            <w:r>
              <w:rPr/>
              <w:t> </w:t>
            </w:r>
          </w:p>
        </w:tc>
        <w:tc>
          <w:tcPr>
            <w:tcW w:w="66" w:type="dxa"/>
            <w:tcBorders/>
            <w:shd w:fill="auto" w:val="clear"/>
            <w:vAlign w:val="bottom"/>
          </w:tcPr>
          <w:p>
            <w:pPr>
              <w:pStyle w:val="TableContents"/>
              <w:spacing w:before="0" w:after="283"/>
              <w:rPr/>
            </w:pPr>
            <w:r>
              <w:rPr/>
              <w:t> </w:t>
            </w:r>
          </w:p>
        </w:tc>
        <w:tc>
          <w:tcPr>
            <w:tcW w:w="1070" w:type="dxa"/>
            <w:tcBorders/>
            <w:shd w:fill="auto" w:val="clear"/>
            <w:vAlign w:val="bottom"/>
          </w:tcPr>
          <w:p>
            <w:pPr>
              <w:pStyle w:val="TableContents"/>
              <w:spacing w:before="0" w:after="283"/>
              <w:jc w:val="right"/>
              <w:rPr>
                <w:rFonts w:ascii="times" w:hAnsi="times"/>
                <w:sz w:val="14"/>
              </w:rPr>
            </w:pPr>
            <w:r>
              <w:rPr>
                <w:rFonts w:ascii="times" w:hAnsi="times"/>
                <w:sz w:val="14"/>
              </w:rPr>
              <w:t>15</w:t>
            </w:r>
          </w:p>
        </w:tc>
        <w:tc>
          <w:tcPr>
            <w:tcW w:w="197" w:type="dxa"/>
            <w:tcBorders/>
            <w:shd w:fill="auto" w:val="clear"/>
            <w:vAlign w:val="bottom"/>
          </w:tcPr>
          <w:p>
            <w:pPr>
              <w:pStyle w:val="TableContents"/>
              <w:spacing w:before="0" w:after="283"/>
              <w:rPr/>
            </w:pPr>
            <w:r>
              <w:rPr/>
              <w:t> </w:t>
            </w:r>
          </w:p>
        </w:tc>
        <w:tc>
          <w:tcPr>
            <w:tcW w:w="66" w:type="dxa"/>
            <w:tcBorders/>
            <w:shd w:fill="auto" w:val="clear"/>
            <w:vAlign w:val="bottom"/>
          </w:tcPr>
          <w:p>
            <w:pPr>
              <w:pStyle w:val="TableContents"/>
              <w:spacing w:before="0" w:after="283"/>
              <w:rPr/>
            </w:pPr>
            <w:r>
              <w:rPr/>
              <w:t> </w:t>
            </w:r>
          </w:p>
        </w:tc>
        <w:tc>
          <w:tcPr>
            <w:tcW w:w="1069" w:type="dxa"/>
            <w:tcBorders/>
            <w:shd w:fill="auto" w:val="clear"/>
            <w:vAlign w:val="bottom"/>
          </w:tcPr>
          <w:p>
            <w:pPr>
              <w:pStyle w:val="TableContents"/>
              <w:spacing w:before="0" w:after="283"/>
              <w:jc w:val="right"/>
              <w:rPr>
                <w:rFonts w:ascii="times" w:hAnsi="times"/>
                <w:sz w:val="14"/>
              </w:rPr>
            </w:pPr>
            <w:r>
              <w:rPr>
                <w:rFonts w:ascii="times" w:hAnsi="times"/>
                <w:sz w:val="14"/>
              </w:rPr>
              <w:t>15</w:t>
            </w:r>
          </w:p>
        </w:tc>
        <w:tc>
          <w:tcPr>
            <w:tcW w:w="197" w:type="dxa"/>
            <w:tcBorders/>
            <w:shd w:fill="auto" w:val="clear"/>
            <w:vAlign w:val="bottom"/>
          </w:tcPr>
          <w:p>
            <w:pPr>
              <w:pStyle w:val="TableContents"/>
              <w:spacing w:before="0" w:after="283"/>
              <w:rPr/>
            </w:pPr>
            <w:r>
              <w:rPr/>
              <w:t> </w:t>
            </w:r>
          </w:p>
        </w:tc>
        <w:tc>
          <w:tcPr>
            <w:tcW w:w="66" w:type="dxa"/>
            <w:tcBorders/>
            <w:shd w:fill="auto" w:val="clear"/>
            <w:vAlign w:val="bottom"/>
          </w:tcPr>
          <w:p>
            <w:pPr>
              <w:pStyle w:val="TableContents"/>
              <w:spacing w:before="0" w:after="283"/>
              <w:rPr/>
            </w:pPr>
            <w:r>
              <w:rPr/>
              <w:t> </w:t>
            </w:r>
          </w:p>
        </w:tc>
        <w:tc>
          <w:tcPr>
            <w:tcW w:w="1069" w:type="dxa"/>
            <w:tcBorders/>
            <w:shd w:fill="auto" w:val="clear"/>
            <w:vAlign w:val="bottom"/>
          </w:tcPr>
          <w:p>
            <w:pPr>
              <w:pStyle w:val="TableContents"/>
              <w:spacing w:before="0" w:after="283"/>
              <w:jc w:val="right"/>
              <w:rPr>
                <w:rFonts w:ascii="times" w:hAnsi="times"/>
                <w:sz w:val="14"/>
              </w:rPr>
            </w:pPr>
            <w:r>
              <w:rPr>
                <w:rFonts w:ascii="times" w:hAnsi="times"/>
                <w:sz w:val="14"/>
              </w:rPr>
              <w:t>15</w:t>
            </w:r>
          </w:p>
        </w:tc>
        <w:tc>
          <w:tcPr>
            <w:tcW w:w="198" w:type="dxa"/>
            <w:tcBorders/>
            <w:shd w:fill="auto" w:val="clear"/>
            <w:vAlign w:val="bottom"/>
          </w:tcPr>
          <w:p>
            <w:pPr>
              <w:pStyle w:val="TableContents"/>
              <w:spacing w:before="0" w:after="283"/>
              <w:rPr/>
            </w:pPr>
            <w:r>
              <w:rPr/>
              <w:t> </w:t>
            </w:r>
          </w:p>
        </w:tc>
        <w:tc>
          <w:tcPr>
            <w:tcW w:w="65" w:type="dxa"/>
            <w:tcBorders/>
            <w:shd w:fill="auto" w:val="clear"/>
            <w:vAlign w:val="bottom"/>
          </w:tcPr>
          <w:p>
            <w:pPr>
              <w:pStyle w:val="TableContents"/>
              <w:spacing w:before="0" w:after="283"/>
              <w:rPr/>
            </w:pPr>
            <w:r>
              <w:rPr/>
              <w:t> </w:t>
            </w:r>
          </w:p>
        </w:tc>
        <w:tc>
          <w:tcPr>
            <w:tcW w:w="1070" w:type="dxa"/>
            <w:tcBorders/>
            <w:shd w:fill="auto" w:val="clear"/>
            <w:vAlign w:val="bottom"/>
          </w:tcPr>
          <w:p>
            <w:pPr>
              <w:pStyle w:val="TableContents"/>
              <w:spacing w:before="0" w:after="283"/>
              <w:jc w:val="right"/>
              <w:rPr>
                <w:rFonts w:ascii="times" w:hAnsi="times"/>
                <w:sz w:val="14"/>
              </w:rPr>
            </w:pPr>
            <w:r>
              <w:rPr>
                <w:rFonts w:ascii="times" w:hAnsi="times"/>
                <w:sz w:val="14"/>
              </w:rPr>
              <w:t>15</w:t>
            </w:r>
          </w:p>
        </w:tc>
        <w:tc>
          <w:tcPr>
            <w:tcW w:w="197" w:type="dxa"/>
            <w:tcBorders/>
            <w:shd w:fill="auto" w:val="clear"/>
            <w:vAlign w:val="bottom"/>
          </w:tcPr>
          <w:p>
            <w:pPr>
              <w:pStyle w:val="TableContents"/>
              <w:spacing w:before="0" w:after="283"/>
              <w:rPr/>
            </w:pPr>
            <w:r>
              <w:rPr/>
              <w:t> </w:t>
            </w:r>
          </w:p>
        </w:tc>
        <w:tc>
          <w:tcPr>
            <w:tcW w:w="66" w:type="dxa"/>
            <w:tcBorders/>
            <w:shd w:fill="auto" w:val="clear"/>
            <w:vAlign w:val="bottom"/>
          </w:tcPr>
          <w:p>
            <w:pPr>
              <w:pStyle w:val="TableContents"/>
              <w:spacing w:before="0" w:after="283"/>
              <w:rPr/>
            </w:pPr>
            <w:r>
              <w:rPr/>
              <w:t> </w:t>
            </w:r>
          </w:p>
        </w:tc>
        <w:tc>
          <w:tcPr>
            <w:tcW w:w="1069" w:type="dxa"/>
            <w:tcBorders/>
            <w:shd w:fill="auto" w:val="clear"/>
            <w:vAlign w:val="bottom"/>
          </w:tcPr>
          <w:p>
            <w:pPr>
              <w:pStyle w:val="TableContents"/>
              <w:spacing w:before="0" w:after="283"/>
              <w:jc w:val="right"/>
              <w:rPr>
                <w:rFonts w:ascii="times" w:hAnsi="times"/>
                <w:sz w:val="14"/>
              </w:rPr>
            </w:pPr>
            <w:r>
              <w:rPr>
                <w:rFonts w:ascii="times" w:hAnsi="times"/>
                <w:sz w:val="14"/>
              </w:rPr>
              <w:t>15</w:t>
            </w:r>
          </w:p>
        </w:tc>
        <w:tc>
          <w:tcPr>
            <w:tcW w:w="198" w:type="dxa"/>
            <w:tcBorders/>
            <w:shd w:fill="auto" w:val="clear"/>
            <w:vAlign w:val="bottom"/>
          </w:tcPr>
          <w:p>
            <w:pPr>
              <w:pStyle w:val="TableContents"/>
              <w:spacing w:before="0" w:after="283"/>
              <w:rPr/>
            </w:pPr>
            <w:r>
              <w:rPr/>
              <w:t> </w:t>
            </w:r>
          </w:p>
        </w:tc>
      </w:tr>
      <w:tr>
        <w:trPr/>
        <w:tc>
          <w:tcPr>
            <w:tcW w:w="3345" w:type="dxa"/>
            <w:tcBorders/>
            <w:shd w:fill="auto" w:val="clear"/>
            <w:vAlign w:val="bottom"/>
          </w:tcPr>
          <w:p>
            <w:pPr>
              <w:pStyle w:val="TableContents"/>
              <w:spacing w:before="0" w:after="283"/>
              <w:ind w:left="140" w:right="0" w:hanging="140"/>
              <w:rPr>
                <w:rFonts w:ascii="times" w:hAnsi="times"/>
                <w:sz w:val="14"/>
              </w:rPr>
            </w:pPr>
            <w:r>
              <w:rPr>
                <w:rFonts w:ascii="times" w:hAnsi="times"/>
                <w:sz w:val="14"/>
              </w:rPr>
              <w:t>Average number of LNG carriers during period</w:t>
            </w:r>
          </w:p>
        </w:tc>
        <w:tc>
          <w:tcPr>
            <w:tcW w:w="197" w:type="dxa"/>
            <w:tcBorders/>
            <w:shd w:fill="auto" w:val="clear"/>
            <w:vAlign w:val="bottom"/>
          </w:tcPr>
          <w:p>
            <w:pPr>
              <w:pStyle w:val="TableContents"/>
              <w:spacing w:before="0" w:after="283"/>
              <w:rPr/>
            </w:pPr>
            <w:r>
              <w:rPr/>
              <w:t> </w:t>
            </w:r>
          </w:p>
        </w:tc>
        <w:tc>
          <w:tcPr>
            <w:tcW w:w="66" w:type="dxa"/>
            <w:tcBorders/>
            <w:shd w:fill="auto" w:val="clear"/>
            <w:vAlign w:val="bottom"/>
          </w:tcPr>
          <w:p>
            <w:pPr>
              <w:pStyle w:val="TableContents"/>
              <w:spacing w:before="0" w:after="283"/>
              <w:rPr/>
            </w:pPr>
            <w:r>
              <w:rPr/>
              <w:t> </w:t>
            </w:r>
          </w:p>
        </w:tc>
        <w:tc>
          <w:tcPr>
            <w:tcW w:w="1070" w:type="dxa"/>
            <w:tcBorders/>
            <w:shd w:fill="auto" w:val="clear"/>
            <w:vAlign w:val="bottom"/>
          </w:tcPr>
          <w:p>
            <w:pPr>
              <w:pStyle w:val="TableContents"/>
              <w:spacing w:before="0" w:after="283"/>
              <w:jc w:val="right"/>
              <w:rPr>
                <w:rFonts w:ascii="times" w:hAnsi="times"/>
                <w:sz w:val="14"/>
              </w:rPr>
            </w:pPr>
            <w:r>
              <w:rPr>
                <w:rFonts w:ascii="times" w:hAnsi="times"/>
                <w:sz w:val="14"/>
              </w:rPr>
              <w:t>12.7</w:t>
            </w:r>
          </w:p>
        </w:tc>
        <w:tc>
          <w:tcPr>
            <w:tcW w:w="197" w:type="dxa"/>
            <w:tcBorders/>
            <w:shd w:fill="auto" w:val="clear"/>
            <w:vAlign w:val="bottom"/>
          </w:tcPr>
          <w:p>
            <w:pPr>
              <w:pStyle w:val="TableContents"/>
              <w:spacing w:before="0" w:after="283"/>
              <w:rPr/>
            </w:pPr>
            <w:r>
              <w:rPr/>
              <w:t> </w:t>
            </w:r>
          </w:p>
        </w:tc>
        <w:tc>
          <w:tcPr>
            <w:tcW w:w="66" w:type="dxa"/>
            <w:tcBorders/>
            <w:shd w:fill="auto" w:val="clear"/>
            <w:vAlign w:val="bottom"/>
          </w:tcPr>
          <w:p>
            <w:pPr>
              <w:pStyle w:val="TableContents"/>
              <w:spacing w:before="0" w:after="283"/>
              <w:rPr/>
            </w:pPr>
            <w:r>
              <w:rPr/>
              <w:t> </w:t>
            </w:r>
          </w:p>
        </w:tc>
        <w:tc>
          <w:tcPr>
            <w:tcW w:w="1069" w:type="dxa"/>
            <w:tcBorders/>
            <w:shd w:fill="auto" w:val="clear"/>
            <w:vAlign w:val="bottom"/>
          </w:tcPr>
          <w:p>
            <w:pPr>
              <w:pStyle w:val="TableContents"/>
              <w:spacing w:before="0" w:after="283"/>
              <w:jc w:val="right"/>
              <w:rPr>
                <w:rFonts w:ascii="times" w:hAnsi="times"/>
                <w:sz w:val="14"/>
              </w:rPr>
            </w:pPr>
            <w:r>
              <w:rPr>
                <w:rFonts w:ascii="times" w:hAnsi="times"/>
                <w:sz w:val="14"/>
              </w:rPr>
              <w:t>15.0</w:t>
            </w:r>
          </w:p>
        </w:tc>
        <w:tc>
          <w:tcPr>
            <w:tcW w:w="197" w:type="dxa"/>
            <w:tcBorders/>
            <w:shd w:fill="auto" w:val="clear"/>
            <w:vAlign w:val="bottom"/>
          </w:tcPr>
          <w:p>
            <w:pPr>
              <w:pStyle w:val="TableContents"/>
              <w:spacing w:before="0" w:after="283"/>
              <w:rPr/>
            </w:pPr>
            <w:r>
              <w:rPr/>
              <w:t> </w:t>
            </w:r>
          </w:p>
        </w:tc>
        <w:tc>
          <w:tcPr>
            <w:tcW w:w="66" w:type="dxa"/>
            <w:tcBorders/>
            <w:shd w:fill="auto" w:val="clear"/>
            <w:vAlign w:val="bottom"/>
          </w:tcPr>
          <w:p>
            <w:pPr>
              <w:pStyle w:val="TableContents"/>
              <w:spacing w:before="0" w:after="283"/>
              <w:rPr/>
            </w:pPr>
            <w:r>
              <w:rPr/>
              <w:t> </w:t>
            </w:r>
          </w:p>
        </w:tc>
        <w:tc>
          <w:tcPr>
            <w:tcW w:w="1069" w:type="dxa"/>
            <w:tcBorders/>
            <w:shd w:fill="auto" w:val="clear"/>
            <w:vAlign w:val="bottom"/>
          </w:tcPr>
          <w:p>
            <w:pPr>
              <w:pStyle w:val="TableContents"/>
              <w:spacing w:before="0" w:after="283"/>
              <w:jc w:val="right"/>
              <w:rPr>
                <w:rFonts w:ascii="times" w:hAnsi="times"/>
                <w:sz w:val="14"/>
              </w:rPr>
            </w:pPr>
            <w:r>
              <w:rPr>
                <w:rFonts w:ascii="times" w:hAnsi="times"/>
                <w:sz w:val="14"/>
              </w:rPr>
              <w:t>15.0</w:t>
            </w:r>
          </w:p>
        </w:tc>
        <w:tc>
          <w:tcPr>
            <w:tcW w:w="198" w:type="dxa"/>
            <w:tcBorders/>
            <w:shd w:fill="auto" w:val="clear"/>
            <w:vAlign w:val="bottom"/>
          </w:tcPr>
          <w:p>
            <w:pPr>
              <w:pStyle w:val="TableContents"/>
              <w:spacing w:before="0" w:after="283"/>
              <w:rPr/>
            </w:pPr>
            <w:r>
              <w:rPr/>
              <w:t> </w:t>
            </w:r>
          </w:p>
        </w:tc>
        <w:tc>
          <w:tcPr>
            <w:tcW w:w="65" w:type="dxa"/>
            <w:tcBorders/>
            <w:shd w:fill="auto" w:val="clear"/>
            <w:vAlign w:val="bottom"/>
          </w:tcPr>
          <w:p>
            <w:pPr>
              <w:pStyle w:val="TableContents"/>
              <w:spacing w:before="0" w:after="283"/>
              <w:rPr/>
            </w:pPr>
            <w:r>
              <w:rPr/>
              <w:t> </w:t>
            </w:r>
          </w:p>
        </w:tc>
        <w:tc>
          <w:tcPr>
            <w:tcW w:w="1070" w:type="dxa"/>
            <w:tcBorders/>
            <w:shd w:fill="auto" w:val="clear"/>
            <w:vAlign w:val="bottom"/>
          </w:tcPr>
          <w:p>
            <w:pPr>
              <w:pStyle w:val="TableContents"/>
              <w:spacing w:before="0" w:after="283"/>
              <w:jc w:val="right"/>
              <w:rPr>
                <w:rFonts w:ascii="times" w:hAnsi="times"/>
                <w:sz w:val="14"/>
              </w:rPr>
            </w:pPr>
            <w:r>
              <w:rPr>
                <w:rFonts w:ascii="times" w:hAnsi="times"/>
                <w:sz w:val="14"/>
              </w:rPr>
              <w:t>15.0</w:t>
            </w:r>
          </w:p>
        </w:tc>
        <w:tc>
          <w:tcPr>
            <w:tcW w:w="197" w:type="dxa"/>
            <w:tcBorders/>
            <w:shd w:fill="auto" w:val="clear"/>
            <w:vAlign w:val="bottom"/>
          </w:tcPr>
          <w:p>
            <w:pPr>
              <w:pStyle w:val="TableContents"/>
              <w:spacing w:before="0" w:after="283"/>
              <w:rPr/>
            </w:pPr>
            <w:r>
              <w:rPr/>
              <w:t> </w:t>
            </w:r>
          </w:p>
        </w:tc>
        <w:tc>
          <w:tcPr>
            <w:tcW w:w="66" w:type="dxa"/>
            <w:tcBorders/>
            <w:shd w:fill="auto" w:val="clear"/>
            <w:vAlign w:val="bottom"/>
          </w:tcPr>
          <w:p>
            <w:pPr>
              <w:pStyle w:val="TableContents"/>
              <w:spacing w:before="0" w:after="283"/>
              <w:rPr/>
            </w:pPr>
            <w:r>
              <w:rPr/>
              <w:t> </w:t>
            </w:r>
          </w:p>
        </w:tc>
        <w:tc>
          <w:tcPr>
            <w:tcW w:w="1069" w:type="dxa"/>
            <w:tcBorders/>
            <w:shd w:fill="auto" w:val="clear"/>
            <w:vAlign w:val="bottom"/>
          </w:tcPr>
          <w:p>
            <w:pPr>
              <w:pStyle w:val="TableContents"/>
              <w:spacing w:before="0" w:after="283"/>
              <w:jc w:val="right"/>
              <w:rPr>
                <w:rFonts w:ascii="times" w:hAnsi="times"/>
                <w:sz w:val="14"/>
              </w:rPr>
            </w:pPr>
            <w:r>
              <w:rPr>
                <w:rFonts w:ascii="times" w:hAnsi="times"/>
                <w:sz w:val="14"/>
              </w:rPr>
              <w:t>15.0</w:t>
            </w:r>
          </w:p>
        </w:tc>
        <w:tc>
          <w:tcPr>
            <w:tcW w:w="198" w:type="dxa"/>
            <w:tcBorders/>
            <w:shd w:fill="auto" w:val="clear"/>
            <w:vAlign w:val="bottom"/>
          </w:tcPr>
          <w:p>
            <w:pPr>
              <w:pStyle w:val="TableContents"/>
              <w:spacing w:before="0" w:after="283"/>
              <w:rPr/>
            </w:pPr>
            <w:r>
              <w:rPr/>
              <w:t> </w:t>
            </w:r>
          </w:p>
        </w:tc>
      </w:tr>
      <w:tr>
        <w:trPr/>
        <w:tc>
          <w:tcPr>
            <w:tcW w:w="3345" w:type="dxa"/>
            <w:tcBorders/>
            <w:shd w:fill="auto" w:val="clear"/>
            <w:vAlign w:val="bottom"/>
          </w:tcPr>
          <w:p>
            <w:pPr>
              <w:pStyle w:val="TableContents"/>
              <w:spacing w:before="0" w:after="283"/>
              <w:ind w:left="140" w:right="0" w:hanging="140"/>
              <w:rPr>
                <w:rFonts w:ascii="times" w:hAnsi="times"/>
                <w:sz w:val="14"/>
              </w:rPr>
            </w:pPr>
            <w:r>
              <w:rPr>
                <w:rFonts w:ascii="times" w:hAnsi="times"/>
                <w:sz w:val="14"/>
              </w:rPr>
              <w:t>Average age of LNG carriers (years)</w:t>
            </w:r>
          </w:p>
        </w:tc>
        <w:tc>
          <w:tcPr>
            <w:tcW w:w="197" w:type="dxa"/>
            <w:tcBorders/>
            <w:shd w:fill="auto" w:val="clear"/>
            <w:vAlign w:val="bottom"/>
          </w:tcPr>
          <w:p>
            <w:pPr>
              <w:pStyle w:val="TableContents"/>
              <w:spacing w:before="0" w:after="283"/>
              <w:rPr/>
            </w:pPr>
            <w:r>
              <w:rPr/>
              <w:t> </w:t>
            </w:r>
          </w:p>
        </w:tc>
        <w:tc>
          <w:tcPr>
            <w:tcW w:w="66" w:type="dxa"/>
            <w:tcBorders/>
            <w:shd w:fill="auto" w:val="clear"/>
            <w:vAlign w:val="bottom"/>
          </w:tcPr>
          <w:p>
            <w:pPr>
              <w:pStyle w:val="TableContents"/>
              <w:spacing w:before="0" w:after="283"/>
              <w:rPr/>
            </w:pPr>
            <w:r>
              <w:rPr/>
              <w:t> </w:t>
            </w:r>
          </w:p>
        </w:tc>
        <w:tc>
          <w:tcPr>
            <w:tcW w:w="1070" w:type="dxa"/>
            <w:tcBorders/>
            <w:shd w:fill="auto" w:val="clear"/>
            <w:vAlign w:val="bottom"/>
          </w:tcPr>
          <w:p>
            <w:pPr>
              <w:pStyle w:val="TableContents"/>
              <w:spacing w:before="0" w:after="283"/>
              <w:jc w:val="right"/>
              <w:rPr>
                <w:rFonts w:ascii="times" w:hAnsi="times"/>
                <w:sz w:val="14"/>
              </w:rPr>
            </w:pPr>
            <w:r>
              <w:rPr>
                <w:rFonts w:ascii="times" w:hAnsi="times"/>
                <w:sz w:val="14"/>
              </w:rPr>
              <w:t>5.0</w:t>
            </w:r>
          </w:p>
        </w:tc>
        <w:tc>
          <w:tcPr>
            <w:tcW w:w="197" w:type="dxa"/>
            <w:tcBorders/>
            <w:shd w:fill="auto" w:val="clear"/>
            <w:vAlign w:val="bottom"/>
          </w:tcPr>
          <w:p>
            <w:pPr>
              <w:pStyle w:val="TableContents"/>
              <w:spacing w:before="0" w:after="283"/>
              <w:rPr/>
            </w:pPr>
            <w:r>
              <w:rPr/>
              <w:t> </w:t>
            </w:r>
          </w:p>
        </w:tc>
        <w:tc>
          <w:tcPr>
            <w:tcW w:w="66" w:type="dxa"/>
            <w:tcBorders/>
            <w:shd w:fill="auto" w:val="clear"/>
            <w:vAlign w:val="bottom"/>
          </w:tcPr>
          <w:p>
            <w:pPr>
              <w:pStyle w:val="TableContents"/>
              <w:spacing w:before="0" w:after="283"/>
              <w:rPr/>
            </w:pPr>
            <w:r>
              <w:rPr/>
              <w:t> </w:t>
            </w:r>
          </w:p>
        </w:tc>
        <w:tc>
          <w:tcPr>
            <w:tcW w:w="1069" w:type="dxa"/>
            <w:tcBorders/>
            <w:shd w:fill="auto" w:val="clear"/>
            <w:vAlign w:val="bottom"/>
          </w:tcPr>
          <w:p>
            <w:pPr>
              <w:pStyle w:val="TableContents"/>
              <w:spacing w:before="0" w:after="283"/>
              <w:jc w:val="right"/>
              <w:rPr>
                <w:rFonts w:ascii="times" w:hAnsi="times"/>
                <w:sz w:val="14"/>
              </w:rPr>
            </w:pPr>
            <w:r>
              <w:rPr>
                <w:rFonts w:ascii="times" w:hAnsi="times"/>
                <w:sz w:val="14"/>
              </w:rPr>
              <w:t>6.0</w:t>
            </w:r>
          </w:p>
        </w:tc>
        <w:tc>
          <w:tcPr>
            <w:tcW w:w="197" w:type="dxa"/>
            <w:tcBorders/>
            <w:shd w:fill="auto" w:val="clear"/>
            <w:vAlign w:val="bottom"/>
          </w:tcPr>
          <w:p>
            <w:pPr>
              <w:pStyle w:val="TableContents"/>
              <w:spacing w:before="0" w:after="283"/>
              <w:rPr/>
            </w:pPr>
            <w:r>
              <w:rPr/>
              <w:t> </w:t>
            </w:r>
          </w:p>
        </w:tc>
        <w:tc>
          <w:tcPr>
            <w:tcW w:w="66" w:type="dxa"/>
            <w:tcBorders/>
            <w:shd w:fill="auto" w:val="clear"/>
            <w:vAlign w:val="bottom"/>
          </w:tcPr>
          <w:p>
            <w:pPr>
              <w:pStyle w:val="TableContents"/>
              <w:spacing w:before="0" w:after="283"/>
              <w:rPr/>
            </w:pPr>
            <w:r>
              <w:rPr/>
              <w:t> </w:t>
            </w:r>
          </w:p>
        </w:tc>
        <w:tc>
          <w:tcPr>
            <w:tcW w:w="1069" w:type="dxa"/>
            <w:tcBorders/>
            <w:shd w:fill="auto" w:val="clear"/>
            <w:vAlign w:val="bottom"/>
          </w:tcPr>
          <w:p>
            <w:pPr>
              <w:pStyle w:val="TableContents"/>
              <w:spacing w:before="0" w:after="283"/>
              <w:jc w:val="right"/>
              <w:rPr>
                <w:rFonts w:ascii="times" w:hAnsi="times"/>
                <w:sz w:val="14"/>
              </w:rPr>
            </w:pPr>
            <w:r>
              <w:rPr>
                <w:rFonts w:ascii="times" w:hAnsi="times"/>
                <w:sz w:val="14"/>
              </w:rPr>
              <w:t>7.0</w:t>
            </w:r>
          </w:p>
        </w:tc>
        <w:tc>
          <w:tcPr>
            <w:tcW w:w="198" w:type="dxa"/>
            <w:tcBorders/>
            <w:shd w:fill="auto" w:val="clear"/>
            <w:vAlign w:val="bottom"/>
          </w:tcPr>
          <w:p>
            <w:pPr>
              <w:pStyle w:val="TableContents"/>
              <w:spacing w:before="0" w:after="283"/>
              <w:rPr/>
            </w:pPr>
            <w:r>
              <w:rPr/>
              <w:t> </w:t>
            </w:r>
          </w:p>
        </w:tc>
        <w:tc>
          <w:tcPr>
            <w:tcW w:w="65" w:type="dxa"/>
            <w:tcBorders/>
            <w:shd w:fill="auto" w:val="clear"/>
            <w:vAlign w:val="bottom"/>
          </w:tcPr>
          <w:p>
            <w:pPr>
              <w:pStyle w:val="TableContents"/>
              <w:spacing w:before="0" w:after="283"/>
              <w:rPr/>
            </w:pPr>
            <w:r>
              <w:rPr/>
              <w:t> </w:t>
            </w:r>
          </w:p>
        </w:tc>
        <w:tc>
          <w:tcPr>
            <w:tcW w:w="1070" w:type="dxa"/>
            <w:tcBorders/>
            <w:shd w:fill="auto" w:val="clear"/>
            <w:vAlign w:val="bottom"/>
          </w:tcPr>
          <w:p>
            <w:pPr>
              <w:pStyle w:val="TableContents"/>
              <w:spacing w:before="0" w:after="283"/>
              <w:jc w:val="right"/>
              <w:rPr>
                <w:rFonts w:ascii="times" w:hAnsi="times"/>
                <w:sz w:val="14"/>
              </w:rPr>
            </w:pPr>
            <w:r>
              <w:rPr>
                <w:rFonts w:ascii="times" w:hAnsi="times"/>
                <w:sz w:val="14"/>
              </w:rPr>
              <w:t>8.0</w:t>
            </w:r>
          </w:p>
        </w:tc>
        <w:tc>
          <w:tcPr>
            <w:tcW w:w="197" w:type="dxa"/>
            <w:tcBorders/>
            <w:shd w:fill="auto" w:val="clear"/>
            <w:vAlign w:val="bottom"/>
          </w:tcPr>
          <w:p>
            <w:pPr>
              <w:pStyle w:val="TableContents"/>
              <w:spacing w:before="0" w:after="283"/>
              <w:rPr/>
            </w:pPr>
            <w:r>
              <w:rPr/>
              <w:t> </w:t>
            </w:r>
          </w:p>
        </w:tc>
        <w:tc>
          <w:tcPr>
            <w:tcW w:w="66" w:type="dxa"/>
            <w:tcBorders/>
            <w:shd w:fill="auto" w:val="clear"/>
            <w:vAlign w:val="bottom"/>
          </w:tcPr>
          <w:p>
            <w:pPr>
              <w:pStyle w:val="TableContents"/>
              <w:spacing w:before="0" w:after="283"/>
              <w:rPr/>
            </w:pPr>
            <w:r>
              <w:rPr/>
              <w:t> </w:t>
            </w:r>
          </w:p>
        </w:tc>
        <w:tc>
          <w:tcPr>
            <w:tcW w:w="1069" w:type="dxa"/>
            <w:tcBorders/>
            <w:shd w:fill="auto" w:val="clear"/>
            <w:vAlign w:val="bottom"/>
          </w:tcPr>
          <w:p>
            <w:pPr>
              <w:pStyle w:val="TableContents"/>
              <w:spacing w:before="0" w:after="283"/>
              <w:jc w:val="right"/>
              <w:rPr>
                <w:rFonts w:ascii="times" w:hAnsi="times"/>
                <w:sz w:val="14"/>
              </w:rPr>
            </w:pPr>
            <w:r>
              <w:rPr>
                <w:rFonts w:ascii="times" w:hAnsi="times"/>
                <w:sz w:val="14"/>
              </w:rPr>
              <w:t>9.0</w:t>
            </w:r>
          </w:p>
        </w:tc>
        <w:tc>
          <w:tcPr>
            <w:tcW w:w="198" w:type="dxa"/>
            <w:tcBorders/>
            <w:shd w:fill="auto" w:val="clear"/>
            <w:vAlign w:val="bottom"/>
          </w:tcPr>
          <w:p>
            <w:pPr>
              <w:pStyle w:val="TableContents"/>
              <w:spacing w:before="0" w:after="283"/>
              <w:rPr/>
            </w:pPr>
            <w:r>
              <w:rPr/>
              <w:t> </w:t>
            </w:r>
          </w:p>
        </w:tc>
      </w:tr>
      <w:tr>
        <w:trPr/>
        <w:tc>
          <w:tcPr>
            <w:tcW w:w="3345" w:type="dxa"/>
            <w:tcBorders/>
            <w:shd w:fill="auto" w:val="clear"/>
            <w:vAlign w:val="bottom"/>
          </w:tcPr>
          <w:p>
            <w:pPr>
              <w:pStyle w:val="TableContents"/>
              <w:spacing w:before="0" w:after="283"/>
              <w:ind w:left="140" w:right="0" w:hanging="140"/>
              <w:rPr>
                <w:rFonts w:ascii="times" w:hAnsi="times"/>
                <w:sz w:val="14"/>
              </w:rPr>
            </w:pPr>
            <w:r>
              <w:rPr>
                <w:rFonts w:ascii="times" w:hAnsi="times"/>
                <w:sz w:val="14"/>
              </w:rPr>
              <w:t>Total calendar days of fleet for the period</w:t>
            </w:r>
          </w:p>
        </w:tc>
        <w:tc>
          <w:tcPr>
            <w:tcW w:w="197" w:type="dxa"/>
            <w:tcBorders/>
            <w:shd w:fill="auto" w:val="clear"/>
            <w:vAlign w:val="bottom"/>
          </w:tcPr>
          <w:p>
            <w:pPr>
              <w:pStyle w:val="TableContents"/>
              <w:spacing w:before="0" w:after="283"/>
              <w:rPr/>
            </w:pPr>
            <w:r>
              <w:rPr/>
              <w:t> </w:t>
            </w:r>
          </w:p>
        </w:tc>
        <w:tc>
          <w:tcPr>
            <w:tcW w:w="66" w:type="dxa"/>
            <w:tcBorders/>
            <w:shd w:fill="auto" w:val="clear"/>
            <w:vAlign w:val="bottom"/>
          </w:tcPr>
          <w:p>
            <w:pPr>
              <w:pStyle w:val="TableContents"/>
              <w:spacing w:before="0" w:after="283"/>
              <w:rPr/>
            </w:pPr>
            <w:r>
              <w:rPr/>
              <w:t> </w:t>
            </w:r>
          </w:p>
        </w:tc>
        <w:tc>
          <w:tcPr>
            <w:tcW w:w="1070" w:type="dxa"/>
            <w:tcBorders/>
            <w:shd w:fill="auto" w:val="clear"/>
            <w:vAlign w:val="bottom"/>
          </w:tcPr>
          <w:p>
            <w:pPr>
              <w:pStyle w:val="TableContents"/>
              <w:spacing w:before="0" w:after="283"/>
              <w:jc w:val="right"/>
              <w:rPr>
                <w:rFonts w:ascii="times" w:hAnsi="times"/>
                <w:sz w:val="14"/>
              </w:rPr>
            </w:pPr>
            <w:r>
              <w:rPr>
                <w:rFonts w:ascii="times" w:hAnsi="times"/>
                <w:sz w:val="14"/>
              </w:rPr>
              <w:t>4,640</w:t>
            </w:r>
          </w:p>
        </w:tc>
        <w:tc>
          <w:tcPr>
            <w:tcW w:w="197" w:type="dxa"/>
            <w:tcBorders/>
            <w:shd w:fill="auto" w:val="clear"/>
            <w:vAlign w:val="bottom"/>
          </w:tcPr>
          <w:p>
            <w:pPr>
              <w:pStyle w:val="TableContents"/>
              <w:spacing w:before="0" w:after="283"/>
              <w:rPr/>
            </w:pPr>
            <w:r>
              <w:rPr/>
              <w:t> </w:t>
            </w:r>
          </w:p>
        </w:tc>
        <w:tc>
          <w:tcPr>
            <w:tcW w:w="66" w:type="dxa"/>
            <w:tcBorders/>
            <w:shd w:fill="auto" w:val="clear"/>
            <w:vAlign w:val="bottom"/>
          </w:tcPr>
          <w:p>
            <w:pPr>
              <w:pStyle w:val="TableContents"/>
              <w:spacing w:before="0" w:after="283"/>
              <w:rPr/>
            </w:pPr>
            <w:r>
              <w:rPr/>
              <w:t> </w:t>
            </w:r>
          </w:p>
        </w:tc>
        <w:tc>
          <w:tcPr>
            <w:tcW w:w="1069" w:type="dxa"/>
            <w:tcBorders/>
            <w:shd w:fill="auto" w:val="clear"/>
            <w:vAlign w:val="bottom"/>
          </w:tcPr>
          <w:p>
            <w:pPr>
              <w:pStyle w:val="TableContents"/>
              <w:spacing w:before="0" w:after="283"/>
              <w:jc w:val="right"/>
              <w:rPr>
                <w:rFonts w:ascii="times" w:hAnsi="times"/>
                <w:sz w:val="14"/>
              </w:rPr>
            </w:pPr>
            <w:r>
              <w:rPr>
                <w:rFonts w:ascii="times" w:hAnsi="times"/>
                <w:sz w:val="14"/>
              </w:rPr>
              <w:t>5,475</w:t>
            </w:r>
          </w:p>
        </w:tc>
        <w:tc>
          <w:tcPr>
            <w:tcW w:w="197" w:type="dxa"/>
            <w:tcBorders/>
            <w:shd w:fill="auto" w:val="clear"/>
            <w:vAlign w:val="bottom"/>
          </w:tcPr>
          <w:p>
            <w:pPr>
              <w:pStyle w:val="TableContents"/>
              <w:spacing w:before="0" w:after="283"/>
              <w:rPr/>
            </w:pPr>
            <w:r>
              <w:rPr/>
              <w:t> </w:t>
            </w:r>
          </w:p>
        </w:tc>
        <w:tc>
          <w:tcPr>
            <w:tcW w:w="66" w:type="dxa"/>
            <w:tcBorders/>
            <w:shd w:fill="auto" w:val="clear"/>
            <w:vAlign w:val="bottom"/>
          </w:tcPr>
          <w:p>
            <w:pPr>
              <w:pStyle w:val="TableContents"/>
              <w:spacing w:before="0" w:after="283"/>
              <w:rPr/>
            </w:pPr>
            <w:r>
              <w:rPr/>
              <w:t> </w:t>
            </w:r>
          </w:p>
        </w:tc>
        <w:tc>
          <w:tcPr>
            <w:tcW w:w="1069" w:type="dxa"/>
            <w:tcBorders/>
            <w:shd w:fill="auto" w:val="clear"/>
            <w:vAlign w:val="bottom"/>
          </w:tcPr>
          <w:p>
            <w:pPr>
              <w:pStyle w:val="TableContents"/>
              <w:spacing w:before="0" w:after="283"/>
              <w:jc w:val="right"/>
              <w:rPr>
                <w:rFonts w:ascii="times" w:hAnsi="times"/>
                <w:sz w:val="14"/>
              </w:rPr>
            </w:pPr>
            <w:r>
              <w:rPr>
                <w:rFonts w:ascii="times" w:hAnsi="times"/>
                <w:sz w:val="14"/>
              </w:rPr>
              <w:t>5,475</w:t>
            </w:r>
          </w:p>
        </w:tc>
        <w:tc>
          <w:tcPr>
            <w:tcW w:w="198" w:type="dxa"/>
            <w:tcBorders/>
            <w:shd w:fill="auto" w:val="clear"/>
            <w:vAlign w:val="bottom"/>
          </w:tcPr>
          <w:p>
            <w:pPr>
              <w:pStyle w:val="TableContents"/>
              <w:spacing w:before="0" w:after="283"/>
              <w:rPr/>
            </w:pPr>
            <w:r>
              <w:rPr/>
              <w:t> </w:t>
            </w:r>
          </w:p>
        </w:tc>
        <w:tc>
          <w:tcPr>
            <w:tcW w:w="65" w:type="dxa"/>
            <w:tcBorders/>
            <w:shd w:fill="auto" w:val="clear"/>
            <w:vAlign w:val="bottom"/>
          </w:tcPr>
          <w:p>
            <w:pPr>
              <w:pStyle w:val="TableContents"/>
              <w:spacing w:before="0" w:after="283"/>
              <w:rPr/>
            </w:pPr>
            <w:r>
              <w:rPr/>
              <w:t> </w:t>
            </w:r>
          </w:p>
        </w:tc>
        <w:tc>
          <w:tcPr>
            <w:tcW w:w="1070" w:type="dxa"/>
            <w:tcBorders/>
            <w:shd w:fill="auto" w:val="clear"/>
            <w:vAlign w:val="bottom"/>
          </w:tcPr>
          <w:p>
            <w:pPr>
              <w:pStyle w:val="TableContents"/>
              <w:spacing w:before="0" w:after="283"/>
              <w:jc w:val="right"/>
              <w:rPr>
                <w:rFonts w:ascii="times" w:hAnsi="times"/>
                <w:sz w:val="14"/>
              </w:rPr>
            </w:pPr>
            <w:r>
              <w:rPr>
                <w:rFonts w:ascii="times" w:hAnsi="times"/>
                <w:sz w:val="14"/>
              </w:rPr>
              <w:t>5,475</w:t>
            </w:r>
          </w:p>
        </w:tc>
        <w:tc>
          <w:tcPr>
            <w:tcW w:w="197" w:type="dxa"/>
            <w:tcBorders/>
            <w:shd w:fill="auto" w:val="clear"/>
            <w:vAlign w:val="bottom"/>
          </w:tcPr>
          <w:p>
            <w:pPr>
              <w:pStyle w:val="TableContents"/>
              <w:spacing w:before="0" w:after="283"/>
              <w:rPr/>
            </w:pPr>
            <w:r>
              <w:rPr/>
              <w:t> </w:t>
            </w:r>
          </w:p>
        </w:tc>
        <w:tc>
          <w:tcPr>
            <w:tcW w:w="66" w:type="dxa"/>
            <w:tcBorders/>
            <w:shd w:fill="auto" w:val="clear"/>
            <w:vAlign w:val="bottom"/>
          </w:tcPr>
          <w:p>
            <w:pPr>
              <w:pStyle w:val="TableContents"/>
              <w:spacing w:before="0" w:after="283"/>
              <w:rPr/>
            </w:pPr>
            <w:r>
              <w:rPr/>
              <w:t> </w:t>
            </w:r>
          </w:p>
        </w:tc>
        <w:tc>
          <w:tcPr>
            <w:tcW w:w="1069" w:type="dxa"/>
            <w:tcBorders/>
            <w:shd w:fill="auto" w:val="clear"/>
            <w:vAlign w:val="bottom"/>
          </w:tcPr>
          <w:p>
            <w:pPr>
              <w:pStyle w:val="TableContents"/>
              <w:spacing w:before="0" w:after="283"/>
              <w:jc w:val="right"/>
              <w:rPr>
                <w:rFonts w:ascii="times" w:hAnsi="times"/>
                <w:sz w:val="14"/>
              </w:rPr>
            </w:pPr>
            <w:r>
              <w:rPr>
                <w:rFonts w:ascii="times" w:hAnsi="times"/>
                <w:sz w:val="14"/>
              </w:rPr>
              <w:t>5,490</w:t>
            </w:r>
          </w:p>
        </w:tc>
        <w:tc>
          <w:tcPr>
            <w:tcW w:w="198" w:type="dxa"/>
            <w:tcBorders/>
            <w:shd w:fill="auto" w:val="clear"/>
            <w:vAlign w:val="bottom"/>
          </w:tcPr>
          <w:p>
            <w:pPr>
              <w:pStyle w:val="TableContents"/>
              <w:spacing w:before="0" w:after="283"/>
              <w:rPr/>
            </w:pPr>
            <w:r>
              <w:rPr/>
              <w:t> </w:t>
            </w:r>
          </w:p>
        </w:tc>
      </w:tr>
      <w:tr>
        <w:trPr/>
        <w:tc>
          <w:tcPr>
            <w:tcW w:w="3345" w:type="dxa"/>
            <w:tcBorders/>
            <w:shd w:fill="auto" w:val="clear"/>
            <w:vAlign w:val="bottom"/>
          </w:tcPr>
          <w:p>
            <w:pPr>
              <w:pStyle w:val="TableContents"/>
              <w:spacing w:before="0" w:after="283"/>
              <w:ind w:left="140" w:right="0" w:hanging="140"/>
              <w:rPr>
                <w:rFonts w:ascii="times" w:hAnsi="times"/>
                <w:sz w:val="14"/>
              </w:rPr>
            </w:pPr>
            <w:r>
              <w:rPr>
                <w:rFonts w:ascii="times" w:hAnsi="times"/>
                <w:sz w:val="14"/>
              </w:rPr>
              <w:t>Total revenue operating days of fleet for the period</w:t>
            </w:r>
            <w:r>
              <w:rPr>
                <w:rFonts w:ascii="times" w:hAnsi="times"/>
                <w:position w:val="5"/>
                <w:sz w:val="11"/>
                <w:sz w:val="14"/>
              </w:rPr>
              <w:t>(4)</w:t>
            </w:r>
          </w:p>
        </w:tc>
        <w:tc>
          <w:tcPr>
            <w:tcW w:w="197" w:type="dxa"/>
            <w:tcBorders/>
            <w:shd w:fill="auto" w:val="clear"/>
            <w:vAlign w:val="bottom"/>
          </w:tcPr>
          <w:p>
            <w:pPr>
              <w:pStyle w:val="TableContents"/>
              <w:spacing w:before="0" w:after="283"/>
              <w:rPr/>
            </w:pPr>
            <w:r>
              <w:rPr/>
              <w:t> </w:t>
            </w:r>
          </w:p>
        </w:tc>
        <w:tc>
          <w:tcPr>
            <w:tcW w:w="66" w:type="dxa"/>
            <w:tcBorders/>
            <w:shd w:fill="auto" w:val="clear"/>
            <w:vAlign w:val="bottom"/>
          </w:tcPr>
          <w:p>
            <w:pPr>
              <w:pStyle w:val="TableContents"/>
              <w:spacing w:before="0" w:after="283"/>
              <w:rPr/>
            </w:pPr>
            <w:r>
              <w:rPr/>
              <w:t> </w:t>
            </w:r>
          </w:p>
        </w:tc>
        <w:tc>
          <w:tcPr>
            <w:tcW w:w="1070" w:type="dxa"/>
            <w:tcBorders/>
            <w:shd w:fill="auto" w:val="clear"/>
            <w:vAlign w:val="bottom"/>
          </w:tcPr>
          <w:p>
            <w:pPr>
              <w:pStyle w:val="TableContents"/>
              <w:spacing w:before="0" w:after="283"/>
              <w:jc w:val="right"/>
              <w:rPr>
                <w:rFonts w:ascii="times" w:hAnsi="times"/>
                <w:sz w:val="14"/>
              </w:rPr>
            </w:pPr>
            <w:r>
              <w:rPr>
                <w:rFonts w:ascii="times" w:hAnsi="times"/>
                <w:sz w:val="14"/>
              </w:rPr>
              <w:t>4,595</w:t>
            </w:r>
          </w:p>
        </w:tc>
        <w:tc>
          <w:tcPr>
            <w:tcW w:w="197" w:type="dxa"/>
            <w:tcBorders/>
            <w:shd w:fill="auto" w:val="clear"/>
            <w:vAlign w:val="bottom"/>
          </w:tcPr>
          <w:p>
            <w:pPr>
              <w:pStyle w:val="TableContents"/>
              <w:spacing w:before="0" w:after="283"/>
              <w:rPr/>
            </w:pPr>
            <w:r>
              <w:rPr/>
              <w:t> </w:t>
            </w:r>
          </w:p>
        </w:tc>
        <w:tc>
          <w:tcPr>
            <w:tcW w:w="66" w:type="dxa"/>
            <w:tcBorders/>
            <w:shd w:fill="auto" w:val="clear"/>
            <w:vAlign w:val="bottom"/>
          </w:tcPr>
          <w:p>
            <w:pPr>
              <w:pStyle w:val="TableContents"/>
              <w:spacing w:before="0" w:after="283"/>
              <w:rPr/>
            </w:pPr>
            <w:r>
              <w:rPr/>
              <w:t> </w:t>
            </w:r>
          </w:p>
        </w:tc>
        <w:tc>
          <w:tcPr>
            <w:tcW w:w="1069" w:type="dxa"/>
            <w:tcBorders/>
            <w:shd w:fill="auto" w:val="clear"/>
            <w:vAlign w:val="bottom"/>
          </w:tcPr>
          <w:p>
            <w:pPr>
              <w:pStyle w:val="TableContents"/>
              <w:spacing w:before="0" w:after="283"/>
              <w:jc w:val="right"/>
              <w:rPr>
                <w:rFonts w:ascii="times" w:hAnsi="times"/>
                <w:sz w:val="14"/>
              </w:rPr>
            </w:pPr>
            <w:r>
              <w:rPr>
                <w:rFonts w:ascii="times" w:hAnsi="times"/>
                <w:sz w:val="14"/>
              </w:rPr>
              <w:t>5,456</w:t>
            </w:r>
          </w:p>
        </w:tc>
        <w:tc>
          <w:tcPr>
            <w:tcW w:w="197" w:type="dxa"/>
            <w:tcBorders/>
            <w:shd w:fill="auto" w:val="clear"/>
            <w:vAlign w:val="bottom"/>
          </w:tcPr>
          <w:p>
            <w:pPr>
              <w:pStyle w:val="TableContents"/>
              <w:spacing w:before="0" w:after="283"/>
              <w:rPr/>
            </w:pPr>
            <w:r>
              <w:rPr/>
              <w:t> </w:t>
            </w:r>
          </w:p>
        </w:tc>
        <w:tc>
          <w:tcPr>
            <w:tcW w:w="66" w:type="dxa"/>
            <w:tcBorders/>
            <w:shd w:fill="auto" w:val="clear"/>
            <w:vAlign w:val="bottom"/>
          </w:tcPr>
          <w:p>
            <w:pPr>
              <w:pStyle w:val="TableContents"/>
              <w:spacing w:before="0" w:after="283"/>
              <w:rPr/>
            </w:pPr>
            <w:r>
              <w:rPr/>
              <w:t> </w:t>
            </w:r>
          </w:p>
        </w:tc>
        <w:tc>
          <w:tcPr>
            <w:tcW w:w="1069" w:type="dxa"/>
            <w:tcBorders/>
            <w:shd w:fill="auto" w:val="clear"/>
            <w:vAlign w:val="bottom"/>
          </w:tcPr>
          <w:p>
            <w:pPr>
              <w:pStyle w:val="TableContents"/>
              <w:spacing w:before="0" w:after="283"/>
              <w:jc w:val="right"/>
              <w:rPr>
                <w:rFonts w:ascii="times" w:hAnsi="times"/>
                <w:sz w:val="14"/>
              </w:rPr>
            </w:pPr>
            <w:r>
              <w:rPr>
                <w:rFonts w:ascii="times" w:hAnsi="times"/>
                <w:sz w:val="14"/>
              </w:rPr>
              <w:t>5,275</w:t>
            </w:r>
          </w:p>
        </w:tc>
        <w:tc>
          <w:tcPr>
            <w:tcW w:w="198" w:type="dxa"/>
            <w:tcBorders/>
            <w:shd w:fill="auto" w:val="clear"/>
            <w:vAlign w:val="bottom"/>
          </w:tcPr>
          <w:p>
            <w:pPr>
              <w:pStyle w:val="TableContents"/>
              <w:spacing w:before="0" w:after="283"/>
              <w:rPr/>
            </w:pPr>
            <w:r>
              <w:rPr/>
              <w:t> </w:t>
            </w:r>
          </w:p>
        </w:tc>
        <w:tc>
          <w:tcPr>
            <w:tcW w:w="65" w:type="dxa"/>
            <w:tcBorders/>
            <w:shd w:fill="auto" w:val="clear"/>
            <w:vAlign w:val="bottom"/>
          </w:tcPr>
          <w:p>
            <w:pPr>
              <w:pStyle w:val="TableContents"/>
              <w:spacing w:before="0" w:after="283"/>
              <w:rPr/>
            </w:pPr>
            <w:r>
              <w:rPr/>
              <w:t> </w:t>
            </w:r>
          </w:p>
        </w:tc>
        <w:tc>
          <w:tcPr>
            <w:tcW w:w="1070" w:type="dxa"/>
            <w:tcBorders/>
            <w:shd w:fill="auto" w:val="clear"/>
            <w:vAlign w:val="bottom"/>
          </w:tcPr>
          <w:p>
            <w:pPr>
              <w:pStyle w:val="TableContents"/>
              <w:spacing w:before="0" w:after="283"/>
              <w:jc w:val="right"/>
              <w:rPr>
                <w:rFonts w:ascii="times" w:hAnsi="times"/>
                <w:sz w:val="14"/>
              </w:rPr>
            </w:pPr>
            <w:r>
              <w:rPr>
                <w:rFonts w:ascii="times" w:hAnsi="times"/>
                <w:sz w:val="14"/>
              </w:rPr>
              <w:t>5,397</w:t>
            </w:r>
          </w:p>
        </w:tc>
        <w:tc>
          <w:tcPr>
            <w:tcW w:w="197" w:type="dxa"/>
            <w:tcBorders/>
            <w:shd w:fill="auto" w:val="clear"/>
            <w:vAlign w:val="bottom"/>
          </w:tcPr>
          <w:p>
            <w:pPr>
              <w:pStyle w:val="TableContents"/>
              <w:spacing w:before="0" w:after="283"/>
              <w:rPr/>
            </w:pPr>
            <w:r>
              <w:rPr/>
              <w:t> </w:t>
            </w:r>
          </w:p>
        </w:tc>
        <w:tc>
          <w:tcPr>
            <w:tcW w:w="66" w:type="dxa"/>
            <w:tcBorders/>
            <w:shd w:fill="auto" w:val="clear"/>
            <w:vAlign w:val="bottom"/>
          </w:tcPr>
          <w:p>
            <w:pPr>
              <w:pStyle w:val="TableContents"/>
              <w:spacing w:before="0" w:after="283"/>
              <w:rPr/>
            </w:pPr>
            <w:r>
              <w:rPr/>
              <w:t> </w:t>
            </w:r>
          </w:p>
        </w:tc>
        <w:tc>
          <w:tcPr>
            <w:tcW w:w="1069" w:type="dxa"/>
            <w:tcBorders/>
            <w:shd w:fill="auto" w:val="clear"/>
            <w:vAlign w:val="bottom"/>
          </w:tcPr>
          <w:p>
            <w:pPr>
              <w:pStyle w:val="TableContents"/>
              <w:spacing w:before="0" w:after="283"/>
              <w:jc w:val="right"/>
              <w:rPr>
                <w:rFonts w:ascii="times" w:hAnsi="times"/>
                <w:sz w:val="14"/>
              </w:rPr>
            </w:pPr>
            <w:r>
              <w:rPr>
                <w:rFonts w:ascii="times" w:hAnsi="times"/>
                <w:sz w:val="14"/>
              </w:rPr>
              <w:t>5,186</w:t>
            </w:r>
          </w:p>
        </w:tc>
        <w:tc>
          <w:tcPr>
            <w:tcW w:w="198" w:type="dxa"/>
            <w:tcBorders/>
            <w:shd w:fill="auto" w:val="clear"/>
            <w:vAlign w:val="bottom"/>
          </w:tcPr>
          <w:p>
            <w:pPr>
              <w:pStyle w:val="TableContents"/>
              <w:spacing w:before="0" w:after="283"/>
              <w:rPr/>
            </w:pPr>
            <w:r>
              <w:rPr/>
              <w:t> </w:t>
            </w:r>
          </w:p>
        </w:tc>
      </w:tr>
    </w:tbl>
    <w:p>
      <w:pPr>
        <w:pStyle w:val="HorizontalLine"/>
        <w:pBdr>
          <w:bottom w:val="single" w:sz="6" w:space="0" w:color="000000"/>
        </w:pBdr>
        <w:ind w:left="0" w:right="7042" w:hanging="0"/>
        <w:rPr/>
      </w:pPr>
      <w:r>
        <w:rPr/>
      </w:r>
    </w:p>
    <w:p>
      <w:pPr>
        <w:pStyle w:val="ListHeading"/>
        <w:spacing w:before="0" w:after="0"/>
        <w:jc w:val="left"/>
        <w:rPr>
          <w:rFonts w:ascii="times" w:hAnsi="times"/>
          <w:sz w:val="14"/>
        </w:rPr>
      </w:pPr>
      <w:r>
        <w:rPr>
          <w:rFonts w:ascii="times" w:hAnsi="times"/>
          <w:sz w:val="14"/>
        </w:rPr>
        <w:t>*</w:t>
      </w:r>
    </w:p>
    <w:p>
      <w:pPr>
        <w:pStyle w:val="ListContents"/>
        <w:spacing w:before="0" w:after="283"/>
        <w:jc w:val="left"/>
        <w:rPr>
          <w:rFonts w:ascii="times" w:hAnsi="times"/>
          <w:sz w:val="14"/>
        </w:rPr>
      </w:pPr>
      <w:r>
        <w:rPr>
          <w:rFonts w:ascii="times" w:hAnsi="times"/>
          <w:sz w:val="14"/>
        </w:rPr>
        <w:t xml:space="preserve">The Fleet Data above is calculated consistent with our IFRS Common Control Reported Results. </w:t>
      </w:r>
    </w:p>
    <w:tbl>
      <w:tblPr>
        <w:tblW w:w="5000" w:type="pct"/>
        <w:jc w:val="center"/>
        <w:tblInd w:w="0" w:type="dxa"/>
        <w:tblCellMar>
          <w:top w:w="0" w:type="dxa"/>
          <w:left w:w="0" w:type="dxa"/>
          <w:bottom w:w="0" w:type="dxa"/>
          <w:right w:w="0" w:type="dxa"/>
        </w:tblCellMar>
      </w:tblPr>
      <w:tblGrid>
        <w:gridCol w:w="4082"/>
        <w:gridCol w:w="165"/>
        <w:gridCol w:w="95"/>
        <w:gridCol w:w="921"/>
        <w:gridCol w:w="172"/>
        <w:gridCol w:w="95"/>
        <w:gridCol w:w="921"/>
        <w:gridCol w:w="172"/>
        <w:gridCol w:w="95"/>
        <w:gridCol w:w="921"/>
        <w:gridCol w:w="172"/>
        <w:gridCol w:w="95"/>
        <w:gridCol w:w="921"/>
        <w:gridCol w:w="178"/>
        <w:gridCol w:w="95"/>
        <w:gridCol w:w="921"/>
        <w:gridCol w:w="184"/>
      </w:tblGrid>
      <w:tr>
        <w:trPr/>
        <w:tc>
          <w:tcPr>
            <w:tcW w:w="4082" w:type="dxa"/>
            <w:tcBorders/>
            <w:shd w:fill="auto" w:val="clear"/>
            <w:vAlign w:val="center"/>
          </w:tcPr>
          <w:p>
            <w:pPr>
              <w:pStyle w:val="TableContents"/>
              <w:spacing w:before="0" w:after="283"/>
              <w:rPr>
                <w:sz w:val="4"/>
                <w:szCs w:val="4"/>
              </w:rPr>
            </w:pPr>
            <w:r>
              <w:rPr>
                <w:sz w:val="4"/>
                <w:szCs w:val="4"/>
              </w:rPr>
            </w:r>
          </w:p>
        </w:tc>
        <w:tc>
          <w:tcPr>
            <w:tcW w:w="165" w:type="dxa"/>
            <w:tcBorders/>
            <w:shd w:fill="auto" w:val="clear"/>
            <w:vAlign w:val="center"/>
          </w:tcPr>
          <w:p>
            <w:pPr>
              <w:pStyle w:val="TableContents"/>
              <w:spacing w:before="0" w:after="283"/>
              <w:rPr>
                <w:sz w:val="4"/>
                <w:szCs w:val="4"/>
              </w:rPr>
            </w:pPr>
            <w:r>
              <w:rPr>
                <w:sz w:val="4"/>
                <w:szCs w:val="4"/>
              </w:rPr>
            </w:r>
          </w:p>
        </w:tc>
        <w:tc>
          <w:tcPr>
            <w:tcW w:w="95" w:type="dxa"/>
            <w:tcBorders/>
            <w:shd w:fill="auto" w:val="clear"/>
            <w:vAlign w:val="center"/>
          </w:tcPr>
          <w:p>
            <w:pPr>
              <w:pStyle w:val="TableContents"/>
              <w:spacing w:before="0" w:after="283"/>
              <w:rPr>
                <w:sz w:val="4"/>
                <w:szCs w:val="4"/>
              </w:rPr>
            </w:pPr>
            <w:r>
              <w:rPr>
                <w:sz w:val="4"/>
                <w:szCs w:val="4"/>
              </w:rPr>
            </w:r>
          </w:p>
        </w:tc>
        <w:tc>
          <w:tcPr>
            <w:tcW w:w="921" w:type="dxa"/>
            <w:tcBorders/>
            <w:shd w:fill="auto" w:val="clear"/>
            <w:vAlign w:val="center"/>
          </w:tcPr>
          <w:p>
            <w:pPr>
              <w:pStyle w:val="TableContents"/>
              <w:spacing w:before="0" w:after="283"/>
              <w:rPr>
                <w:sz w:val="4"/>
                <w:szCs w:val="4"/>
              </w:rPr>
            </w:pPr>
            <w:r>
              <w:rPr>
                <w:sz w:val="4"/>
                <w:szCs w:val="4"/>
              </w:rPr>
            </w:r>
          </w:p>
        </w:tc>
        <w:tc>
          <w:tcPr>
            <w:tcW w:w="172" w:type="dxa"/>
            <w:tcBorders/>
            <w:shd w:fill="auto" w:val="clear"/>
            <w:vAlign w:val="center"/>
          </w:tcPr>
          <w:p>
            <w:pPr>
              <w:pStyle w:val="TableContents"/>
              <w:spacing w:before="0" w:after="283"/>
              <w:rPr>
                <w:sz w:val="4"/>
                <w:szCs w:val="4"/>
              </w:rPr>
            </w:pPr>
            <w:r>
              <w:rPr>
                <w:sz w:val="4"/>
                <w:szCs w:val="4"/>
              </w:rPr>
            </w:r>
          </w:p>
        </w:tc>
        <w:tc>
          <w:tcPr>
            <w:tcW w:w="95" w:type="dxa"/>
            <w:tcBorders/>
            <w:shd w:fill="auto" w:val="clear"/>
            <w:vAlign w:val="center"/>
          </w:tcPr>
          <w:p>
            <w:pPr>
              <w:pStyle w:val="TableContents"/>
              <w:spacing w:before="0" w:after="283"/>
              <w:rPr>
                <w:sz w:val="4"/>
                <w:szCs w:val="4"/>
              </w:rPr>
            </w:pPr>
            <w:r>
              <w:rPr>
                <w:sz w:val="4"/>
                <w:szCs w:val="4"/>
              </w:rPr>
            </w:r>
          </w:p>
        </w:tc>
        <w:tc>
          <w:tcPr>
            <w:tcW w:w="921" w:type="dxa"/>
            <w:tcBorders/>
            <w:shd w:fill="auto" w:val="clear"/>
            <w:vAlign w:val="center"/>
          </w:tcPr>
          <w:p>
            <w:pPr>
              <w:pStyle w:val="TableContents"/>
              <w:spacing w:before="0" w:after="283"/>
              <w:rPr>
                <w:sz w:val="4"/>
                <w:szCs w:val="4"/>
              </w:rPr>
            </w:pPr>
            <w:r>
              <w:rPr>
                <w:sz w:val="4"/>
                <w:szCs w:val="4"/>
              </w:rPr>
            </w:r>
          </w:p>
        </w:tc>
        <w:tc>
          <w:tcPr>
            <w:tcW w:w="172" w:type="dxa"/>
            <w:tcBorders/>
            <w:shd w:fill="auto" w:val="clear"/>
            <w:vAlign w:val="center"/>
          </w:tcPr>
          <w:p>
            <w:pPr>
              <w:pStyle w:val="TableContents"/>
              <w:spacing w:before="0" w:after="283"/>
              <w:rPr>
                <w:sz w:val="4"/>
                <w:szCs w:val="4"/>
              </w:rPr>
            </w:pPr>
            <w:r>
              <w:rPr>
                <w:sz w:val="4"/>
                <w:szCs w:val="4"/>
              </w:rPr>
            </w:r>
          </w:p>
        </w:tc>
        <w:tc>
          <w:tcPr>
            <w:tcW w:w="95" w:type="dxa"/>
            <w:tcBorders/>
            <w:shd w:fill="auto" w:val="clear"/>
            <w:vAlign w:val="center"/>
          </w:tcPr>
          <w:p>
            <w:pPr>
              <w:pStyle w:val="TableContents"/>
              <w:spacing w:before="0" w:after="283"/>
              <w:rPr>
                <w:sz w:val="4"/>
                <w:szCs w:val="4"/>
              </w:rPr>
            </w:pPr>
            <w:r>
              <w:rPr>
                <w:sz w:val="4"/>
                <w:szCs w:val="4"/>
              </w:rPr>
            </w:r>
          </w:p>
        </w:tc>
        <w:tc>
          <w:tcPr>
            <w:tcW w:w="921" w:type="dxa"/>
            <w:tcBorders/>
            <w:shd w:fill="auto" w:val="clear"/>
            <w:vAlign w:val="center"/>
          </w:tcPr>
          <w:p>
            <w:pPr>
              <w:pStyle w:val="TableContents"/>
              <w:spacing w:before="0" w:after="283"/>
              <w:rPr>
                <w:sz w:val="4"/>
                <w:szCs w:val="4"/>
              </w:rPr>
            </w:pPr>
            <w:r>
              <w:rPr>
                <w:sz w:val="4"/>
                <w:szCs w:val="4"/>
              </w:rPr>
            </w:r>
          </w:p>
        </w:tc>
        <w:tc>
          <w:tcPr>
            <w:tcW w:w="172" w:type="dxa"/>
            <w:tcBorders/>
            <w:shd w:fill="auto" w:val="clear"/>
            <w:vAlign w:val="center"/>
          </w:tcPr>
          <w:p>
            <w:pPr>
              <w:pStyle w:val="TableContents"/>
              <w:spacing w:before="0" w:after="283"/>
              <w:rPr>
                <w:sz w:val="4"/>
                <w:szCs w:val="4"/>
              </w:rPr>
            </w:pPr>
            <w:r>
              <w:rPr>
                <w:sz w:val="4"/>
                <w:szCs w:val="4"/>
              </w:rPr>
            </w:r>
          </w:p>
        </w:tc>
        <w:tc>
          <w:tcPr>
            <w:tcW w:w="95" w:type="dxa"/>
            <w:tcBorders/>
            <w:shd w:fill="auto" w:val="clear"/>
            <w:vAlign w:val="center"/>
          </w:tcPr>
          <w:p>
            <w:pPr>
              <w:pStyle w:val="TableContents"/>
              <w:spacing w:before="0" w:after="283"/>
              <w:rPr>
                <w:sz w:val="4"/>
                <w:szCs w:val="4"/>
              </w:rPr>
            </w:pPr>
            <w:r>
              <w:rPr>
                <w:sz w:val="4"/>
                <w:szCs w:val="4"/>
              </w:rPr>
            </w:r>
          </w:p>
        </w:tc>
        <w:tc>
          <w:tcPr>
            <w:tcW w:w="921" w:type="dxa"/>
            <w:tcBorders/>
            <w:shd w:fill="auto" w:val="clear"/>
            <w:vAlign w:val="center"/>
          </w:tcPr>
          <w:p>
            <w:pPr>
              <w:pStyle w:val="TableContents"/>
              <w:spacing w:before="0" w:after="283"/>
              <w:rPr>
                <w:sz w:val="4"/>
                <w:szCs w:val="4"/>
              </w:rPr>
            </w:pPr>
            <w:r>
              <w:rPr>
                <w:sz w:val="4"/>
                <w:szCs w:val="4"/>
              </w:rPr>
            </w:r>
          </w:p>
        </w:tc>
        <w:tc>
          <w:tcPr>
            <w:tcW w:w="178" w:type="dxa"/>
            <w:tcBorders/>
            <w:shd w:fill="auto" w:val="clear"/>
            <w:vAlign w:val="center"/>
          </w:tcPr>
          <w:p>
            <w:pPr>
              <w:pStyle w:val="TableContents"/>
              <w:spacing w:before="0" w:after="283"/>
              <w:rPr>
                <w:sz w:val="4"/>
                <w:szCs w:val="4"/>
              </w:rPr>
            </w:pPr>
            <w:r>
              <w:rPr>
                <w:sz w:val="4"/>
                <w:szCs w:val="4"/>
              </w:rPr>
            </w:r>
          </w:p>
        </w:tc>
        <w:tc>
          <w:tcPr>
            <w:tcW w:w="95" w:type="dxa"/>
            <w:tcBorders/>
            <w:shd w:fill="auto" w:val="clear"/>
            <w:vAlign w:val="center"/>
          </w:tcPr>
          <w:p>
            <w:pPr>
              <w:pStyle w:val="TableContents"/>
              <w:spacing w:before="0" w:after="283"/>
              <w:rPr>
                <w:sz w:val="4"/>
                <w:szCs w:val="4"/>
              </w:rPr>
            </w:pPr>
            <w:r>
              <w:rPr>
                <w:sz w:val="4"/>
                <w:szCs w:val="4"/>
              </w:rPr>
            </w:r>
          </w:p>
        </w:tc>
        <w:tc>
          <w:tcPr>
            <w:tcW w:w="921" w:type="dxa"/>
            <w:tcBorders/>
            <w:shd w:fill="auto" w:val="clear"/>
            <w:vAlign w:val="center"/>
          </w:tcPr>
          <w:p>
            <w:pPr>
              <w:pStyle w:val="TableContents"/>
              <w:spacing w:before="0" w:after="283"/>
              <w:rPr>
                <w:sz w:val="4"/>
                <w:szCs w:val="4"/>
              </w:rPr>
            </w:pPr>
            <w:r>
              <w:rPr>
                <w:sz w:val="4"/>
                <w:szCs w:val="4"/>
              </w:rPr>
            </w:r>
          </w:p>
        </w:tc>
        <w:tc>
          <w:tcPr>
            <w:tcW w:w="184" w:type="dxa"/>
            <w:tcBorders/>
            <w:shd w:fill="auto" w:val="clear"/>
            <w:vAlign w:val="center"/>
          </w:tcPr>
          <w:p>
            <w:pPr>
              <w:pStyle w:val="TableContents"/>
              <w:spacing w:before="0" w:after="283"/>
              <w:rPr>
                <w:sz w:val="4"/>
                <w:szCs w:val="4"/>
              </w:rPr>
            </w:pPr>
            <w:r>
              <w:rPr>
                <w:sz w:val="4"/>
                <w:szCs w:val="4"/>
              </w:rPr>
            </w:r>
          </w:p>
        </w:tc>
      </w:tr>
      <w:tr>
        <w:trPr/>
        <w:tc>
          <w:tcPr>
            <w:tcW w:w="4082" w:type="dxa"/>
            <w:tcBorders/>
            <w:shd w:fill="auto" w:val="clear"/>
            <w:vAlign w:val="bottom"/>
          </w:tcPr>
          <w:p>
            <w:pPr>
              <w:pStyle w:val="TableHeading"/>
              <w:spacing w:before="0" w:after="283"/>
              <w:jc w:val="left"/>
              <w:rPr/>
            </w:pPr>
            <w:r>
              <w:rPr/>
              <w:t> </w:t>
            </w:r>
          </w:p>
        </w:tc>
        <w:tc>
          <w:tcPr>
            <w:tcW w:w="165" w:type="dxa"/>
            <w:tcBorders/>
            <w:shd w:fill="auto" w:val="clear"/>
            <w:vAlign w:val="bottom"/>
          </w:tcPr>
          <w:p>
            <w:pPr>
              <w:pStyle w:val="TableHeading"/>
              <w:suppressLineNumbers/>
              <w:spacing w:before="0" w:after="283"/>
              <w:jc w:val="center"/>
              <w:rPr/>
            </w:pPr>
            <w:r>
              <w:rPr/>
              <w:t> </w:t>
            </w:r>
          </w:p>
        </w:tc>
        <w:tc>
          <w:tcPr>
            <w:tcW w:w="5774" w:type="dxa"/>
            <w:gridSpan w:val="14"/>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Year Ended December 31, </w:t>
            </w:r>
          </w:p>
        </w:tc>
        <w:tc>
          <w:tcPr>
            <w:tcW w:w="184" w:type="dxa"/>
            <w:tcBorders/>
            <w:shd w:fill="auto" w:val="clear"/>
            <w:vAlign w:val="bottom"/>
          </w:tcPr>
          <w:p>
            <w:pPr>
              <w:pStyle w:val="TableHeading"/>
              <w:suppressLineNumbers/>
              <w:spacing w:before="0" w:after="283"/>
              <w:jc w:val="center"/>
              <w:rPr/>
            </w:pPr>
            <w:r>
              <w:rPr/>
              <w:t> </w:t>
            </w:r>
          </w:p>
        </w:tc>
      </w:tr>
      <w:tr>
        <w:trPr/>
        <w:tc>
          <w:tcPr>
            <w:tcW w:w="4082" w:type="dxa"/>
            <w:tcBorders/>
            <w:shd w:fill="auto" w:val="clear"/>
            <w:vAlign w:val="bottom"/>
          </w:tcPr>
          <w:p>
            <w:pPr>
              <w:pStyle w:val="TableHeading"/>
              <w:spacing w:before="0" w:after="283"/>
              <w:jc w:val="left"/>
              <w:rPr/>
            </w:pPr>
            <w:r>
              <w:rPr/>
              <w:t> </w:t>
            </w:r>
          </w:p>
        </w:tc>
        <w:tc>
          <w:tcPr>
            <w:tcW w:w="165" w:type="dxa"/>
            <w:tcBorders/>
            <w:shd w:fill="auto" w:val="clear"/>
            <w:vAlign w:val="bottom"/>
          </w:tcPr>
          <w:p>
            <w:pPr>
              <w:pStyle w:val="TableHeading"/>
              <w:suppressLineNumbers/>
              <w:spacing w:before="0" w:after="283"/>
              <w:jc w:val="center"/>
              <w:rPr/>
            </w:pPr>
            <w:r>
              <w:rPr/>
              <w:t> </w:t>
            </w:r>
          </w:p>
        </w:tc>
        <w:tc>
          <w:tcPr>
            <w:tcW w:w="1016" w:type="dxa"/>
            <w:gridSpan w:val="2"/>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2016 </w:t>
            </w:r>
          </w:p>
        </w:tc>
        <w:tc>
          <w:tcPr>
            <w:tcW w:w="172" w:type="dxa"/>
            <w:tcBorders/>
            <w:shd w:fill="auto" w:val="clear"/>
            <w:vAlign w:val="bottom"/>
          </w:tcPr>
          <w:p>
            <w:pPr>
              <w:pStyle w:val="TableHeading"/>
              <w:suppressLineNumbers/>
              <w:spacing w:before="0" w:after="283"/>
              <w:jc w:val="center"/>
              <w:rPr/>
            </w:pPr>
            <w:r>
              <w:rPr/>
              <w:t> </w:t>
            </w:r>
          </w:p>
        </w:tc>
        <w:tc>
          <w:tcPr>
            <w:tcW w:w="1016" w:type="dxa"/>
            <w:gridSpan w:val="2"/>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2017 </w:t>
            </w:r>
          </w:p>
        </w:tc>
        <w:tc>
          <w:tcPr>
            <w:tcW w:w="172" w:type="dxa"/>
            <w:tcBorders/>
            <w:shd w:fill="auto" w:val="clear"/>
            <w:vAlign w:val="bottom"/>
          </w:tcPr>
          <w:p>
            <w:pPr>
              <w:pStyle w:val="TableHeading"/>
              <w:suppressLineNumbers/>
              <w:spacing w:before="0" w:after="283"/>
              <w:jc w:val="center"/>
              <w:rPr/>
            </w:pPr>
            <w:r>
              <w:rPr/>
              <w:t> </w:t>
            </w:r>
          </w:p>
        </w:tc>
        <w:tc>
          <w:tcPr>
            <w:tcW w:w="1016" w:type="dxa"/>
            <w:gridSpan w:val="2"/>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2018 </w:t>
            </w:r>
          </w:p>
        </w:tc>
        <w:tc>
          <w:tcPr>
            <w:tcW w:w="172" w:type="dxa"/>
            <w:tcBorders/>
            <w:shd w:fill="auto" w:val="clear"/>
            <w:vAlign w:val="bottom"/>
          </w:tcPr>
          <w:p>
            <w:pPr>
              <w:pStyle w:val="TableHeading"/>
              <w:suppressLineNumbers/>
              <w:spacing w:before="0" w:after="283"/>
              <w:jc w:val="center"/>
              <w:rPr/>
            </w:pPr>
            <w:r>
              <w:rPr/>
              <w:t> </w:t>
            </w:r>
          </w:p>
        </w:tc>
        <w:tc>
          <w:tcPr>
            <w:tcW w:w="1016" w:type="dxa"/>
            <w:gridSpan w:val="2"/>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2019 </w:t>
            </w:r>
          </w:p>
        </w:tc>
        <w:tc>
          <w:tcPr>
            <w:tcW w:w="178" w:type="dxa"/>
            <w:tcBorders/>
            <w:shd w:fill="auto" w:val="clear"/>
            <w:vAlign w:val="bottom"/>
          </w:tcPr>
          <w:p>
            <w:pPr>
              <w:pStyle w:val="TableHeading"/>
              <w:suppressLineNumbers/>
              <w:spacing w:before="0" w:after="283"/>
              <w:jc w:val="center"/>
              <w:rPr/>
            </w:pPr>
            <w:r>
              <w:rPr/>
              <w:t> </w:t>
            </w:r>
          </w:p>
        </w:tc>
        <w:tc>
          <w:tcPr>
            <w:tcW w:w="1016" w:type="dxa"/>
            <w:gridSpan w:val="2"/>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2020 </w:t>
            </w:r>
          </w:p>
        </w:tc>
        <w:tc>
          <w:tcPr>
            <w:tcW w:w="184" w:type="dxa"/>
            <w:tcBorders/>
            <w:shd w:fill="auto" w:val="clear"/>
            <w:vAlign w:val="bottom"/>
          </w:tcPr>
          <w:p>
            <w:pPr>
              <w:pStyle w:val="TableHeading"/>
              <w:suppressLineNumbers/>
              <w:spacing w:before="0" w:after="283"/>
              <w:jc w:val="center"/>
              <w:rPr/>
            </w:pPr>
            <w:r>
              <w:rPr/>
              <w:t> </w:t>
            </w:r>
          </w:p>
        </w:tc>
      </w:tr>
      <w:tr>
        <w:trPr/>
        <w:tc>
          <w:tcPr>
            <w:tcW w:w="4082" w:type="dxa"/>
            <w:tcBorders/>
            <w:shd w:fill="auto" w:val="clear"/>
            <w:vAlign w:val="bottom"/>
          </w:tcPr>
          <w:p>
            <w:pPr>
              <w:pStyle w:val="TableHeading"/>
              <w:spacing w:before="0" w:after="283"/>
              <w:jc w:val="left"/>
              <w:rPr/>
            </w:pPr>
            <w:r>
              <w:rPr/>
              <w:t> </w:t>
            </w:r>
          </w:p>
        </w:tc>
        <w:tc>
          <w:tcPr>
            <w:tcW w:w="165" w:type="dxa"/>
            <w:tcBorders/>
            <w:shd w:fill="auto" w:val="clear"/>
            <w:vAlign w:val="bottom"/>
          </w:tcPr>
          <w:p>
            <w:pPr>
              <w:pStyle w:val="TableHeading"/>
              <w:suppressLineNumbers/>
              <w:spacing w:before="0" w:after="283"/>
              <w:jc w:val="center"/>
              <w:rPr/>
            </w:pPr>
            <w:r>
              <w:rPr/>
              <w:t> </w:t>
            </w:r>
          </w:p>
        </w:tc>
        <w:tc>
          <w:tcPr>
            <w:tcW w:w="1016" w:type="dxa"/>
            <w:gridSpan w:val="2"/>
            <w:tcBorders/>
            <w:shd w:fill="auto" w:val="clear"/>
            <w:vAlign w:val="bottom"/>
          </w:tcPr>
          <w:p>
            <w:pPr>
              <w:pStyle w:val="TableHeading"/>
              <w:spacing w:before="0" w:after="283"/>
              <w:jc w:val="left"/>
              <w:rPr/>
            </w:pPr>
            <w:r>
              <w:rPr/>
              <w:t> </w:t>
            </w:r>
          </w:p>
        </w:tc>
        <w:tc>
          <w:tcPr>
            <w:tcW w:w="172" w:type="dxa"/>
            <w:tcBorders/>
            <w:shd w:fill="auto" w:val="clear"/>
            <w:vAlign w:val="bottom"/>
          </w:tcPr>
          <w:p>
            <w:pPr>
              <w:pStyle w:val="TableHeading"/>
              <w:suppressLineNumbers/>
              <w:spacing w:before="0" w:after="283"/>
              <w:jc w:val="center"/>
              <w:rPr/>
            </w:pPr>
            <w:r>
              <w:rPr/>
              <w:t> </w:t>
            </w:r>
          </w:p>
        </w:tc>
        <w:tc>
          <w:tcPr>
            <w:tcW w:w="3392" w:type="dxa"/>
            <w:gridSpan w:val="8"/>
            <w:tcBorders/>
            <w:shd w:fill="auto" w:val="clear"/>
            <w:vAlign w:val="bottom"/>
          </w:tcPr>
          <w:p>
            <w:pPr>
              <w:pStyle w:val="TableHeading"/>
              <w:spacing w:before="0" w:after="283"/>
              <w:jc w:val="center"/>
              <w:rPr>
                <w:rFonts w:ascii="times" w:hAnsi="times"/>
                <w:b/>
                <w:sz w:val="14"/>
              </w:rPr>
            </w:pPr>
            <w:r>
              <w:rPr>
                <w:rFonts w:ascii="times" w:hAnsi="times"/>
                <w:b/>
                <w:sz w:val="14"/>
              </w:rPr>
              <w:t>(in thousands of U.S. dollars)</w:t>
            </w:r>
          </w:p>
        </w:tc>
        <w:tc>
          <w:tcPr>
            <w:tcW w:w="178" w:type="dxa"/>
            <w:tcBorders/>
            <w:shd w:fill="auto" w:val="clear"/>
            <w:vAlign w:val="bottom"/>
          </w:tcPr>
          <w:p>
            <w:pPr>
              <w:pStyle w:val="TableHeading"/>
              <w:suppressLineNumbers/>
              <w:spacing w:before="0" w:after="283"/>
              <w:jc w:val="center"/>
              <w:rPr/>
            </w:pPr>
            <w:r>
              <w:rPr/>
              <w:t> </w:t>
            </w:r>
          </w:p>
        </w:tc>
        <w:tc>
          <w:tcPr>
            <w:tcW w:w="1016" w:type="dxa"/>
            <w:gridSpan w:val="2"/>
            <w:tcBorders/>
            <w:shd w:fill="auto" w:val="clear"/>
            <w:vAlign w:val="bottom"/>
          </w:tcPr>
          <w:p>
            <w:pPr>
              <w:pStyle w:val="TableHeading"/>
              <w:spacing w:before="0" w:after="283"/>
              <w:jc w:val="left"/>
              <w:rPr/>
            </w:pPr>
            <w:r>
              <w:rPr/>
              <w:t> </w:t>
            </w:r>
          </w:p>
        </w:tc>
        <w:tc>
          <w:tcPr>
            <w:tcW w:w="184" w:type="dxa"/>
            <w:tcBorders/>
            <w:shd w:fill="auto" w:val="clear"/>
            <w:vAlign w:val="bottom"/>
          </w:tcPr>
          <w:p>
            <w:pPr>
              <w:pStyle w:val="TableHeading"/>
              <w:suppressLineNumbers/>
              <w:spacing w:before="0" w:after="283"/>
              <w:jc w:val="center"/>
              <w:rPr/>
            </w:pPr>
            <w:r>
              <w:rPr/>
              <w:t> </w:t>
            </w:r>
          </w:p>
        </w:tc>
      </w:tr>
      <w:tr>
        <w:trPr/>
        <w:tc>
          <w:tcPr>
            <w:tcW w:w="4082" w:type="dxa"/>
            <w:tcBorders/>
            <w:shd w:fill="auto" w:val="clear"/>
            <w:vAlign w:val="bottom"/>
          </w:tcPr>
          <w:p>
            <w:pPr>
              <w:pStyle w:val="TableContents"/>
              <w:spacing w:before="0" w:after="283"/>
              <w:ind w:left="140" w:right="0" w:hanging="140"/>
              <w:rPr>
                <w:rFonts w:ascii="times" w:hAnsi="times"/>
                <w:b/>
                <w:sz w:val="14"/>
              </w:rPr>
            </w:pPr>
            <w:r>
              <w:rPr>
                <w:rFonts w:ascii="times" w:hAnsi="times"/>
                <w:b/>
                <w:sz w:val="14"/>
              </w:rPr>
              <w:t>OTHER FINANCIAL DATA</w:t>
            </w:r>
          </w:p>
        </w:tc>
        <w:tc>
          <w:tcPr>
            <w:tcW w:w="165"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921" w:type="dxa"/>
            <w:tcBorders/>
            <w:shd w:fill="auto" w:val="clear"/>
            <w:vAlign w:val="bottom"/>
          </w:tcPr>
          <w:p>
            <w:pPr>
              <w:pStyle w:val="TableContents"/>
              <w:spacing w:before="0" w:after="283"/>
              <w:jc w:val="right"/>
              <w:rPr/>
            </w:pPr>
            <w:r>
              <w:rPr/>
              <w:t> </w:t>
            </w:r>
          </w:p>
        </w:tc>
        <w:tc>
          <w:tcPr>
            <w:tcW w:w="172"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921" w:type="dxa"/>
            <w:tcBorders/>
            <w:shd w:fill="auto" w:val="clear"/>
            <w:vAlign w:val="bottom"/>
          </w:tcPr>
          <w:p>
            <w:pPr>
              <w:pStyle w:val="TableContents"/>
              <w:spacing w:before="0" w:after="283"/>
              <w:jc w:val="right"/>
              <w:rPr/>
            </w:pPr>
            <w:r>
              <w:rPr/>
              <w:t> </w:t>
            </w:r>
          </w:p>
        </w:tc>
        <w:tc>
          <w:tcPr>
            <w:tcW w:w="172"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921" w:type="dxa"/>
            <w:tcBorders/>
            <w:shd w:fill="auto" w:val="clear"/>
            <w:vAlign w:val="bottom"/>
          </w:tcPr>
          <w:p>
            <w:pPr>
              <w:pStyle w:val="TableContents"/>
              <w:spacing w:before="0" w:after="283"/>
              <w:jc w:val="right"/>
              <w:rPr/>
            </w:pPr>
            <w:r>
              <w:rPr/>
              <w:t> </w:t>
            </w:r>
          </w:p>
        </w:tc>
        <w:tc>
          <w:tcPr>
            <w:tcW w:w="172"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921" w:type="dxa"/>
            <w:tcBorders/>
            <w:shd w:fill="auto" w:val="clear"/>
            <w:vAlign w:val="bottom"/>
          </w:tcPr>
          <w:p>
            <w:pPr>
              <w:pStyle w:val="TableContents"/>
              <w:spacing w:before="0" w:after="283"/>
              <w:jc w:val="right"/>
              <w:rPr/>
            </w:pPr>
            <w:r>
              <w:rPr/>
              <w:t> </w:t>
            </w:r>
          </w:p>
        </w:tc>
        <w:tc>
          <w:tcPr>
            <w:tcW w:w="178"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921" w:type="dxa"/>
            <w:tcBorders/>
            <w:shd w:fill="auto" w:val="clear"/>
            <w:vAlign w:val="bottom"/>
          </w:tcPr>
          <w:p>
            <w:pPr>
              <w:pStyle w:val="TableContents"/>
              <w:spacing w:before="0" w:after="283"/>
              <w:jc w:val="right"/>
              <w:rPr/>
            </w:pPr>
            <w:r>
              <w:rPr/>
              <w:t> </w:t>
            </w:r>
          </w:p>
        </w:tc>
        <w:tc>
          <w:tcPr>
            <w:tcW w:w="184" w:type="dxa"/>
            <w:tcBorders/>
            <w:shd w:fill="auto" w:val="clear"/>
            <w:vAlign w:val="bottom"/>
          </w:tcPr>
          <w:p>
            <w:pPr>
              <w:pStyle w:val="TableContents"/>
              <w:spacing w:before="0" w:after="283"/>
              <w:rPr/>
            </w:pPr>
            <w:r>
              <w:rPr/>
              <w:t> </w:t>
            </w:r>
          </w:p>
        </w:tc>
      </w:tr>
      <w:tr>
        <w:trPr/>
        <w:tc>
          <w:tcPr>
            <w:tcW w:w="4082" w:type="dxa"/>
            <w:tcBorders/>
            <w:shd w:fill="auto" w:val="clear"/>
            <w:vAlign w:val="bottom"/>
          </w:tcPr>
          <w:p>
            <w:pPr>
              <w:pStyle w:val="TableContents"/>
              <w:spacing w:before="0" w:after="283"/>
              <w:ind w:left="140" w:right="0" w:hanging="140"/>
              <w:rPr>
                <w:rFonts w:ascii="times" w:hAnsi="times"/>
                <w:sz w:val="14"/>
              </w:rPr>
            </w:pPr>
            <w:r>
              <w:rPr>
                <w:rFonts w:ascii="times" w:hAnsi="times"/>
                <w:sz w:val="14"/>
              </w:rPr>
              <w:t>Adjusted EBITDA</w:t>
            </w:r>
            <w:r>
              <w:rPr>
                <w:rFonts w:ascii="times" w:hAnsi="times"/>
                <w:position w:val="5"/>
                <w:sz w:val="11"/>
                <w:sz w:val="14"/>
              </w:rPr>
              <w:t>(5)</w:t>
            </w:r>
          </w:p>
        </w:tc>
        <w:tc>
          <w:tcPr>
            <w:tcW w:w="165"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rFonts w:ascii="times" w:hAnsi="times"/>
                <w:sz w:val="14"/>
              </w:rPr>
            </w:pPr>
            <w:r>
              <w:rPr>
                <w:rFonts w:ascii="times" w:hAnsi="times"/>
                <w:sz w:val="14"/>
              </w:rPr>
              <w:t>$</w:t>
            </w:r>
          </w:p>
        </w:tc>
        <w:tc>
          <w:tcPr>
            <w:tcW w:w="921" w:type="dxa"/>
            <w:tcBorders/>
            <w:shd w:fill="auto" w:val="clear"/>
            <w:vAlign w:val="bottom"/>
          </w:tcPr>
          <w:p>
            <w:pPr>
              <w:pStyle w:val="TableContents"/>
              <w:spacing w:before="0" w:after="283"/>
              <w:jc w:val="right"/>
              <w:rPr>
                <w:rFonts w:ascii="times" w:hAnsi="times"/>
                <w:sz w:val="14"/>
              </w:rPr>
            </w:pPr>
            <w:r>
              <w:rPr>
                <w:rFonts w:ascii="times" w:hAnsi="times"/>
                <w:sz w:val="14"/>
              </w:rPr>
              <w:t>249,275</w:t>
            </w:r>
          </w:p>
        </w:tc>
        <w:tc>
          <w:tcPr>
            <w:tcW w:w="172"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rFonts w:ascii="times" w:hAnsi="times"/>
                <w:sz w:val="14"/>
              </w:rPr>
            </w:pPr>
            <w:r>
              <w:rPr>
                <w:rFonts w:ascii="times" w:hAnsi="times"/>
                <w:sz w:val="14"/>
              </w:rPr>
              <w:t>$</w:t>
            </w:r>
          </w:p>
        </w:tc>
        <w:tc>
          <w:tcPr>
            <w:tcW w:w="921" w:type="dxa"/>
            <w:tcBorders/>
            <w:shd w:fill="auto" w:val="clear"/>
            <w:vAlign w:val="bottom"/>
          </w:tcPr>
          <w:p>
            <w:pPr>
              <w:pStyle w:val="TableContents"/>
              <w:spacing w:before="0" w:after="283"/>
              <w:jc w:val="right"/>
              <w:rPr>
                <w:rFonts w:ascii="times" w:hAnsi="times"/>
                <w:sz w:val="14"/>
              </w:rPr>
            </w:pPr>
            <w:r>
              <w:rPr>
                <w:rFonts w:ascii="times" w:hAnsi="times"/>
                <w:sz w:val="14"/>
              </w:rPr>
              <w:t>304,782</w:t>
            </w:r>
          </w:p>
        </w:tc>
        <w:tc>
          <w:tcPr>
            <w:tcW w:w="172"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rFonts w:ascii="times" w:hAnsi="times"/>
                <w:sz w:val="14"/>
              </w:rPr>
            </w:pPr>
            <w:r>
              <w:rPr>
                <w:rFonts w:ascii="times" w:hAnsi="times"/>
                <w:sz w:val="14"/>
              </w:rPr>
              <w:t>$</w:t>
            </w:r>
          </w:p>
        </w:tc>
        <w:tc>
          <w:tcPr>
            <w:tcW w:w="921" w:type="dxa"/>
            <w:tcBorders/>
            <w:shd w:fill="auto" w:val="clear"/>
            <w:vAlign w:val="bottom"/>
          </w:tcPr>
          <w:p>
            <w:pPr>
              <w:pStyle w:val="TableContents"/>
              <w:spacing w:before="0" w:after="283"/>
              <w:jc w:val="right"/>
              <w:rPr>
                <w:rFonts w:ascii="times" w:hAnsi="times"/>
                <w:sz w:val="14"/>
              </w:rPr>
            </w:pPr>
            <w:r>
              <w:rPr>
                <w:rFonts w:ascii="times" w:hAnsi="times"/>
                <w:sz w:val="14"/>
              </w:rPr>
              <w:t>285,944</w:t>
            </w:r>
          </w:p>
        </w:tc>
        <w:tc>
          <w:tcPr>
            <w:tcW w:w="172"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rFonts w:ascii="times" w:hAnsi="times"/>
                <w:sz w:val="14"/>
              </w:rPr>
            </w:pPr>
            <w:r>
              <w:rPr>
                <w:rFonts w:ascii="times" w:hAnsi="times"/>
                <w:sz w:val="14"/>
              </w:rPr>
              <w:t>$</w:t>
            </w:r>
          </w:p>
        </w:tc>
        <w:tc>
          <w:tcPr>
            <w:tcW w:w="921" w:type="dxa"/>
            <w:tcBorders/>
            <w:shd w:fill="auto" w:val="clear"/>
            <w:vAlign w:val="bottom"/>
          </w:tcPr>
          <w:p>
            <w:pPr>
              <w:pStyle w:val="TableContents"/>
              <w:spacing w:before="0" w:after="283"/>
              <w:jc w:val="right"/>
              <w:rPr>
                <w:rFonts w:ascii="times" w:hAnsi="times"/>
                <w:sz w:val="14"/>
              </w:rPr>
            </w:pPr>
            <w:r>
              <w:rPr>
                <w:rFonts w:ascii="times" w:hAnsi="times"/>
                <w:sz w:val="14"/>
              </w:rPr>
              <w:t>276,294</w:t>
            </w:r>
          </w:p>
        </w:tc>
        <w:tc>
          <w:tcPr>
            <w:tcW w:w="178"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rFonts w:ascii="times" w:hAnsi="times"/>
                <w:sz w:val="14"/>
              </w:rPr>
            </w:pPr>
            <w:r>
              <w:rPr>
                <w:rFonts w:ascii="times" w:hAnsi="times"/>
                <w:sz w:val="14"/>
              </w:rPr>
              <w:t>$</w:t>
            </w:r>
          </w:p>
        </w:tc>
        <w:tc>
          <w:tcPr>
            <w:tcW w:w="921" w:type="dxa"/>
            <w:tcBorders/>
            <w:shd w:fill="auto" w:val="clear"/>
            <w:vAlign w:val="bottom"/>
          </w:tcPr>
          <w:p>
            <w:pPr>
              <w:pStyle w:val="TableContents"/>
              <w:spacing w:before="0" w:after="283"/>
              <w:jc w:val="right"/>
              <w:rPr>
                <w:rFonts w:ascii="times" w:hAnsi="times"/>
                <w:sz w:val="14"/>
              </w:rPr>
            </w:pPr>
            <w:r>
              <w:rPr>
                <w:rFonts w:ascii="times" w:hAnsi="times"/>
                <w:sz w:val="14"/>
              </w:rPr>
              <w:t>230,635</w:t>
            </w:r>
          </w:p>
        </w:tc>
        <w:tc>
          <w:tcPr>
            <w:tcW w:w="184" w:type="dxa"/>
            <w:tcBorders/>
            <w:shd w:fill="auto" w:val="clear"/>
            <w:vAlign w:val="bottom"/>
          </w:tcPr>
          <w:p>
            <w:pPr>
              <w:pStyle w:val="TableContents"/>
              <w:spacing w:before="0" w:after="283"/>
              <w:rPr/>
            </w:pPr>
            <w:r>
              <w:rPr/>
              <w:t> </w:t>
            </w:r>
          </w:p>
        </w:tc>
      </w:tr>
      <w:tr>
        <w:trPr/>
        <w:tc>
          <w:tcPr>
            <w:tcW w:w="4082" w:type="dxa"/>
            <w:tcBorders/>
            <w:shd w:fill="auto" w:val="clear"/>
            <w:vAlign w:val="bottom"/>
          </w:tcPr>
          <w:p>
            <w:pPr>
              <w:pStyle w:val="TableContents"/>
              <w:spacing w:before="0" w:after="283"/>
              <w:ind w:left="140" w:right="0" w:hanging="140"/>
              <w:rPr>
                <w:rFonts w:ascii="times" w:hAnsi="times"/>
                <w:sz w:val="14"/>
              </w:rPr>
            </w:pPr>
            <w:r>
              <w:rPr>
                <w:rFonts w:ascii="times" w:hAnsi="times"/>
                <w:sz w:val="14"/>
              </w:rPr>
              <w:t>Capital expenditures:</w:t>
            </w:r>
          </w:p>
        </w:tc>
        <w:tc>
          <w:tcPr>
            <w:tcW w:w="165"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921" w:type="dxa"/>
            <w:tcBorders/>
            <w:shd w:fill="auto" w:val="clear"/>
            <w:vAlign w:val="bottom"/>
          </w:tcPr>
          <w:p>
            <w:pPr>
              <w:pStyle w:val="TableContents"/>
              <w:spacing w:before="0" w:after="283"/>
              <w:jc w:val="right"/>
              <w:rPr/>
            </w:pPr>
            <w:r>
              <w:rPr/>
              <w:t> </w:t>
            </w:r>
          </w:p>
        </w:tc>
        <w:tc>
          <w:tcPr>
            <w:tcW w:w="172"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921" w:type="dxa"/>
            <w:tcBorders/>
            <w:shd w:fill="auto" w:val="clear"/>
            <w:vAlign w:val="bottom"/>
          </w:tcPr>
          <w:p>
            <w:pPr>
              <w:pStyle w:val="TableContents"/>
              <w:spacing w:before="0" w:after="283"/>
              <w:jc w:val="right"/>
              <w:rPr/>
            </w:pPr>
            <w:r>
              <w:rPr/>
              <w:t> </w:t>
            </w:r>
          </w:p>
        </w:tc>
        <w:tc>
          <w:tcPr>
            <w:tcW w:w="172"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921" w:type="dxa"/>
            <w:tcBorders/>
            <w:shd w:fill="auto" w:val="clear"/>
            <w:vAlign w:val="bottom"/>
          </w:tcPr>
          <w:p>
            <w:pPr>
              <w:pStyle w:val="TableContents"/>
              <w:spacing w:before="0" w:after="283"/>
              <w:jc w:val="right"/>
              <w:rPr/>
            </w:pPr>
            <w:r>
              <w:rPr/>
              <w:t> </w:t>
            </w:r>
          </w:p>
        </w:tc>
        <w:tc>
          <w:tcPr>
            <w:tcW w:w="172"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921" w:type="dxa"/>
            <w:tcBorders/>
            <w:shd w:fill="auto" w:val="clear"/>
            <w:vAlign w:val="bottom"/>
          </w:tcPr>
          <w:p>
            <w:pPr>
              <w:pStyle w:val="TableContents"/>
              <w:spacing w:before="0" w:after="283"/>
              <w:jc w:val="right"/>
              <w:rPr/>
            </w:pPr>
            <w:r>
              <w:rPr/>
              <w:t> </w:t>
            </w:r>
          </w:p>
        </w:tc>
        <w:tc>
          <w:tcPr>
            <w:tcW w:w="178"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921" w:type="dxa"/>
            <w:tcBorders/>
            <w:shd w:fill="auto" w:val="clear"/>
            <w:vAlign w:val="bottom"/>
          </w:tcPr>
          <w:p>
            <w:pPr>
              <w:pStyle w:val="TableContents"/>
              <w:spacing w:before="0" w:after="283"/>
              <w:jc w:val="right"/>
              <w:rPr/>
            </w:pPr>
            <w:r>
              <w:rPr/>
              <w:t> </w:t>
            </w:r>
          </w:p>
        </w:tc>
        <w:tc>
          <w:tcPr>
            <w:tcW w:w="184" w:type="dxa"/>
            <w:tcBorders/>
            <w:shd w:fill="auto" w:val="clear"/>
            <w:vAlign w:val="bottom"/>
          </w:tcPr>
          <w:p>
            <w:pPr>
              <w:pStyle w:val="TableContents"/>
              <w:spacing w:before="0" w:after="283"/>
              <w:rPr/>
            </w:pPr>
            <w:r>
              <w:rPr/>
              <w:t> </w:t>
            </w:r>
          </w:p>
        </w:tc>
      </w:tr>
      <w:tr>
        <w:trPr/>
        <w:tc>
          <w:tcPr>
            <w:tcW w:w="4082" w:type="dxa"/>
            <w:tcBorders/>
            <w:shd w:fill="auto" w:val="clear"/>
            <w:vAlign w:val="bottom"/>
          </w:tcPr>
          <w:p>
            <w:pPr>
              <w:pStyle w:val="TableContents"/>
              <w:spacing w:before="0" w:after="283"/>
              <w:ind w:left="140" w:right="0" w:hanging="140"/>
              <w:rPr>
                <w:rFonts w:ascii="times" w:hAnsi="times"/>
                <w:sz w:val="14"/>
              </w:rPr>
            </w:pPr>
            <w:r>
              <w:rPr>
                <w:rFonts w:ascii="times" w:hAnsi="times"/>
                <w:sz w:val="14"/>
              </w:rPr>
              <w:t>Payment for vessels and vessel additions</w:t>
            </w:r>
          </w:p>
        </w:tc>
        <w:tc>
          <w:tcPr>
            <w:tcW w:w="165"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921" w:type="dxa"/>
            <w:tcBorders/>
            <w:shd w:fill="auto" w:val="clear"/>
            <w:vAlign w:val="bottom"/>
          </w:tcPr>
          <w:p>
            <w:pPr>
              <w:pStyle w:val="TableContents"/>
              <w:spacing w:before="0" w:after="283"/>
              <w:jc w:val="right"/>
              <w:rPr>
                <w:rFonts w:ascii="times" w:hAnsi="times"/>
                <w:sz w:val="14"/>
              </w:rPr>
            </w:pPr>
            <w:r>
              <w:rPr>
                <w:rFonts w:ascii="times" w:hAnsi="times"/>
                <w:sz w:val="14"/>
              </w:rPr>
              <w:t>670,039</w:t>
            </w:r>
          </w:p>
        </w:tc>
        <w:tc>
          <w:tcPr>
            <w:tcW w:w="172"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921" w:type="dxa"/>
            <w:tcBorders/>
            <w:shd w:fill="auto" w:val="clear"/>
            <w:vAlign w:val="bottom"/>
          </w:tcPr>
          <w:p>
            <w:pPr>
              <w:pStyle w:val="TableContents"/>
              <w:spacing w:before="0" w:after="283"/>
              <w:jc w:val="right"/>
              <w:rPr>
                <w:rFonts w:ascii="times" w:hAnsi="times"/>
                <w:sz w:val="14"/>
              </w:rPr>
            </w:pPr>
            <w:r>
              <w:rPr>
                <w:rFonts w:ascii="times" w:hAnsi="times"/>
                <w:sz w:val="14"/>
              </w:rPr>
              <w:t>5,056</w:t>
            </w:r>
          </w:p>
        </w:tc>
        <w:tc>
          <w:tcPr>
            <w:tcW w:w="172"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921" w:type="dxa"/>
            <w:tcBorders/>
            <w:shd w:fill="auto" w:val="clear"/>
            <w:vAlign w:val="bottom"/>
          </w:tcPr>
          <w:p>
            <w:pPr>
              <w:pStyle w:val="TableContents"/>
              <w:spacing w:before="0" w:after="283"/>
              <w:jc w:val="right"/>
              <w:rPr>
                <w:rFonts w:ascii="times" w:hAnsi="times"/>
                <w:sz w:val="14"/>
              </w:rPr>
            </w:pPr>
            <w:r>
              <w:rPr>
                <w:rFonts w:ascii="times" w:hAnsi="times"/>
                <w:sz w:val="14"/>
              </w:rPr>
              <w:t>24,177</w:t>
            </w:r>
          </w:p>
        </w:tc>
        <w:tc>
          <w:tcPr>
            <w:tcW w:w="172"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921" w:type="dxa"/>
            <w:tcBorders/>
            <w:shd w:fill="auto" w:val="clear"/>
            <w:vAlign w:val="bottom"/>
          </w:tcPr>
          <w:p>
            <w:pPr>
              <w:pStyle w:val="TableContents"/>
              <w:spacing w:before="0" w:after="283"/>
              <w:jc w:val="right"/>
              <w:rPr>
                <w:rFonts w:ascii="times" w:hAnsi="times"/>
                <w:sz w:val="14"/>
              </w:rPr>
            </w:pPr>
            <w:r>
              <w:rPr>
                <w:rFonts w:ascii="times" w:hAnsi="times"/>
                <w:sz w:val="14"/>
              </w:rPr>
              <w:t>13,940</w:t>
            </w:r>
          </w:p>
        </w:tc>
        <w:tc>
          <w:tcPr>
            <w:tcW w:w="178"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921" w:type="dxa"/>
            <w:tcBorders/>
            <w:shd w:fill="auto" w:val="clear"/>
            <w:vAlign w:val="bottom"/>
          </w:tcPr>
          <w:p>
            <w:pPr>
              <w:pStyle w:val="TableContents"/>
              <w:spacing w:before="0" w:after="283"/>
              <w:jc w:val="right"/>
              <w:rPr>
                <w:rFonts w:ascii="times" w:hAnsi="times"/>
                <w:sz w:val="14"/>
              </w:rPr>
            </w:pPr>
            <w:r>
              <w:rPr>
                <w:rFonts w:ascii="times" w:hAnsi="times"/>
                <w:sz w:val="14"/>
              </w:rPr>
              <w:t>23,618</w:t>
            </w:r>
          </w:p>
        </w:tc>
        <w:tc>
          <w:tcPr>
            <w:tcW w:w="184" w:type="dxa"/>
            <w:tcBorders/>
            <w:shd w:fill="auto" w:val="clear"/>
            <w:vAlign w:val="bottom"/>
          </w:tcPr>
          <w:p>
            <w:pPr>
              <w:pStyle w:val="TableContents"/>
              <w:spacing w:before="0" w:after="283"/>
              <w:rPr/>
            </w:pPr>
            <w:r>
              <w:rPr/>
              <w:t> </w:t>
            </w:r>
          </w:p>
        </w:tc>
      </w:tr>
      <w:tr>
        <w:trPr/>
        <w:tc>
          <w:tcPr>
            <w:tcW w:w="4082" w:type="dxa"/>
            <w:tcBorders/>
            <w:shd w:fill="auto" w:val="clear"/>
            <w:vAlign w:val="bottom"/>
          </w:tcPr>
          <w:p>
            <w:pPr>
              <w:pStyle w:val="TableContents"/>
              <w:spacing w:before="0" w:after="283"/>
              <w:ind w:left="140" w:right="0" w:hanging="140"/>
              <w:rPr>
                <w:rFonts w:ascii="times" w:hAnsi="times"/>
                <w:sz w:val="14"/>
              </w:rPr>
            </w:pPr>
            <w:r>
              <w:rPr>
                <w:rFonts w:ascii="times" w:hAnsi="times"/>
                <w:sz w:val="14"/>
              </w:rPr>
              <w:t>Distributable cash flow</w:t>
            </w:r>
            <w:r>
              <w:rPr>
                <w:rFonts w:ascii="times" w:hAnsi="times"/>
                <w:position w:val="5"/>
                <w:sz w:val="11"/>
                <w:sz w:val="14"/>
              </w:rPr>
              <w:t>(5)</w:t>
            </w:r>
          </w:p>
        </w:tc>
        <w:tc>
          <w:tcPr>
            <w:tcW w:w="165"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921" w:type="dxa"/>
            <w:tcBorders/>
            <w:shd w:fill="auto" w:val="clear"/>
            <w:vAlign w:val="bottom"/>
          </w:tcPr>
          <w:p>
            <w:pPr>
              <w:pStyle w:val="TableContents"/>
              <w:spacing w:before="0" w:after="283"/>
              <w:jc w:val="right"/>
              <w:rPr>
                <w:rFonts w:ascii="times" w:hAnsi="times"/>
                <w:sz w:val="14"/>
              </w:rPr>
            </w:pPr>
            <w:r>
              <w:rPr>
                <w:rFonts w:ascii="times" w:hAnsi="times"/>
                <w:sz w:val="14"/>
              </w:rPr>
              <w:t>83,660</w:t>
            </w:r>
          </w:p>
        </w:tc>
        <w:tc>
          <w:tcPr>
            <w:tcW w:w="172"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921" w:type="dxa"/>
            <w:tcBorders/>
            <w:shd w:fill="auto" w:val="clear"/>
            <w:vAlign w:val="bottom"/>
          </w:tcPr>
          <w:p>
            <w:pPr>
              <w:pStyle w:val="TableContents"/>
              <w:spacing w:before="0" w:after="283"/>
              <w:jc w:val="right"/>
              <w:rPr>
                <w:rFonts w:ascii="times" w:hAnsi="times"/>
                <w:sz w:val="14"/>
              </w:rPr>
            </w:pPr>
            <w:r>
              <w:rPr>
                <w:rFonts w:ascii="times" w:hAnsi="times"/>
                <w:sz w:val="14"/>
              </w:rPr>
              <w:t>100,551</w:t>
            </w:r>
          </w:p>
        </w:tc>
        <w:tc>
          <w:tcPr>
            <w:tcW w:w="172"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921" w:type="dxa"/>
            <w:tcBorders/>
            <w:shd w:fill="auto" w:val="clear"/>
            <w:vAlign w:val="bottom"/>
          </w:tcPr>
          <w:p>
            <w:pPr>
              <w:pStyle w:val="TableContents"/>
              <w:spacing w:before="0" w:after="283"/>
              <w:jc w:val="right"/>
              <w:rPr>
                <w:rFonts w:ascii="times" w:hAnsi="times"/>
                <w:sz w:val="14"/>
              </w:rPr>
            </w:pPr>
            <w:r>
              <w:rPr>
                <w:rFonts w:ascii="times" w:hAnsi="times"/>
                <w:sz w:val="14"/>
              </w:rPr>
              <w:t>108,945</w:t>
            </w:r>
          </w:p>
        </w:tc>
        <w:tc>
          <w:tcPr>
            <w:tcW w:w="172"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921" w:type="dxa"/>
            <w:tcBorders/>
            <w:shd w:fill="auto" w:val="clear"/>
            <w:vAlign w:val="bottom"/>
          </w:tcPr>
          <w:p>
            <w:pPr>
              <w:pStyle w:val="TableContents"/>
              <w:spacing w:before="0" w:after="283"/>
              <w:jc w:val="right"/>
              <w:rPr>
                <w:rFonts w:ascii="times" w:hAnsi="times"/>
                <w:sz w:val="14"/>
              </w:rPr>
            </w:pPr>
            <w:r>
              <w:rPr>
                <w:rFonts w:ascii="times" w:hAnsi="times"/>
                <w:sz w:val="14"/>
              </w:rPr>
              <w:t>123,108</w:t>
            </w:r>
          </w:p>
        </w:tc>
        <w:tc>
          <w:tcPr>
            <w:tcW w:w="178"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921" w:type="dxa"/>
            <w:tcBorders/>
            <w:shd w:fill="auto" w:val="clear"/>
            <w:vAlign w:val="bottom"/>
          </w:tcPr>
          <w:p>
            <w:pPr>
              <w:pStyle w:val="TableContents"/>
              <w:spacing w:before="0" w:after="283"/>
              <w:jc w:val="right"/>
              <w:rPr>
                <w:rFonts w:ascii="times" w:hAnsi="times"/>
                <w:sz w:val="14"/>
              </w:rPr>
            </w:pPr>
            <w:r>
              <w:rPr>
                <w:rFonts w:ascii="times" w:hAnsi="times"/>
                <w:sz w:val="14"/>
              </w:rPr>
              <w:t>91,241</w:t>
            </w:r>
          </w:p>
        </w:tc>
        <w:tc>
          <w:tcPr>
            <w:tcW w:w="184" w:type="dxa"/>
            <w:tcBorders/>
            <w:shd w:fill="auto" w:val="clear"/>
            <w:vAlign w:val="bottom"/>
          </w:tcPr>
          <w:p>
            <w:pPr>
              <w:pStyle w:val="TableContents"/>
              <w:spacing w:before="0" w:after="283"/>
              <w:rPr/>
            </w:pPr>
            <w:r>
              <w:rPr/>
              <w:t> </w:t>
            </w:r>
          </w:p>
        </w:tc>
      </w:tr>
      <w:tr>
        <w:trPr/>
        <w:tc>
          <w:tcPr>
            <w:tcW w:w="4082" w:type="dxa"/>
            <w:tcBorders/>
            <w:shd w:fill="auto" w:val="clear"/>
            <w:vAlign w:val="bottom"/>
          </w:tcPr>
          <w:p>
            <w:pPr>
              <w:pStyle w:val="TableContents"/>
              <w:spacing w:before="0" w:after="283"/>
              <w:ind w:left="140" w:right="0" w:hanging="140"/>
              <w:rPr>
                <w:rFonts w:ascii="times" w:hAnsi="times"/>
                <w:sz w:val="14"/>
              </w:rPr>
            </w:pPr>
            <w:r>
              <w:rPr>
                <w:rFonts w:ascii="times" w:hAnsi="times"/>
                <w:sz w:val="14"/>
              </w:rPr>
              <w:t>Cash distributions declared (excluding Preference Unit distributions declared)</w:t>
            </w:r>
          </w:p>
        </w:tc>
        <w:tc>
          <w:tcPr>
            <w:tcW w:w="165"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921" w:type="dxa"/>
            <w:tcBorders/>
            <w:shd w:fill="auto" w:val="clear"/>
            <w:vAlign w:val="bottom"/>
          </w:tcPr>
          <w:p>
            <w:pPr>
              <w:pStyle w:val="TableContents"/>
              <w:spacing w:before="0" w:after="283"/>
              <w:jc w:val="right"/>
              <w:rPr>
                <w:rFonts w:ascii="times" w:hAnsi="times"/>
                <w:sz w:val="14"/>
              </w:rPr>
            </w:pPr>
            <w:r>
              <w:rPr>
                <w:rFonts w:ascii="times" w:hAnsi="times"/>
                <w:sz w:val="14"/>
              </w:rPr>
              <w:t>65,577</w:t>
            </w:r>
          </w:p>
        </w:tc>
        <w:tc>
          <w:tcPr>
            <w:tcW w:w="172" w:type="dxa"/>
            <w:tcBorders/>
            <w:shd w:fill="auto" w:val="clear"/>
            <w:vAlign w:val="bottom"/>
          </w:tcPr>
          <w:p>
            <w:pPr>
              <w:pStyle w:val="TableContents"/>
              <w:spacing w:before="0" w:after="283"/>
              <w:rPr>
                <w:rFonts w:ascii="times" w:hAnsi="times"/>
                <w:position w:val="5"/>
                <w:sz w:val="11"/>
                <w:sz w:val="14"/>
              </w:rPr>
            </w:pPr>
            <w:r>
              <w:rPr>
                <w:rFonts w:ascii="times" w:hAnsi="times"/>
                <w:position w:val="5"/>
                <w:sz w:val="11"/>
                <w:sz w:val="14"/>
              </w:rPr>
              <w:t>(6)</w:t>
            </w:r>
          </w:p>
        </w:tc>
        <w:tc>
          <w:tcPr>
            <w:tcW w:w="95" w:type="dxa"/>
            <w:tcBorders/>
            <w:shd w:fill="auto" w:val="clear"/>
            <w:vAlign w:val="bottom"/>
          </w:tcPr>
          <w:p>
            <w:pPr>
              <w:pStyle w:val="TableContents"/>
              <w:spacing w:before="0" w:after="283"/>
              <w:rPr/>
            </w:pPr>
            <w:r>
              <w:rPr/>
              <w:t> </w:t>
            </w:r>
          </w:p>
        </w:tc>
        <w:tc>
          <w:tcPr>
            <w:tcW w:w="921" w:type="dxa"/>
            <w:tcBorders/>
            <w:shd w:fill="auto" w:val="clear"/>
            <w:vAlign w:val="bottom"/>
          </w:tcPr>
          <w:p>
            <w:pPr>
              <w:pStyle w:val="TableContents"/>
              <w:spacing w:before="0" w:after="283"/>
              <w:jc w:val="right"/>
              <w:rPr>
                <w:rFonts w:ascii="times" w:hAnsi="times"/>
                <w:sz w:val="14"/>
              </w:rPr>
            </w:pPr>
            <w:r>
              <w:rPr>
                <w:rFonts w:ascii="times" w:hAnsi="times"/>
                <w:sz w:val="14"/>
              </w:rPr>
              <w:t>83,048</w:t>
            </w:r>
          </w:p>
        </w:tc>
        <w:tc>
          <w:tcPr>
            <w:tcW w:w="172" w:type="dxa"/>
            <w:tcBorders/>
            <w:shd w:fill="auto" w:val="clear"/>
            <w:vAlign w:val="bottom"/>
          </w:tcPr>
          <w:p>
            <w:pPr>
              <w:pStyle w:val="TableContents"/>
              <w:spacing w:before="0" w:after="283"/>
              <w:rPr>
                <w:rFonts w:ascii="times" w:hAnsi="times"/>
                <w:position w:val="5"/>
                <w:sz w:val="11"/>
                <w:sz w:val="14"/>
              </w:rPr>
            </w:pPr>
            <w:r>
              <w:rPr>
                <w:rFonts w:ascii="times" w:hAnsi="times"/>
                <w:position w:val="5"/>
                <w:sz w:val="11"/>
                <w:sz w:val="14"/>
              </w:rPr>
              <w:t>(8)</w:t>
            </w:r>
          </w:p>
        </w:tc>
        <w:tc>
          <w:tcPr>
            <w:tcW w:w="95" w:type="dxa"/>
            <w:tcBorders/>
            <w:shd w:fill="auto" w:val="clear"/>
            <w:vAlign w:val="bottom"/>
          </w:tcPr>
          <w:p>
            <w:pPr>
              <w:pStyle w:val="TableContents"/>
              <w:spacing w:before="0" w:after="283"/>
              <w:rPr/>
            </w:pPr>
            <w:r>
              <w:rPr/>
              <w:t> </w:t>
            </w:r>
          </w:p>
        </w:tc>
        <w:tc>
          <w:tcPr>
            <w:tcW w:w="921" w:type="dxa"/>
            <w:tcBorders/>
            <w:shd w:fill="auto" w:val="clear"/>
            <w:vAlign w:val="bottom"/>
          </w:tcPr>
          <w:p>
            <w:pPr>
              <w:pStyle w:val="TableContents"/>
              <w:spacing w:before="0" w:after="283"/>
              <w:jc w:val="right"/>
              <w:rPr>
                <w:rFonts w:ascii="times" w:hAnsi="times"/>
                <w:sz w:val="14"/>
              </w:rPr>
            </w:pPr>
            <w:r>
              <w:rPr>
                <w:rFonts w:ascii="times" w:hAnsi="times"/>
                <w:sz w:val="14"/>
              </w:rPr>
              <w:t>97,105</w:t>
            </w:r>
          </w:p>
        </w:tc>
        <w:tc>
          <w:tcPr>
            <w:tcW w:w="172" w:type="dxa"/>
            <w:tcBorders/>
            <w:shd w:fill="auto" w:val="clear"/>
            <w:vAlign w:val="bottom"/>
          </w:tcPr>
          <w:p>
            <w:pPr>
              <w:pStyle w:val="TableContents"/>
              <w:spacing w:before="0" w:after="283"/>
              <w:rPr>
                <w:rFonts w:ascii="times" w:hAnsi="times"/>
                <w:position w:val="5"/>
                <w:sz w:val="11"/>
                <w:sz w:val="14"/>
              </w:rPr>
            </w:pPr>
            <w:r>
              <w:rPr>
                <w:rFonts w:ascii="times" w:hAnsi="times"/>
                <w:position w:val="5"/>
                <w:sz w:val="11"/>
                <w:sz w:val="14"/>
              </w:rPr>
              <w:t>(9)</w:t>
            </w:r>
          </w:p>
        </w:tc>
        <w:tc>
          <w:tcPr>
            <w:tcW w:w="95" w:type="dxa"/>
            <w:tcBorders/>
            <w:shd w:fill="auto" w:val="clear"/>
            <w:vAlign w:val="bottom"/>
          </w:tcPr>
          <w:p>
            <w:pPr>
              <w:pStyle w:val="TableContents"/>
              <w:spacing w:before="0" w:after="283"/>
              <w:rPr/>
            </w:pPr>
            <w:r>
              <w:rPr/>
              <w:t> </w:t>
            </w:r>
          </w:p>
        </w:tc>
        <w:tc>
          <w:tcPr>
            <w:tcW w:w="921" w:type="dxa"/>
            <w:tcBorders/>
            <w:shd w:fill="auto" w:val="clear"/>
            <w:vAlign w:val="bottom"/>
          </w:tcPr>
          <w:p>
            <w:pPr>
              <w:pStyle w:val="TableContents"/>
              <w:spacing w:before="0" w:after="283"/>
              <w:jc w:val="right"/>
              <w:rPr>
                <w:rFonts w:ascii="times" w:hAnsi="times"/>
                <w:sz w:val="14"/>
              </w:rPr>
            </w:pPr>
            <w:r>
              <w:rPr>
                <w:rFonts w:ascii="times" w:hAnsi="times"/>
                <w:sz w:val="14"/>
              </w:rPr>
              <w:t>106,917</w:t>
            </w:r>
          </w:p>
        </w:tc>
        <w:tc>
          <w:tcPr>
            <w:tcW w:w="178" w:type="dxa"/>
            <w:tcBorders/>
            <w:shd w:fill="auto" w:val="clear"/>
            <w:vAlign w:val="bottom"/>
          </w:tcPr>
          <w:p>
            <w:pPr>
              <w:pStyle w:val="TableContents"/>
              <w:spacing w:before="0" w:after="283"/>
              <w:rPr>
                <w:rFonts w:ascii="times" w:hAnsi="times"/>
                <w:position w:val="5"/>
                <w:sz w:val="11"/>
                <w:sz w:val="14"/>
              </w:rPr>
            </w:pPr>
            <w:r>
              <w:rPr>
                <w:rFonts w:ascii="times" w:hAnsi="times"/>
                <w:position w:val="5"/>
                <w:sz w:val="11"/>
                <w:sz w:val="14"/>
              </w:rPr>
              <w:t>(10)</w:t>
            </w:r>
          </w:p>
        </w:tc>
        <w:tc>
          <w:tcPr>
            <w:tcW w:w="95" w:type="dxa"/>
            <w:tcBorders/>
            <w:shd w:fill="auto" w:val="clear"/>
            <w:vAlign w:val="bottom"/>
          </w:tcPr>
          <w:p>
            <w:pPr>
              <w:pStyle w:val="TableContents"/>
              <w:spacing w:before="0" w:after="283"/>
              <w:rPr/>
            </w:pPr>
            <w:r>
              <w:rPr/>
              <w:t> </w:t>
            </w:r>
          </w:p>
        </w:tc>
        <w:tc>
          <w:tcPr>
            <w:tcW w:w="921" w:type="dxa"/>
            <w:tcBorders/>
            <w:shd w:fill="auto" w:val="clear"/>
            <w:vAlign w:val="bottom"/>
          </w:tcPr>
          <w:p>
            <w:pPr>
              <w:pStyle w:val="TableContents"/>
              <w:spacing w:before="0" w:after="283"/>
              <w:jc w:val="right"/>
              <w:rPr>
                <w:rFonts w:ascii="times" w:hAnsi="times"/>
                <w:sz w:val="14"/>
              </w:rPr>
            </w:pPr>
            <w:r>
              <w:rPr>
                <w:rFonts w:ascii="times" w:hAnsi="times"/>
                <w:sz w:val="14"/>
              </w:rPr>
              <w:t>39,228</w:t>
            </w:r>
          </w:p>
        </w:tc>
        <w:tc>
          <w:tcPr>
            <w:tcW w:w="184" w:type="dxa"/>
            <w:tcBorders/>
            <w:shd w:fill="auto" w:val="clear"/>
            <w:vAlign w:val="bottom"/>
          </w:tcPr>
          <w:p>
            <w:pPr>
              <w:pStyle w:val="TableContents"/>
              <w:spacing w:before="0" w:after="283"/>
              <w:rPr>
                <w:rFonts w:ascii="times" w:hAnsi="times"/>
                <w:position w:val="5"/>
                <w:sz w:val="11"/>
                <w:sz w:val="14"/>
              </w:rPr>
            </w:pPr>
            <w:r>
              <w:rPr>
                <w:rFonts w:ascii="times" w:hAnsi="times"/>
                <w:position w:val="5"/>
                <w:sz w:val="11"/>
                <w:sz w:val="14"/>
              </w:rPr>
              <w:t>(11)</w:t>
            </w:r>
          </w:p>
        </w:tc>
      </w:tr>
      <w:tr>
        <w:trPr/>
        <w:tc>
          <w:tcPr>
            <w:tcW w:w="4082" w:type="dxa"/>
            <w:tcBorders/>
            <w:shd w:fill="auto" w:val="clear"/>
            <w:vAlign w:val="bottom"/>
          </w:tcPr>
          <w:p>
            <w:pPr>
              <w:pStyle w:val="TableContents"/>
              <w:spacing w:before="0" w:after="283"/>
              <w:ind w:left="140" w:right="0" w:hanging="140"/>
              <w:rPr>
                <w:rFonts w:ascii="times" w:hAnsi="times"/>
                <w:sz w:val="14"/>
              </w:rPr>
            </w:pPr>
            <w:r>
              <w:rPr>
                <w:rFonts w:ascii="times" w:hAnsi="times"/>
                <w:sz w:val="14"/>
              </w:rPr>
              <w:t>Cash distributions paid (excluding Preference Unit distributions paid)</w:t>
            </w:r>
          </w:p>
        </w:tc>
        <w:tc>
          <w:tcPr>
            <w:tcW w:w="165"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921" w:type="dxa"/>
            <w:tcBorders/>
            <w:shd w:fill="auto" w:val="clear"/>
            <w:vAlign w:val="bottom"/>
          </w:tcPr>
          <w:p>
            <w:pPr>
              <w:pStyle w:val="TableContents"/>
              <w:spacing w:before="0" w:after="283"/>
              <w:jc w:val="right"/>
              <w:rPr>
                <w:rFonts w:ascii="times" w:hAnsi="times"/>
                <w:sz w:val="14"/>
              </w:rPr>
            </w:pPr>
            <w:r>
              <w:rPr>
                <w:rFonts w:ascii="times" w:hAnsi="times"/>
                <w:sz w:val="14"/>
              </w:rPr>
              <w:t>77,377</w:t>
            </w:r>
          </w:p>
        </w:tc>
        <w:tc>
          <w:tcPr>
            <w:tcW w:w="172" w:type="dxa"/>
            <w:tcBorders/>
            <w:shd w:fill="auto" w:val="clear"/>
            <w:vAlign w:val="bottom"/>
          </w:tcPr>
          <w:p>
            <w:pPr>
              <w:pStyle w:val="TableContents"/>
              <w:spacing w:before="0" w:after="283"/>
              <w:rPr>
                <w:rFonts w:ascii="times" w:hAnsi="times"/>
                <w:position w:val="5"/>
                <w:sz w:val="11"/>
                <w:sz w:val="14"/>
              </w:rPr>
            </w:pPr>
            <w:r>
              <w:rPr>
                <w:rFonts w:ascii="times" w:hAnsi="times"/>
                <w:position w:val="5"/>
                <w:sz w:val="11"/>
                <w:sz w:val="14"/>
              </w:rPr>
              <w:t>(7)</w:t>
            </w:r>
          </w:p>
        </w:tc>
        <w:tc>
          <w:tcPr>
            <w:tcW w:w="95" w:type="dxa"/>
            <w:tcBorders/>
            <w:shd w:fill="auto" w:val="clear"/>
            <w:vAlign w:val="bottom"/>
          </w:tcPr>
          <w:p>
            <w:pPr>
              <w:pStyle w:val="TableContents"/>
              <w:spacing w:before="0" w:after="283"/>
              <w:rPr/>
            </w:pPr>
            <w:r>
              <w:rPr/>
              <w:t> </w:t>
            </w:r>
          </w:p>
        </w:tc>
        <w:tc>
          <w:tcPr>
            <w:tcW w:w="921" w:type="dxa"/>
            <w:tcBorders/>
            <w:shd w:fill="auto" w:val="clear"/>
            <w:vAlign w:val="bottom"/>
          </w:tcPr>
          <w:p>
            <w:pPr>
              <w:pStyle w:val="TableContents"/>
              <w:spacing w:before="0" w:after="283"/>
              <w:jc w:val="right"/>
              <w:rPr>
                <w:rFonts w:ascii="times" w:hAnsi="times"/>
                <w:sz w:val="14"/>
              </w:rPr>
            </w:pPr>
            <w:r>
              <w:rPr>
                <w:rFonts w:ascii="times" w:hAnsi="times"/>
                <w:sz w:val="14"/>
              </w:rPr>
              <w:t>83,048</w:t>
            </w:r>
          </w:p>
        </w:tc>
        <w:tc>
          <w:tcPr>
            <w:tcW w:w="172" w:type="dxa"/>
            <w:tcBorders/>
            <w:shd w:fill="auto" w:val="clear"/>
            <w:vAlign w:val="bottom"/>
          </w:tcPr>
          <w:p>
            <w:pPr>
              <w:pStyle w:val="TableContents"/>
              <w:spacing w:before="0" w:after="283"/>
              <w:rPr>
                <w:rFonts w:ascii="times" w:hAnsi="times"/>
                <w:position w:val="5"/>
                <w:sz w:val="11"/>
                <w:sz w:val="14"/>
              </w:rPr>
            </w:pPr>
            <w:r>
              <w:rPr>
                <w:rFonts w:ascii="times" w:hAnsi="times"/>
                <w:position w:val="5"/>
                <w:sz w:val="11"/>
                <w:sz w:val="14"/>
              </w:rPr>
              <w:t>(8)</w:t>
            </w:r>
          </w:p>
        </w:tc>
        <w:tc>
          <w:tcPr>
            <w:tcW w:w="95" w:type="dxa"/>
            <w:tcBorders/>
            <w:shd w:fill="auto" w:val="clear"/>
            <w:vAlign w:val="bottom"/>
          </w:tcPr>
          <w:p>
            <w:pPr>
              <w:pStyle w:val="TableContents"/>
              <w:spacing w:before="0" w:after="283"/>
              <w:rPr/>
            </w:pPr>
            <w:r>
              <w:rPr/>
              <w:t> </w:t>
            </w:r>
          </w:p>
        </w:tc>
        <w:tc>
          <w:tcPr>
            <w:tcW w:w="921" w:type="dxa"/>
            <w:tcBorders/>
            <w:shd w:fill="auto" w:val="clear"/>
            <w:vAlign w:val="bottom"/>
          </w:tcPr>
          <w:p>
            <w:pPr>
              <w:pStyle w:val="TableContents"/>
              <w:spacing w:before="0" w:after="283"/>
              <w:jc w:val="right"/>
              <w:rPr>
                <w:rFonts w:ascii="times" w:hAnsi="times"/>
                <w:sz w:val="14"/>
              </w:rPr>
            </w:pPr>
            <w:r>
              <w:rPr>
                <w:rFonts w:ascii="times" w:hAnsi="times"/>
                <w:sz w:val="14"/>
              </w:rPr>
              <w:t>97,105</w:t>
            </w:r>
          </w:p>
        </w:tc>
        <w:tc>
          <w:tcPr>
            <w:tcW w:w="172" w:type="dxa"/>
            <w:tcBorders/>
            <w:shd w:fill="auto" w:val="clear"/>
            <w:vAlign w:val="bottom"/>
          </w:tcPr>
          <w:p>
            <w:pPr>
              <w:pStyle w:val="TableContents"/>
              <w:spacing w:before="0" w:after="283"/>
              <w:rPr>
                <w:rFonts w:ascii="times" w:hAnsi="times"/>
                <w:position w:val="5"/>
                <w:sz w:val="11"/>
                <w:sz w:val="14"/>
              </w:rPr>
            </w:pPr>
            <w:r>
              <w:rPr>
                <w:rFonts w:ascii="times" w:hAnsi="times"/>
                <w:position w:val="5"/>
                <w:sz w:val="11"/>
                <w:sz w:val="14"/>
              </w:rPr>
              <w:t>(9)</w:t>
            </w:r>
          </w:p>
        </w:tc>
        <w:tc>
          <w:tcPr>
            <w:tcW w:w="95" w:type="dxa"/>
            <w:tcBorders/>
            <w:shd w:fill="auto" w:val="clear"/>
            <w:vAlign w:val="bottom"/>
          </w:tcPr>
          <w:p>
            <w:pPr>
              <w:pStyle w:val="TableContents"/>
              <w:spacing w:before="0" w:after="283"/>
              <w:rPr/>
            </w:pPr>
            <w:r>
              <w:rPr/>
              <w:t> </w:t>
            </w:r>
          </w:p>
        </w:tc>
        <w:tc>
          <w:tcPr>
            <w:tcW w:w="921" w:type="dxa"/>
            <w:tcBorders/>
            <w:shd w:fill="auto" w:val="clear"/>
            <w:vAlign w:val="bottom"/>
          </w:tcPr>
          <w:p>
            <w:pPr>
              <w:pStyle w:val="TableContents"/>
              <w:spacing w:before="0" w:after="283"/>
              <w:jc w:val="right"/>
              <w:rPr>
                <w:rFonts w:ascii="times" w:hAnsi="times"/>
                <w:sz w:val="14"/>
              </w:rPr>
            </w:pPr>
            <w:r>
              <w:rPr>
                <w:rFonts w:ascii="times" w:hAnsi="times"/>
                <w:sz w:val="14"/>
              </w:rPr>
              <w:t>106,917</w:t>
            </w:r>
          </w:p>
        </w:tc>
        <w:tc>
          <w:tcPr>
            <w:tcW w:w="178" w:type="dxa"/>
            <w:tcBorders/>
            <w:shd w:fill="auto" w:val="clear"/>
            <w:vAlign w:val="bottom"/>
          </w:tcPr>
          <w:p>
            <w:pPr>
              <w:pStyle w:val="TableContents"/>
              <w:spacing w:before="0" w:after="283"/>
              <w:rPr>
                <w:rFonts w:ascii="times" w:hAnsi="times"/>
                <w:position w:val="5"/>
                <w:sz w:val="11"/>
                <w:sz w:val="14"/>
              </w:rPr>
            </w:pPr>
            <w:r>
              <w:rPr>
                <w:rFonts w:ascii="times" w:hAnsi="times"/>
                <w:position w:val="5"/>
                <w:sz w:val="11"/>
                <w:sz w:val="14"/>
              </w:rPr>
              <w:t>(10)</w:t>
            </w:r>
          </w:p>
        </w:tc>
        <w:tc>
          <w:tcPr>
            <w:tcW w:w="95" w:type="dxa"/>
            <w:tcBorders/>
            <w:shd w:fill="auto" w:val="clear"/>
            <w:vAlign w:val="bottom"/>
          </w:tcPr>
          <w:p>
            <w:pPr>
              <w:pStyle w:val="TableContents"/>
              <w:spacing w:before="0" w:after="283"/>
              <w:rPr/>
            </w:pPr>
            <w:r>
              <w:rPr/>
              <w:t> </w:t>
            </w:r>
          </w:p>
        </w:tc>
        <w:tc>
          <w:tcPr>
            <w:tcW w:w="921" w:type="dxa"/>
            <w:tcBorders/>
            <w:shd w:fill="auto" w:val="clear"/>
            <w:vAlign w:val="bottom"/>
          </w:tcPr>
          <w:p>
            <w:pPr>
              <w:pStyle w:val="TableContents"/>
              <w:spacing w:before="0" w:after="283"/>
              <w:jc w:val="right"/>
              <w:rPr>
                <w:rFonts w:ascii="times" w:hAnsi="times"/>
                <w:sz w:val="14"/>
              </w:rPr>
            </w:pPr>
            <w:r>
              <w:rPr>
                <w:rFonts w:ascii="times" w:hAnsi="times"/>
                <w:sz w:val="14"/>
              </w:rPr>
              <w:t>39,228</w:t>
            </w:r>
          </w:p>
        </w:tc>
        <w:tc>
          <w:tcPr>
            <w:tcW w:w="184" w:type="dxa"/>
            <w:tcBorders/>
            <w:shd w:fill="auto" w:val="clear"/>
            <w:vAlign w:val="bottom"/>
          </w:tcPr>
          <w:p>
            <w:pPr>
              <w:pStyle w:val="TableContents"/>
              <w:spacing w:before="0" w:after="283"/>
              <w:rPr>
                <w:rFonts w:ascii="times" w:hAnsi="times"/>
                <w:position w:val="5"/>
                <w:sz w:val="11"/>
                <w:sz w:val="14"/>
              </w:rPr>
            </w:pPr>
            <w:r>
              <w:rPr>
                <w:rFonts w:ascii="times" w:hAnsi="times"/>
                <w:position w:val="5"/>
                <w:sz w:val="11"/>
                <w:sz w:val="14"/>
              </w:rPr>
              <w:t>(11)</w:t>
            </w:r>
          </w:p>
        </w:tc>
      </w:tr>
      <w:tr>
        <w:trPr/>
        <w:tc>
          <w:tcPr>
            <w:tcW w:w="4082" w:type="dxa"/>
            <w:tcBorders/>
            <w:shd w:fill="auto" w:val="clear"/>
            <w:vAlign w:val="bottom"/>
          </w:tcPr>
          <w:p>
            <w:pPr>
              <w:pStyle w:val="TableContents"/>
              <w:spacing w:before="0" w:after="283"/>
              <w:ind w:left="140" w:right="0" w:hanging="140"/>
              <w:rPr>
                <w:rFonts w:ascii="times" w:hAnsi="times"/>
                <w:sz w:val="14"/>
              </w:rPr>
            </w:pPr>
            <w:r>
              <w:rPr>
                <w:rFonts w:ascii="times" w:hAnsi="times"/>
                <w:sz w:val="14"/>
              </w:rPr>
              <w:t>Preference Unit distributions declared and paid</w:t>
            </w:r>
          </w:p>
        </w:tc>
        <w:tc>
          <w:tcPr>
            <w:tcW w:w="165"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921" w:type="dxa"/>
            <w:tcBorders/>
            <w:shd w:fill="auto" w:val="clear"/>
            <w:vAlign w:val="bottom"/>
          </w:tcPr>
          <w:p>
            <w:pPr>
              <w:pStyle w:val="TableContents"/>
              <w:spacing w:before="0" w:after="283"/>
              <w:jc w:val="right"/>
              <w:rPr>
                <w:rFonts w:ascii="times" w:hAnsi="times"/>
                <w:sz w:val="14"/>
              </w:rPr>
            </w:pPr>
            <w:r>
              <w:rPr>
                <w:rFonts w:ascii="times" w:hAnsi="times"/>
                <w:sz w:val="14"/>
              </w:rPr>
              <w:t></w:t>
            </w:r>
          </w:p>
        </w:tc>
        <w:tc>
          <w:tcPr>
            <w:tcW w:w="172"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921" w:type="dxa"/>
            <w:tcBorders/>
            <w:shd w:fill="auto" w:val="clear"/>
            <w:vAlign w:val="bottom"/>
          </w:tcPr>
          <w:p>
            <w:pPr>
              <w:pStyle w:val="TableContents"/>
              <w:spacing w:before="0" w:after="283"/>
              <w:jc w:val="right"/>
              <w:rPr>
                <w:rFonts w:ascii="times" w:hAnsi="times"/>
                <w:sz w:val="14"/>
              </w:rPr>
            </w:pPr>
            <w:r>
              <w:rPr>
                <w:rFonts w:ascii="times" w:hAnsi="times"/>
                <w:sz w:val="14"/>
              </w:rPr>
              <w:t>7,232</w:t>
            </w:r>
          </w:p>
        </w:tc>
        <w:tc>
          <w:tcPr>
            <w:tcW w:w="172"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921" w:type="dxa"/>
            <w:tcBorders/>
            <w:shd w:fill="auto" w:val="clear"/>
            <w:vAlign w:val="bottom"/>
          </w:tcPr>
          <w:p>
            <w:pPr>
              <w:pStyle w:val="TableContents"/>
              <w:spacing w:before="0" w:after="283"/>
              <w:jc w:val="right"/>
              <w:rPr>
                <w:rFonts w:ascii="times" w:hAnsi="times"/>
                <w:sz w:val="14"/>
              </w:rPr>
            </w:pPr>
            <w:r>
              <w:rPr>
                <w:rFonts w:ascii="times" w:hAnsi="times"/>
                <w:sz w:val="14"/>
              </w:rPr>
              <w:t>20,989</w:t>
            </w:r>
          </w:p>
        </w:tc>
        <w:tc>
          <w:tcPr>
            <w:tcW w:w="172"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921" w:type="dxa"/>
            <w:tcBorders/>
            <w:shd w:fill="auto" w:val="clear"/>
            <w:vAlign w:val="bottom"/>
          </w:tcPr>
          <w:p>
            <w:pPr>
              <w:pStyle w:val="TableContents"/>
              <w:spacing w:before="0" w:after="283"/>
              <w:jc w:val="right"/>
              <w:rPr>
                <w:rFonts w:ascii="times" w:hAnsi="times"/>
                <w:sz w:val="14"/>
              </w:rPr>
            </w:pPr>
            <w:r>
              <w:rPr>
                <w:rFonts w:ascii="times" w:hAnsi="times"/>
                <w:sz w:val="14"/>
              </w:rPr>
              <w:t>31,036</w:t>
            </w:r>
          </w:p>
        </w:tc>
        <w:tc>
          <w:tcPr>
            <w:tcW w:w="178"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921" w:type="dxa"/>
            <w:tcBorders/>
            <w:shd w:fill="auto" w:val="clear"/>
            <w:vAlign w:val="bottom"/>
          </w:tcPr>
          <w:p>
            <w:pPr>
              <w:pStyle w:val="TableContents"/>
              <w:spacing w:before="0" w:after="283"/>
              <w:jc w:val="right"/>
              <w:rPr>
                <w:rFonts w:ascii="times" w:hAnsi="times"/>
                <w:sz w:val="14"/>
              </w:rPr>
            </w:pPr>
            <w:r>
              <w:rPr>
                <w:rFonts w:ascii="times" w:hAnsi="times"/>
                <w:sz w:val="14"/>
              </w:rPr>
              <w:t>30,328</w:t>
            </w:r>
          </w:p>
        </w:tc>
        <w:tc>
          <w:tcPr>
            <w:tcW w:w="184" w:type="dxa"/>
            <w:tcBorders/>
            <w:shd w:fill="auto" w:val="clear"/>
            <w:vAlign w:val="bottom"/>
          </w:tcPr>
          <w:p>
            <w:pPr>
              <w:pStyle w:val="TableContents"/>
              <w:spacing w:before="0" w:after="283"/>
              <w:rPr/>
            </w:pPr>
            <w:r>
              <w:rPr/>
              <w:t> </w:t>
            </w:r>
          </w:p>
        </w:tc>
      </w:tr>
    </w:tbl>
    <w:p>
      <w:pPr>
        <w:pStyle w:val="TextBody"/>
        <w:ind w:left="200" w:right="0" w:hanging="200"/>
        <w:rPr>
          <w:rFonts w:ascii="times" w:hAnsi="times"/>
          <w:b/>
          <w:sz w:val="20"/>
          <w:bdr w:val="single" w:sz="8" w:space="12" w:color="000000"/>
        </w:rPr>
      </w:pPr>
      <w:bookmarkStart w:id="49" w:name="toc_bm43504_5"/>
      <w:bookmarkStart w:id="50" w:name="bm43504_partnership_performance_results"/>
      <w:bookmarkEnd w:id="49"/>
      <w:bookmarkEnd w:id="50"/>
      <w:r>
        <w:rPr>
          <w:rFonts w:ascii="times" w:hAnsi="times"/>
          <w:b/>
          <w:sz w:val="20"/>
          <w:bdr w:val="single" w:sz="8" w:space="12" w:color="000000"/>
        </w:rPr>
        <w:t xml:space="preserve">Partnership Performance Results </w:t>
      </w:r>
    </w:p>
    <w:p>
      <w:pPr>
        <w:pStyle w:val="TextBody"/>
        <w:rPr>
          <w:rFonts w:ascii="times" w:hAnsi="times"/>
          <w:sz w:val="20"/>
          <w:bdr w:val="single" w:sz="8" w:space="12" w:color="000000"/>
        </w:rPr>
      </w:pPr>
      <w:r>
        <w:rPr>
          <w:rFonts w:ascii="times" w:hAnsi="times"/>
          <w:sz w:val="20"/>
          <w:bdr w:val="single" w:sz="8" w:space="12" w:color="000000"/>
        </w:rPr>
        <w:t xml:space="preserve">The financial and operating data below exclude amounts related to vessels currently owned by the Partnership for the periods prior to their respective transfers to GasLog Partners from GasLog, as the Partnership was not entitled to the cash or results generated in the periods prior to such transfers. The Partnership Performance Results are non-GAAP financial measures that the Partnership believes provide meaningful supplemental information to both management and investors regarding the financial and operating performance of the Partnership because such presentation is consistent with the </w:t>
      </w:r>
    </w:p>
    <w:p>
      <w:pPr>
        <w:pStyle w:val="TextBody"/>
        <w:jc w:val="center"/>
        <w:rPr>
          <w:rFonts w:ascii="times" w:hAnsi="times"/>
          <w:sz w:val="20"/>
        </w:rPr>
      </w:pPr>
      <w:r>
        <w:rPr>
          <w:rFonts w:ascii="times" w:hAnsi="times"/>
          <w:sz w:val="20"/>
        </w:rPr>
        <w:t>S-14</w:t>
      </w:r>
    </w:p>
    <w:p>
      <w:pPr>
        <w:pStyle w:val="HorizontalLine"/>
        <w:pBdr>
          <w:bottom w:val="single" w:sz="20" w:space="0" w:color="808080"/>
        </w:pBdr>
        <w:rPr/>
      </w:pPr>
      <w:r>
        <w:rPr/>
      </w:r>
      <w:r>
        <w:br w:type="page"/>
      </w:r>
    </w:p>
    <w:p>
      <w:pPr>
        <w:pStyle w:val="TextBody"/>
        <w:rPr/>
      </w:pPr>
      <w:hyperlink w:anchor="bE43504A_main_toc">
        <w:bookmarkStart w:id="51" w:name="page_bm43504_1_15"/>
        <w:bookmarkEnd w:id="51"/>
        <w:r>
          <w:rPr>
            <w:rStyle w:val="InternetLink"/>
            <w:rFonts w:ascii="times" w:hAnsi="times"/>
            <w:sz w:val="20"/>
          </w:rPr>
          <w:t>Table of Contents</w:t>
        </w:r>
      </w:hyperlink>
    </w:p>
    <w:p>
      <w:pPr>
        <w:pStyle w:val="TextBody"/>
        <w:rPr>
          <w:rFonts w:ascii="times" w:hAnsi="times"/>
          <w:sz w:val="20"/>
          <w:bdr w:val="single" w:sz="8" w:space="12" w:color="000000"/>
        </w:rPr>
      </w:pPr>
      <w:r>
        <w:rPr>
          <w:rFonts w:ascii="times" w:hAnsi="times"/>
          <w:sz w:val="20"/>
          <w:bdr w:val="single" w:sz="8" w:space="12" w:color="000000"/>
        </w:rPr>
        <w:t xml:space="preserve">calculation of the quarterly distribution and the earnings per unit, which similarly exclude the results of vessels prior to their transfer to the Partnership. </w:t>
      </w:r>
    </w:p>
    <w:tbl>
      <w:tblPr>
        <w:tblW w:w="5000" w:type="pct"/>
        <w:jc w:val="center"/>
        <w:tblInd w:w="0" w:type="dxa"/>
        <w:tblCellMar>
          <w:top w:w="0" w:type="dxa"/>
          <w:left w:w="0" w:type="dxa"/>
          <w:bottom w:w="0" w:type="dxa"/>
          <w:right w:w="0" w:type="dxa"/>
        </w:tblCellMar>
      </w:tblPr>
      <w:tblGrid>
        <w:gridCol w:w="3965"/>
        <w:gridCol w:w="172"/>
        <w:gridCol w:w="95"/>
        <w:gridCol w:w="945"/>
        <w:gridCol w:w="172"/>
        <w:gridCol w:w="95"/>
        <w:gridCol w:w="945"/>
        <w:gridCol w:w="172"/>
        <w:gridCol w:w="95"/>
        <w:gridCol w:w="945"/>
        <w:gridCol w:w="172"/>
        <w:gridCol w:w="95"/>
        <w:gridCol w:w="947"/>
        <w:gridCol w:w="172"/>
        <w:gridCol w:w="95"/>
        <w:gridCol w:w="945"/>
        <w:gridCol w:w="178"/>
      </w:tblGrid>
      <w:tr>
        <w:trPr/>
        <w:tc>
          <w:tcPr>
            <w:tcW w:w="3965" w:type="dxa"/>
            <w:tcBorders/>
            <w:shd w:fill="auto" w:val="clear"/>
            <w:vAlign w:val="center"/>
          </w:tcPr>
          <w:p>
            <w:pPr>
              <w:pStyle w:val="TableContents"/>
              <w:spacing w:before="0" w:after="283"/>
              <w:rPr>
                <w:sz w:val="4"/>
                <w:szCs w:val="4"/>
              </w:rPr>
            </w:pPr>
            <w:r>
              <w:rPr>
                <w:sz w:val="4"/>
                <w:szCs w:val="4"/>
              </w:rPr>
            </w:r>
          </w:p>
        </w:tc>
        <w:tc>
          <w:tcPr>
            <w:tcW w:w="172" w:type="dxa"/>
            <w:tcBorders/>
            <w:shd w:fill="auto" w:val="clear"/>
            <w:vAlign w:val="center"/>
          </w:tcPr>
          <w:p>
            <w:pPr>
              <w:pStyle w:val="TableContents"/>
              <w:spacing w:before="0" w:after="283"/>
              <w:rPr>
                <w:sz w:val="4"/>
                <w:szCs w:val="4"/>
              </w:rPr>
            </w:pPr>
            <w:r>
              <w:rPr>
                <w:sz w:val="4"/>
                <w:szCs w:val="4"/>
              </w:rPr>
            </w:r>
          </w:p>
        </w:tc>
        <w:tc>
          <w:tcPr>
            <w:tcW w:w="95" w:type="dxa"/>
            <w:tcBorders/>
            <w:shd w:fill="auto" w:val="clear"/>
            <w:vAlign w:val="center"/>
          </w:tcPr>
          <w:p>
            <w:pPr>
              <w:pStyle w:val="TableContents"/>
              <w:spacing w:before="0" w:after="283"/>
              <w:rPr>
                <w:sz w:val="4"/>
                <w:szCs w:val="4"/>
              </w:rPr>
            </w:pPr>
            <w:r>
              <w:rPr>
                <w:sz w:val="4"/>
                <w:szCs w:val="4"/>
              </w:rPr>
            </w:r>
          </w:p>
        </w:tc>
        <w:tc>
          <w:tcPr>
            <w:tcW w:w="945" w:type="dxa"/>
            <w:tcBorders/>
            <w:shd w:fill="auto" w:val="clear"/>
            <w:vAlign w:val="center"/>
          </w:tcPr>
          <w:p>
            <w:pPr>
              <w:pStyle w:val="TableContents"/>
              <w:spacing w:before="0" w:after="283"/>
              <w:rPr>
                <w:sz w:val="4"/>
                <w:szCs w:val="4"/>
              </w:rPr>
            </w:pPr>
            <w:r>
              <w:rPr>
                <w:sz w:val="4"/>
                <w:szCs w:val="4"/>
              </w:rPr>
            </w:r>
          </w:p>
        </w:tc>
        <w:tc>
          <w:tcPr>
            <w:tcW w:w="172" w:type="dxa"/>
            <w:tcBorders/>
            <w:shd w:fill="auto" w:val="clear"/>
            <w:vAlign w:val="center"/>
          </w:tcPr>
          <w:p>
            <w:pPr>
              <w:pStyle w:val="TableContents"/>
              <w:spacing w:before="0" w:after="283"/>
              <w:rPr>
                <w:sz w:val="4"/>
                <w:szCs w:val="4"/>
              </w:rPr>
            </w:pPr>
            <w:r>
              <w:rPr>
                <w:sz w:val="4"/>
                <w:szCs w:val="4"/>
              </w:rPr>
            </w:r>
          </w:p>
        </w:tc>
        <w:tc>
          <w:tcPr>
            <w:tcW w:w="95" w:type="dxa"/>
            <w:tcBorders/>
            <w:shd w:fill="auto" w:val="clear"/>
            <w:vAlign w:val="center"/>
          </w:tcPr>
          <w:p>
            <w:pPr>
              <w:pStyle w:val="TableContents"/>
              <w:spacing w:before="0" w:after="283"/>
              <w:rPr>
                <w:sz w:val="4"/>
                <w:szCs w:val="4"/>
              </w:rPr>
            </w:pPr>
            <w:r>
              <w:rPr>
                <w:sz w:val="4"/>
                <w:szCs w:val="4"/>
              </w:rPr>
            </w:r>
          </w:p>
        </w:tc>
        <w:tc>
          <w:tcPr>
            <w:tcW w:w="945" w:type="dxa"/>
            <w:tcBorders/>
            <w:shd w:fill="auto" w:val="clear"/>
            <w:vAlign w:val="center"/>
          </w:tcPr>
          <w:p>
            <w:pPr>
              <w:pStyle w:val="TableContents"/>
              <w:spacing w:before="0" w:after="283"/>
              <w:rPr>
                <w:sz w:val="4"/>
                <w:szCs w:val="4"/>
              </w:rPr>
            </w:pPr>
            <w:r>
              <w:rPr>
                <w:sz w:val="4"/>
                <w:szCs w:val="4"/>
              </w:rPr>
            </w:r>
          </w:p>
        </w:tc>
        <w:tc>
          <w:tcPr>
            <w:tcW w:w="172" w:type="dxa"/>
            <w:tcBorders/>
            <w:shd w:fill="auto" w:val="clear"/>
            <w:vAlign w:val="center"/>
          </w:tcPr>
          <w:p>
            <w:pPr>
              <w:pStyle w:val="TableContents"/>
              <w:spacing w:before="0" w:after="283"/>
              <w:rPr>
                <w:sz w:val="4"/>
                <w:szCs w:val="4"/>
              </w:rPr>
            </w:pPr>
            <w:r>
              <w:rPr>
                <w:sz w:val="4"/>
                <w:szCs w:val="4"/>
              </w:rPr>
            </w:r>
          </w:p>
        </w:tc>
        <w:tc>
          <w:tcPr>
            <w:tcW w:w="95" w:type="dxa"/>
            <w:tcBorders/>
            <w:shd w:fill="auto" w:val="clear"/>
            <w:vAlign w:val="center"/>
          </w:tcPr>
          <w:p>
            <w:pPr>
              <w:pStyle w:val="TableContents"/>
              <w:spacing w:before="0" w:after="283"/>
              <w:rPr>
                <w:sz w:val="4"/>
                <w:szCs w:val="4"/>
              </w:rPr>
            </w:pPr>
            <w:r>
              <w:rPr>
                <w:sz w:val="4"/>
                <w:szCs w:val="4"/>
              </w:rPr>
            </w:r>
          </w:p>
        </w:tc>
        <w:tc>
          <w:tcPr>
            <w:tcW w:w="945" w:type="dxa"/>
            <w:tcBorders/>
            <w:shd w:fill="auto" w:val="clear"/>
            <w:vAlign w:val="center"/>
          </w:tcPr>
          <w:p>
            <w:pPr>
              <w:pStyle w:val="TableContents"/>
              <w:spacing w:before="0" w:after="283"/>
              <w:rPr>
                <w:sz w:val="4"/>
                <w:szCs w:val="4"/>
              </w:rPr>
            </w:pPr>
            <w:r>
              <w:rPr>
                <w:sz w:val="4"/>
                <w:szCs w:val="4"/>
              </w:rPr>
            </w:r>
          </w:p>
        </w:tc>
        <w:tc>
          <w:tcPr>
            <w:tcW w:w="172" w:type="dxa"/>
            <w:tcBorders/>
            <w:shd w:fill="auto" w:val="clear"/>
            <w:vAlign w:val="center"/>
          </w:tcPr>
          <w:p>
            <w:pPr>
              <w:pStyle w:val="TableContents"/>
              <w:spacing w:before="0" w:after="283"/>
              <w:rPr>
                <w:sz w:val="4"/>
                <w:szCs w:val="4"/>
              </w:rPr>
            </w:pPr>
            <w:r>
              <w:rPr>
                <w:sz w:val="4"/>
                <w:szCs w:val="4"/>
              </w:rPr>
            </w:r>
          </w:p>
        </w:tc>
        <w:tc>
          <w:tcPr>
            <w:tcW w:w="95" w:type="dxa"/>
            <w:tcBorders/>
            <w:shd w:fill="auto" w:val="clear"/>
            <w:vAlign w:val="center"/>
          </w:tcPr>
          <w:p>
            <w:pPr>
              <w:pStyle w:val="TableContents"/>
              <w:spacing w:before="0" w:after="283"/>
              <w:rPr>
                <w:sz w:val="4"/>
                <w:szCs w:val="4"/>
              </w:rPr>
            </w:pPr>
            <w:r>
              <w:rPr>
                <w:sz w:val="4"/>
                <w:szCs w:val="4"/>
              </w:rPr>
            </w:r>
          </w:p>
        </w:tc>
        <w:tc>
          <w:tcPr>
            <w:tcW w:w="947" w:type="dxa"/>
            <w:tcBorders/>
            <w:shd w:fill="auto" w:val="clear"/>
            <w:vAlign w:val="center"/>
          </w:tcPr>
          <w:p>
            <w:pPr>
              <w:pStyle w:val="TableContents"/>
              <w:spacing w:before="0" w:after="283"/>
              <w:rPr>
                <w:sz w:val="4"/>
                <w:szCs w:val="4"/>
              </w:rPr>
            </w:pPr>
            <w:r>
              <w:rPr>
                <w:sz w:val="4"/>
                <w:szCs w:val="4"/>
              </w:rPr>
            </w:r>
          </w:p>
        </w:tc>
        <w:tc>
          <w:tcPr>
            <w:tcW w:w="172" w:type="dxa"/>
            <w:tcBorders/>
            <w:shd w:fill="auto" w:val="clear"/>
            <w:vAlign w:val="center"/>
          </w:tcPr>
          <w:p>
            <w:pPr>
              <w:pStyle w:val="TableContents"/>
              <w:spacing w:before="0" w:after="283"/>
              <w:rPr>
                <w:sz w:val="4"/>
                <w:szCs w:val="4"/>
              </w:rPr>
            </w:pPr>
            <w:r>
              <w:rPr>
                <w:sz w:val="4"/>
                <w:szCs w:val="4"/>
              </w:rPr>
            </w:r>
          </w:p>
        </w:tc>
        <w:tc>
          <w:tcPr>
            <w:tcW w:w="95" w:type="dxa"/>
            <w:tcBorders/>
            <w:shd w:fill="auto" w:val="clear"/>
            <w:vAlign w:val="center"/>
          </w:tcPr>
          <w:p>
            <w:pPr>
              <w:pStyle w:val="TableContents"/>
              <w:spacing w:before="0" w:after="283"/>
              <w:rPr>
                <w:sz w:val="4"/>
                <w:szCs w:val="4"/>
              </w:rPr>
            </w:pPr>
            <w:r>
              <w:rPr>
                <w:sz w:val="4"/>
                <w:szCs w:val="4"/>
              </w:rPr>
            </w:r>
          </w:p>
        </w:tc>
        <w:tc>
          <w:tcPr>
            <w:tcW w:w="945" w:type="dxa"/>
            <w:tcBorders/>
            <w:shd w:fill="auto" w:val="clear"/>
            <w:vAlign w:val="center"/>
          </w:tcPr>
          <w:p>
            <w:pPr>
              <w:pStyle w:val="TableContents"/>
              <w:spacing w:before="0" w:after="283"/>
              <w:rPr>
                <w:sz w:val="4"/>
                <w:szCs w:val="4"/>
              </w:rPr>
            </w:pPr>
            <w:r>
              <w:rPr>
                <w:sz w:val="4"/>
                <w:szCs w:val="4"/>
              </w:rPr>
            </w:r>
          </w:p>
        </w:tc>
        <w:tc>
          <w:tcPr>
            <w:tcW w:w="178" w:type="dxa"/>
            <w:tcBorders/>
            <w:shd w:fill="auto" w:val="clear"/>
            <w:vAlign w:val="center"/>
          </w:tcPr>
          <w:p>
            <w:pPr>
              <w:pStyle w:val="TableContents"/>
              <w:spacing w:before="0" w:after="283"/>
              <w:rPr>
                <w:sz w:val="4"/>
                <w:szCs w:val="4"/>
              </w:rPr>
            </w:pPr>
            <w:r>
              <w:rPr>
                <w:sz w:val="4"/>
                <w:szCs w:val="4"/>
              </w:rPr>
            </w:r>
          </w:p>
        </w:tc>
      </w:tr>
      <w:tr>
        <w:trPr/>
        <w:tc>
          <w:tcPr>
            <w:tcW w:w="3965" w:type="dxa"/>
            <w:tcBorders/>
            <w:shd w:fill="auto" w:val="clear"/>
            <w:vAlign w:val="bottom"/>
          </w:tcPr>
          <w:p>
            <w:pPr>
              <w:pStyle w:val="TableHeading"/>
              <w:spacing w:before="0" w:after="283"/>
              <w:jc w:val="left"/>
              <w:rPr/>
            </w:pPr>
            <w:r>
              <w:rPr/>
              <w:t> </w:t>
            </w:r>
          </w:p>
        </w:tc>
        <w:tc>
          <w:tcPr>
            <w:tcW w:w="172" w:type="dxa"/>
            <w:tcBorders/>
            <w:shd w:fill="auto" w:val="clear"/>
            <w:vAlign w:val="bottom"/>
          </w:tcPr>
          <w:p>
            <w:pPr>
              <w:pStyle w:val="TableHeading"/>
              <w:suppressLineNumbers/>
              <w:spacing w:before="0" w:after="283"/>
              <w:jc w:val="center"/>
              <w:rPr/>
            </w:pPr>
            <w:r>
              <w:rPr/>
              <w:t> </w:t>
            </w:r>
          </w:p>
        </w:tc>
        <w:tc>
          <w:tcPr>
            <w:tcW w:w="5890" w:type="dxa"/>
            <w:gridSpan w:val="14"/>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Year Ended December 31, </w:t>
            </w:r>
          </w:p>
        </w:tc>
        <w:tc>
          <w:tcPr>
            <w:tcW w:w="178" w:type="dxa"/>
            <w:tcBorders/>
            <w:shd w:fill="auto" w:val="clear"/>
            <w:vAlign w:val="bottom"/>
          </w:tcPr>
          <w:p>
            <w:pPr>
              <w:pStyle w:val="TableHeading"/>
              <w:suppressLineNumbers/>
              <w:spacing w:before="0" w:after="283"/>
              <w:jc w:val="center"/>
              <w:rPr/>
            </w:pPr>
            <w:r>
              <w:rPr/>
              <w:t> </w:t>
            </w:r>
          </w:p>
        </w:tc>
      </w:tr>
      <w:tr>
        <w:trPr/>
        <w:tc>
          <w:tcPr>
            <w:tcW w:w="3965" w:type="dxa"/>
            <w:tcBorders/>
            <w:shd w:fill="auto" w:val="clear"/>
            <w:vAlign w:val="bottom"/>
          </w:tcPr>
          <w:p>
            <w:pPr>
              <w:pStyle w:val="TableHeading"/>
              <w:spacing w:before="0" w:after="283"/>
              <w:jc w:val="left"/>
              <w:rPr/>
            </w:pPr>
            <w:r>
              <w:rPr/>
              <w:t> </w:t>
            </w:r>
          </w:p>
        </w:tc>
        <w:tc>
          <w:tcPr>
            <w:tcW w:w="172" w:type="dxa"/>
            <w:tcBorders/>
            <w:shd w:fill="auto" w:val="clear"/>
            <w:vAlign w:val="bottom"/>
          </w:tcPr>
          <w:p>
            <w:pPr>
              <w:pStyle w:val="TableHeading"/>
              <w:suppressLineNumbers/>
              <w:spacing w:before="0" w:after="283"/>
              <w:jc w:val="center"/>
              <w:rPr/>
            </w:pPr>
            <w:r>
              <w:rPr/>
              <w:t> </w:t>
            </w:r>
          </w:p>
        </w:tc>
        <w:tc>
          <w:tcPr>
            <w:tcW w:w="1040" w:type="dxa"/>
            <w:gridSpan w:val="2"/>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2016 </w:t>
            </w:r>
          </w:p>
        </w:tc>
        <w:tc>
          <w:tcPr>
            <w:tcW w:w="172" w:type="dxa"/>
            <w:tcBorders/>
            <w:shd w:fill="auto" w:val="clear"/>
            <w:vAlign w:val="bottom"/>
          </w:tcPr>
          <w:p>
            <w:pPr>
              <w:pStyle w:val="TableHeading"/>
              <w:suppressLineNumbers/>
              <w:spacing w:before="0" w:after="283"/>
              <w:jc w:val="center"/>
              <w:rPr/>
            </w:pPr>
            <w:r>
              <w:rPr/>
              <w:t> </w:t>
            </w:r>
          </w:p>
        </w:tc>
        <w:tc>
          <w:tcPr>
            <w:tcW w:w="1040" w:type="dxa"/>
            <w:gridSpan w:val="2"/>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2017 </w:t>
            </w:r>
          </w:p>
        </w:tc>
        <w:tc>
          <w:tcPr>
            <w:tcW w:w="172" w:type="dxa"/>
            <w:tcBorders/>
            <w:shd w:fill="auto" w:val="clear"/>
            <w:vAlign w:val="bottom"/>
          </w:tcPr>
          <w:p>
            <w:pPr>
              <w:pStyle w:val="TableHeading"/>
              <w:suppressLineNumbers/>
              <w:spacing w:before="0" w:after="283"/>
              <w:jc w:val="center"/>
              <w:rPr/>
            </w:pPr>
            <w:r>
              <w:rPr/>
              <w:t> </w:t>
            </w:r>
          </w:p>
        </w:tc>
        <w:tc>
          <w:tcPr>
            <w:tcW w:w="1040" w:type="dxa"/>
            <w:gridSpan w:val="2"/>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2018 </w:t>
            </w:r>
          </w:p>
        </w:tc>
        <w:tc>
          <w:tcPr>
            <w:tcW w:w="172" w:type="dxa"/>
            <w:tcBorders/>
            <w:shd w:fill="auto" w:val="clear"/>
            <w:vAlign w:val="bottom"/>
          </w:tcPr>
          <w:p>
            <w:pPr>
              <w:pStyle w:val="TableHeading"/>
              <w:suppressLineNumbers/>
              <w:spacing w:before="0" w:after="283"/>
              <w:jc w:val="center"/>
              <w:rPr/>
            </w:pPr>
            <w:r>
              <w:rPr/>
              <w:t> </w:t>
            </w:r>
          </w:p>
        </w:tc>
        <w:tc>
          <w:tcPr>
            <w:tcW w:w="1042" w:type="dxa"/>
            <w:gridSpan w:val="2"/>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2019 </w:t>
            </w:r>
          </w:p>
        </w:tc>
        <w:tc>
          <w:tcPr>
            <w:tcW w:w="172" w:type="dxa"/>
            <w:tcBorders/>
            <w:shd w:fill="auto" w:val="clear"/>
            <w:vAlign w:val="bottom"/>
          </w:tcPr>
          <w:p>
            <w:pPr>
              <w:pStyle w:val="TableHeading"/>
              <w:suppressLineNumbers/>
              <w:spacing w:before="0" w:after="283"/>
              <w:jc w:val="center"/>
              <w:rPr/>
            </w:pPr>
            <w:r>
              <w:rPr/>
              <w:t> </w:t>
            </w:r>
          </w:p>
        </w:tc>
        <w:tc>
          <w:tcPr>
            <w:tcW w:w="1040" w:type="dxa"/>
            <w:gridSpan w:val="2"/>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2020 </w:t>
            </w:r>
          </w:p>
        </w:tc>
        <w:tc>
          <w:tcPr>
            <w:tcW w:w="178" w:type="dxa"/>
            <w:tcBorders/>
            <w:shd w:fill="auto" w:val="clear"/>
            <w:vAlign w:val="bottom"/>
          </w:tcPr>
          <w:p>
            <w:pPr>
              <w:pStyle w:val="TableHeading"/>
              <w:suppressLineNumbers/>
              <w:spacing w:before="0" w:after="283"/>
              <w:jc w:val="center"/>
              <w:rPr/>
            </w:pPr>
            <w:r>
              <w:rPr/>
              <w:t> </w:t>
            </w:r>
          </w:p>
        </w:tc>
      </w:tr>
      <w:tr>
        <w:trPr/>
        <w:tc>
          <w:tcPr>
            <w:tcW w:w="3965" w:type="dxa"/>
            <w:tcBorders/>
            <w:shd w:fill="auto" w:val="clear"/>
            <w:vAlign w:val="bottom"/>
          </w:tcPr>
          <w:p>
            <w:pPr>
              <w:pStyle w:val="TableHeading"/>
              <w:spacing w:before="0" w:after="283"/>
              <w:jc w:val="left"/>
              <w:rPr/>
            </w:pPr>
            <w:r>
              <w:rPr/>
              <w:t> </w:t>
            </w:r>
          </w:p>
        </w:tc>
        <w:tc>
          <w:tcPr>
            <w:tcW w:w="172" w:type="dxa"/>
            <w:tcBorders/>
            <w:shd w:fill="auto" w:val="clear"/>
            <w:vAlign w:val="bottom"/>
          </w:tcPr>
          <w:p>
            <w:pPr>
              <w:pStyle w:val="TableHeading"/>
              <w:suppressLineNumbers/>
              <w:spacing w:before="0" w:after="283"/>
              <w:jc w:val="center"/>
              <w:rPr/>
            </w:pPr>
            <w:r>
              <w:rPr/>
              <w:t> </w:t>
            </w:r>
          </w:p>
        </w:tc>
        <w:tc>
          <w:tcPr>
            <w:tcW w:w="1040" w:type="dxa"/>
            <w:gridSpan w:val="2"/>
            <w:tcBorders/>
            <w:shd w:fill="auto" w:val="clear"/>
            <w:vAlign w:val="bottom"/>
          </w:tcPr>
          <w:p>
            <w:pPr>
              <w:pStyle w:val="TableHeading"/>
              <w:spacing w:before="0" w:after="283"/>
              <w:jc w:val="left"/>
              <w:rPr/>
            </w:pPr>
            <w:r>
              <w:rPr/>
              <w:t> </w:t>
            </w:r>
          </w:p>
        </w:tc>
        <w:tc>
          <w:tcPr>
            <w:tcW w:w="172" w:type="dxa"/>
            <w:tcBorders/>
            <w:shd w:fill="auto" w:val="clear"/>
            <w:vAlign w:val="bottom"/>
          </w:tcPr>
          <w:p>
            <w:pPr>
              <w:pStyle w:val="TableHeading"/>
              <w:suppressLineNumbers/>
              <w:spacing w:before="0" w:after="283"/>
              <w:jc w:val="center"/>
              <w:rPr/>
            </w:pPr>
            <w:r>
              <w:rPr/>
              <w:t> </w:t>
            </w:r>
          </w:p>
        </w:tc>
        <w:tc>
          <w:tcPr>
            <w:tcW w:w="3466" w:type="dxa"/>
            <w:gridSpan w:val="8"/>
            <w:tcBorders/>
            <w:shd w:fill="auto" w:val="clear"/>
            <w:vAlign w:val="bottom"/>
          </w:tcPr>
          <w:p>
            <w:pPr>
              <w:pStyle w:val="TableHeading"/>
              <w:spacing w:before="0" w:after="283"/>
              <w:jc w:val="center"/>
              <w:rPr>
                <w:rFonts w:ascii="times" w:hAnsi="times"/>
                <w:b/>
                <w:sz w:val="14"/>
              </w:rPr>
            </w:pPr>
            <w:r>
              <w:rPr>
                <w:rFonts w:ascii="times" w:hAnsi="times"/>
                <w:b/>
                <w:sz w:val="14"/>
              </w:rPr>
              <w:t>(in thousands of U.S. dollars)</w:t>
            </w:r>
          </w:p>
        </w:tc>
        <w:tc>
          <w:tcPr>
            <w:tcW w:w="172" w:type="dxa"/>
            <w:tcBorders/>
            <w:shd w:fill="auto" w:val="clear"/>
            <w:vAlign w:val="bottom"/>
          </w:tcPr>
          <w:p>
            <w:pPr>
              <w:pStyle w:val="TableHeading"/>
              <w:suppressLineNumbers/>
              <w:spacing w:before="0" w:after="283"/>
              <w:jc w:val="center"/>
              <w:rPr/>
            </w:pPr>
            <w:r>
              <w:rPr/>
              <w:t> </w:t>
            </w:r>
          </w:p>
        </w:tc>
        <w:tc>
          <w:tcPr>
            <w:tcW w:w="1040" w:type="dxa"/>
            <w:gridSpan w:val="2"/>
            <w:tcBorders/>
            <w:shd w:fill="auto" w:val="clear"/>
            <w:vAlign w:val="bottom"/>
          </w:tcPr>
          <w:p>
            <w:pPr>
              <w:pStyle w:val="TableHeading"/>
              <w:spacing w:before="0" w:after="283"/>
              <w:jc w:val="left"/>
              <w:rPr/>
            </w:pPr>
            <w:r>
              <w:rPr/>
              <w:t> </w:t>
            </w:r>
          </w:p>
        </w:tc>
        <w:tc>
          <w:tcPr>
            <w:tcW w:w="178" w:type="dxa"/>
            <w:tcBorders/>
            <w:shd w:fill="auto" w:val="clear"/>
            <w:vAlign w:val="bottom"/>
          </w:tcPr>
          <w:p>
            <w:pPr>
              <w:pStyle w:val="TableHeading"/>
              <w:suppressLineNumbers/>
              <w:spacing w:before="0" w:after="283"/>
              <w:jc w:val="center"/>
              <w:rPr/>
            </w:pPr>
            <w:r>
              <w:rPr/>
              <w:t> </w:t>
            </w:r>
          </w:p>
        </w:tc>
      </w:tr>
      <w:tr>
        <w:trPr/>
        <w:tc>
          <w:tcPr>
            <w:tcW w:w="3965" w:type="dxa"/>
            <w:tcBorders/>
            <w:shd w:fill="auto" w:val="clear"/>
            <w:vAlign w:val="bottom"/>
          </w:tcPr>
          <w:p>
            <w:pPr>
              <w:pStyle w:val="TableContents"/>
              <w:spacing w:before="0" w:after="283"/>
              <w:ind w:left="160" w:right="0" w:hanging="160"/>
              <w:rPr>
                <w:rFonts w:ascii="times" w:hAnsi="times"/>
                <w:b/>
                <w:sz w:val="14"/>
              </w:rPr>
            </w:pPr>
            <w:r>
              <w:rPr>
                <w:rFonts w:ascii="times" w:hAnsi="times"/>
                <w:b/>
                <w:sz w:val="14"/>
              </w:rPr>
              <w:t>PARTNERSHIP PERFORMANCE STATEMENT OF PROFIT OR LOSS</w:t>
            </w:r>
          </w:p>
        </w:tc>
        <w:tc>
          <w:tcPr>
            <w:tcW w:w="172"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945" w:type="dxa"/>
            <w:tcBorders/>
            <w:shd w:fill="auto" w:val="clear"/>
            <w:vAlign w:val="bottom"/>
          </w:tcPr>
          <w:p>
            <w:pPr>
              <w:pStyle w:val="TableContents"/>
              <w:spacing w:before="0" w:after="283"/>
              <w:jc w:val="right"/>
              <w:rPr/>
            </w:pPr>
            <w:r>
              <w:rPr/>
              <w:t> </w:t>
            </w:r>
          </w:p>
        </w:tc>
        <w:tc>
          <w:tcPr>
            <w:tcW w:w="172"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945" w:type="dxa"/>
            <w:tcBorders/>
            <w:shd w:fill="auto" w:val="clear"/>
            <w:vAlign w:val="bottom"/>
          </w:tcPr>
          <w:p>
            <w:pPr>
              <w:pStyle w:val="TableContents"/>
              <w:spacing w:before="0" w:after="283"/>
              <w:jc w:val="right"/>
              <w:rPr/>
            </w:pPr>
            <w:r>
              <w:rPr/>
              <w:t> </w:t>
            </w:r>
          </w:p>
        </w:tc>
        <w:tc>
          <w:tcPr>
            <w:tcW w:w="172"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945" w:type="dxa"/>
            <w:tcBorders/>
            <w:shd w:fill="auto" w:val="clear"/>
            <w:vAlign w:val="bottom"/>
          </w:tcPr>
          <w:p>
            <w:pPr>
              <w:pStyle w:val="TableContents"/>
              <w:spacing w:before="0" w:after="283"/>
              <w:jc w:val="right"/>
              <w:rPr/>
            </w:pPr>
            <w:r>
              <w:rPr/>
              <w:t> </w:t>
            </w:r>
          </w:p>
        </w:tc>
        <w:tc>
          <w:tcPr>
            <w:tcW w:w="172"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947" w:type="dxa"/>
            <w:tcBorders/>
            <w:shd w:fill="auto" w:val="clear"/>
            <w:vAlign w:val="bottom"/>
          </w:tcPr>
          <w:p>
            <w:pPr>
              <w:pStyle w:val="TableContents"/>
              <w:spacing w:before="0" w:after="283"/>
              <w:jc w:val="right"/>
              <w:rPr/>
            </w:pPr>
            <w:r>
              <w:rPr/>
              <w:t> </w:t>
            </w:r>
          </w:p>
        </w:tc>
        <w:tc>
          <w:tcPr>
            <w:tcW w:w="172"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945" w:type="dxa"/>
            <w:tcBorders/>
            <w:shd w:fill="auto" w:val="clear"/>
            <w:vAlign w:val="bottom"/>
          </w:tcPr>
          <w:p>
            <w:pPr>
              <w:pStyle w:val="TableContents"/>
              <w:spacing w:before="0" w:after="283"/>
              <w:jc w:val="right"/>
              <w:rPr/>
            </w:pPr>
            <w:r>
              <w:rPr/>
              <w:t> </w:t>
            </w:r>
          </w:p>
        </w:tc>
        <w:tc>
          <w:tcPr>
            <w:tcW w:w="178" w:type="dxa"/>
            <w:tcBorders/>
            <w:shd w:fill="auto" w:val="clear"/>
            <w:vAlign w:val="bottom"/>
          </w:tcPr>
          <w:p>
            <w:pPr>
              <w:pStyle w:val="TableContents"/>
              <w:spacing w:before="0" w:after="283"/>
              <w:rPr/>
            </w:pPr>
            <w:r>
              <w:rPr/>
              <w:t> </w:t>
            </w:r>
          </w:p>
        </w:tc>
      </w:tr>
      <w:tr>
        <w:trPr/>
        <w:tc>
          <w:tcPr>
            <w:tcW w:w="3965" w:type="dxa"/>
            <w:tcBorders/>
            <w:shd w:fill="auto" w:val="clear"/>
            <w:vAlign w:val="bottom"/>
          </w:tcPr>
          <w:p>
            <w:pPr>
              <w:pStyle w:val="TableContents"/>
              <w:spacing w:before="0" w:after="283"/>
              <w:ind w:left="160" w:right="0" w:hanging="160"/>
              <w:rPr>
                <w:rFonts w:ascii="times" w:hAnsi="times"/>
                <w:sz w:val="14"/>
              </w:rPr>
            </w:pPr>
            <w:r>
              <w:rPr>
                <w:rFonts w:ascii="times" w:hAnsi="times"/>
                <w:sz w:val="14"/>
              </w:rPr>
              <w:t>Revenues</w:t>
            </w:r>
            <w:r>
              <w:rPr>
                <w:rFonts w:ascii="times" w:hAnsi="times"/>
                <w:position w:val="5"/>
                <w:sz w:val="11"/>
                <w:sz w:val="14"/>
              </w:rPr>
              <w:t>(5)</w:t>
            </w:r>
          </w:p>
        </w:tc>
        <w:tc>
          <w:tcPr>
            <w:tcW w:w="172"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rFonts w:ascii="times" w:hAnsi="times"/>
                <w:sz w:val="14"/>
              </w:rPr>
            </w:pPr>
            <w:r>
              <w:rPr>
                <w:rFonts w:ascii="times" w:hAnsi="times"/>
                <w:sz w:val="14"/>
              </w:rPr>
              <w:t>$</w:t>
            </w:r>
          </w:p>
        </w:tc>
        <w:tc>
          <w:tcPr>
            <w:tcW w:w="945" w:type="dxa"/>
            <w:tcBorders/>
            <w:shd w:fill="auto" w:val="clear"/>
            <w:vAlign w:val="bottom"/>
          </w:tcPr>
          <w:p>
            <w:pPr>
              <w:pStyle w:val="TableContents"/>
              <w:spacing w:before="0" w:after="283"/>
              <w:jc w:val="right"/>
              <w:rPr>
                <w:rFonts w:ascii="times" w:hAnsi="times"/>
                <w:sz w:val="14"/>
              </w:rPr>
            </w:pPr>
            <w:r>
              <w:rPr>
                <w:rFonts w:ascii="times" w:hAnsi="times"/>
                <w:sz w:val="14"/>
              </w:rPr>
              <w:t>206,424</w:t>
            </w:r>
          </w:p>
        </w:tc>
        <w:tc>
          <w:tcPr>
            <w:tcW w:w="172"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rFonts w:ascii="times" w:hAnsi="times"/>
                <w:sz w:val="14"/>
              </w:rPr>
            </w:pPr>
            <w:r>
              <w:rPr>
                <w:rFonts w:ascii="times" w:hAnsi="times"/>
                <w:sz w:val="14"/>
              </w:rPr>
              <w:t>$</w:t>
            </w:r>
          </w:p>
        </w:tc>
        <w:tc>
          <w:tcPr>
            <w:tcW w:w="945" w:type="dxa"/>
            <w:tcBorders/>
            <w:shd w:fill="auto" w:val="clear"/>
            <w:vAlign w:val="bottom"/>
          </w:tcPr>
          <w:p>
            <w:pPr>
              <w:pStyle w:val="TableContents"/>
              <w:spacing w:before="0" w:after="283"/>
              <w:jc w:val="right"/>
              <w:rPr>
                <w:rFonts w:ascii="times" w:hAnsi="times"/>
                <w:sz w:val="14"/>
              </w:rPr>
            </w:pPr>
            <w:r>
              <w:rPr>
                <w:rFonts w:ascii="times" w:hAnsi="times"/>
                <w:sz w:val="14"/>
              </w:rPr>
              <w:t>269,071</w:t>
            </w:r>
          </w:p>
        </w:tc>
        <w:tc>
          <w:tcPr>
            <w:tcW w:w="172"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rFonts w:ascii="times" w:hAnsi="times"/>
                <w:sz w:val="14"/>
              </w:rPr>
            </w:pPr>
            <w:r>
              <w:rPr>
                <w:rFonts w:ascii="times" w:hAnsi="times"/>
                <w:sz w:val="14"/>
              </w:rPr>
              <w:t>$</w:t>
            </w:r>
          </w:p>
        </w:tc>
        <w:tc>
          <w:tcPr>
            <w:tcW w:w="945" w:type="dxa"/>
            <w:tcBorders/>
            <w:shd w:fill="auto" w:val="clear"/>
            <w:vAlign w:val="bottom"/>
          </w:tcPr>
          <w:p>
            <w:pPr>
              <w:pStyle w:val="TableContents"/>
              <w:spacing w:before="0" w:after="283"/>
              <w:jc w:val="right"/>
              <w:rPr>
                <w:rFonts w:ascii="times" w:hAnsi="times"/>
                <w:sz w:val="14"/>
              </w:rPr>
            </w:pPr>
            <w:r>
              <w:rPr>
                <w:rFonts w:ascii="times" w:hAnsi="times"/>
                <w:sz w:val="14"/>
              </w:rPr>
              <w:t>316,991</w:t>
            </w:r>
          </w:p>
        </w:tc>
        <w:tc>
          <w:tcPr>
            <w:tcW w:w="172"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rFonts w:ascii="times" w:hAnsi="times"/>
                <w:sz w:val="14"/>
              </w:rPr>
            </w:pPr>
            <w:r>
              <w:rPr>
                <w:rFonts w:ascii="times" w:hAnsi="times"/>
                <w:sz w:val="14"/>
              </w:rPr>
              <w:t>$</w:t>
            </w:r>
          </w:p>
        </w:tc>
        <w:tc>
          <w:tcPr>
            <w:tcW w:w="947" w:type="dxa"/>
            <w:tcBorders/>
            <w:shd w:fill="auto" w:val="clear"/>
            <w:vAlign w:val="bottom"/>
          </w:tcPr>
          <w:p>
            <w:pPr>
              <w:pStyle w:val="TableContents"/>
              <w:spacing w:before="0" w:after="283"/>
              <w:jc w:val="right"/>
              <w:rPr>
                <w:rFonts w:ascii="times" w:hAnsi="times"/>
                <w:sz w:val="14"/>
              </w:rPr>
            </w:pPr>
            <w:r>
              <w:rPr>
                <w:rFonts w:ascii="times" w:hAnsi="times"/>
                <w:sz w:val="14"/>
              </w:rPr>
              <w:t>371,127</w:t>
            </w:r>
          </w:p>
        </w:tc>
        <w:tc>
          <w:tcPr>
            <w:tcW w:w="172"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rFonts w:ascii="times" w:hAnsi="times"/>
                <w:sz w:val="14"/>
              </w:rPr>
            </w:pPr>
            <w:r>
              <w:rPr>
                <w:rFonts w:ascii="times" w:hAnsi="times"/>
                <w:sz w:val="14"/>
              </w:rPr>
              <w:t>$</w:t>
            </w:r>
          </w:p>
        </w:tc>
        <w:tc>
          <w:tcPr>
            <w:tcW w:w="945" w:type="dxa"/>
            <w:tcBorders/>
            <w:shd w:fill="auto" w:val="clear"/>
            <w:vAlign w:val="bottom"/>
          </w:tcPr>
          <w:p>
            <w:pPr>
              <w:pStyle w:val="TableContents"/>
              <w:spacing w:before="0" w:after="283"/>
              <w:jc w:val="right"/>
              <w:rPr>
                <w:rFonts w:ascii="times" w:hAnsi="times"/>
                <w:sz w:val="14"/>
              </w:rPr>
            </w:pPr>
            <w:r>
              <w:rPr>
                <w:rFonts w:ascii="times" w:hAnsi="times"/>
                <w:sz w:val="14"/>
              </w:rPr>
              <w:t>333,662</w:t>
            </w:r>
          </w:p>
        </w:tc>
        <w:tc>
          <w:tcPr>
            <w:tcW w:w="178" w:type="dxa"/>
            <w:tcBorders/>
            <w:shd w:fill="auto" w:val="clear"/>
            <w:vAlign w:val="bottom"/>
          </w:tcPr>
          <w:p>
            <w:pPr>
              <w:pStyle w:val="TableContents"/>
              <w:spacing w:before="0" w:after="283"/>
              <w:rPr/>
            </w:pPr>
            <w:r>
              <w:rPr/>
              <w:t> </w:t>
            </w:r>
          </w:p>
        </w:tc>
      </w:tr>
      <w:tr>
        <w:trPr/>
        <w:tc>
          <w:tcPr>
            <w:tcW w:w="3965" w:type="dxa"/>
            <w:tcBorders/>
            <w:shd w:fill="auto" w:val="clear"/>
            <w:vAlign w:val="bottom"/>
          </w:tcPr>
          <w:p>
            <w:pPr>
              <w:pStyle w:val="TableContents"/>
              <w:spacing w:before="0" w:after="283"/>
              <w:ind w:left="160" w:right="0" w:hanging="160"/>
              <w:rPr>
                <w:rFonts w:ascii="times" w:hAnsi="times"/>
                <w:sz w:val="14"/>
              </w:rPr>
            </w:pPr>
            <w:r>
              <w:rPr>
                <w:rFonts w:ascii="times" w:hAnsi="times"/>
                <w:sz w:val="14"/>
              </w:rPr>
              <w:t>Net pool allocation</w:t>
            </w:r>
            <w:r>
              <w:rPr>
                <w:rFonts w:ascii="times" w:hAnsi="times"/>
                <w:position w:val="5"/>
                <w:sz w:val="11"/>
                <w:sz w:val="14"/>
              </w:rPr>
              <w:t>(5)</w:t>
            </w:r>
          </w:p>
        </w:tc>
        <w:tc>
          <w:tcPr>
            <w:tcW w:w="172"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945" w:type="dxa"/>
            <w:tcBorders/>
            <w:shd w:fill="auto" w:val="clear"/>
            <w:vAlign w:val="bottom"/>
          </w:tcPr>
          <w:p>
            <w:pPr>
              <w:pStyle w:val="TableContents"/>
              <w:spacing w:before="0" w:after="283"/>
              <w:jc w:val="right"/>
              <w:rPr>
                <w:rFonts w:ascii="times" w:hAnsi="times"/>
                <w:sz w:val="14"/>
              </w:rPr>
            </w:pPr>
            <w:r>
              <w:rPr>
                <w:rFonts w:ascii="times" w:hAnsi="times"/>
                <w:sz w:val="14"/>
              </w:rPr>
              <w:t></w:t>
            </w:r>
          </w:p>
        </w:tc>
        <w:tc>
          <w:tcPr>
            <w:tcW w:w="172"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945" w:type="dxa"/>
            <w:tcBorders/>
            <w:shd w:fill="auto" w:val="clear"/>
            <w:vAlign w:val="bottom"/>
          </w:tcPr>
          <w:p>
            <w:pPr>
              <w:pStyle w:val="TableContents"/>
              <w:spacing w:before="0" w:after="283"/>
              <w:jc w:val="right"/>
              <w:rPr>
                <w:rFonts w:ascii="times" w:hAnsi="times"/>
                <w:sz w:val="14"/>
              </w:rPr>
            </w:pPr>
            <w:r>
              <w:rPr>
                <w:rFonts w:ascii="times" w:hAnsi="times"/>
                <w:sz w:val="14"/>
              </w:rPr>
              <w:t></w:t>
            </w:r>
          </w:p>
        </w:tc>
        <w:tc>
          <w:tcPr>
            <w:tcW w:w="172"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945" w:type="dxa"/>
            <w:tcBorders/>
            <w:shd w:fill="auto" w:val="clear"/>
            <w:vAlign w:val="bottom"/>
          </w:tcPr>
          <w:p>
            <w:pPr>
              <w:pStyle w:val="TableContents"/>
              <w:spacing w:before="0" w:after="283"/>
              <w:jc w:val="right"/>
              <w:rPr>
                <w:rFonts w:ascii="times" w:hAnsi="times"/>
                <w:sz w:val="14"/>
              </w:rPr>
            </w:pPr>
            <w:r>
              <w:rPr>
                <w:rFonts w:ascii="times" w:hAnsi="times"/>
                <w:sz w:val="14"/>
              </w:rPr>
              <w:t>3,700</w:t>
            </w:r>
          </w:p>
        </w:tc>
        <w:tc>
          <w:tcPr>
            <w:tcW w:w="172"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947" w:type="dxa"/>
            <w:tcBorders/>
            <w:shd w:fill="auto" w:val="clear"/>
            <w:vAlign w:val="bottom"/>
          </w:tcPr>
          <w:p>
            <w:pPr>
              <w:pStyle w:val="TableContents"/>
              <w:spacing w:before="0" w:after="283"/>
              <w:jc w:val="right"/>
              <w:rPr>
                <w:rFonts w:ascii="times" w:hAnsi="times"/>
                <w:sz w:val="14"/>
              </w:rPr>
            </w:pPr>
            <w:r>
              <w:rPr>
                <w:rFonts w:ascii="times" w:hAnsi="times"/>
                <w:sz w:val="14"/>
              </w:rPr>
              <w:t>1,058</w:t>
            </w:r>
          </w:p>
        </w:tc>
        <w:tc>
          <w:tcPr>
            <w:tcW w:w="172"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945" w:type="dxa"/>
            <w:tcBorders/>
            <w:shd w:fill="auto" w:val="clear"/>
            <w:vAlign w:val="bottom"/>
          </w:tcPr>
          <w:p>
            <w:pPr>
              <w:pStyle w:val="TableContents"/>
              <w:spacing w:before="0" w:after="283"/>
              <w:jc w:val="right"/>
              <w:rPr>
                <w:rFonts w:ascii="times" w:hAnsi="times"/>
                <w:sz w:val="14"/>
              </w:rPr>
            </w:pPr>
            <w:r>
              <w:rPr>
                <w:rFonts w:ascii="times" w:hAnsi="times"/>
                <w:sz w:val="14"/>
              </w:rPr>
              <w:t></w:t>
            </w:r>
          </w:p>
        </w:tc>
        <w:tc>
          <w:tcPr>
            <w:tcW w:w="178" w:type="dxa"/>
            <w:tcBorders/>
            <w:shd w:fill="auto" w:val="clear"/>
            <w:vAlign w:val="bottom"/>
          </w:tcPr>
          <w:p>
            <w:pPr>
              <w:pStyle w:val="TableContents"/>
              <w:spacing w:before="0" w:after="283"/>
              <w:rPr/>
            </w:pPr>
            <w:r>
              <w:rPr/>
              <w:t> </w:t>
            </w:r>
          </w:p>
        </w:tc>
      </w:tr>
      <w:tr>
        <w:trPr/>
        <w:tc>
          <w:tcPr>
            <w:tcW w:w="3965" w:type="dxa"/>
            <w:tcBorders/>
            <w:shd w:fill="auto" w:val="clear"/>
            <w:vAlign w:val="bottom"/>
          </w:tcPr>
          <w:p>
            <w:pPr>
              <w:pStyle w:val="TableContents"/>
              <w:spacing w:before="0" w:after="283"/>
              <w:ind w:left="160" w:right="0" w:hanging="160"/>
              <w:rPr>
                <w:rFonts w:ascii="times" w:hAnsi="times"/>
                <w:sz w:val="14"/>
              </w:rPr>
            </w:pPr>
            <w:r>
              <w:rPr>
                <w:rFonts w:ascii="times" w:hAnsi="times"/>
                <w:sz w:val="14"/>
              </w:rPr>
              <w:t>Voyage expenses and commissions</w:t>
            </w:r>
            <w:r>
              <w:rPr>
                <w:rFonts w:ascii="times" w:hAnsi="times"/>
                <w:position w:val="5"/>
                <w:sz w:val="11"/>
                <w:sz w:val="14"/>
              </w:rPr>
              <w:t>(5)</w:t>
            </w:r>
          </w:p>
        </w:tc>
        <w:tc>
          <w:tcPr>
            <w:tcW w:w="172"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945" w:type="dxa"/>
            <w:tcBorders/>
            <w:shd w:fill="auto" w:val="clear"/>
            <w:vAlign w:val="bottom"/>
          </w:tcPr>
          <w:p>
            <w:pPr>
              <w:pStyle w:val="TableContents"/>
              <w:spacing w:before="0" w:after="283"/>
              <w:jc w:val="right"/>
              <w:rPr>
                <w:rFonts w:ascii="times" w:hAnsi="times"/>
                <w:sz w:val="14"/>
              </w:rPr>
            </w:pPr>
            <w:r>
              <w:rPr>
                <w:rFonts w:ascii="times" w:hAnsi="times"/>
                <w:sz w:val="14"/>
              </w:rPr>
              <w:t>(2,841</w:t>
            </w:r>
          </w:p>
        </w:tc>
        <w:tc>
          <w:tcPr>
            <w:tcW w:w="172" w:type="dxa"/>
            <w:tcBorders/>
            <w:shd w:fill="auto" w:val="clear"/>
            <w:vAlign w:val="bottom"/>
          </w:tcPr>
          <w:p>
            <w:pPr>
              <w:pStyle w:val="TableContents"/>
              <w:spacing w:before="0" w:after="283"/>
              <w:rPr>
                <w:rFonts w:ascii="times" w:hAnsi="times"/>
                <w:sz w:val="14"/>
              </w:rPr>
            </w:pPr>
            <w:r>
              <w:rPr>
                <w:rFonts w:ascii="times" w:hAnsi="times"/>
                <w:sz w:val="14"/>
              </w:rPr>
              <w:t>)</w:t>
            </w:r>
          </w:p>
        </w:tc>
        <w:tc>
          <w:tcPr>
            <w:tcW w:w="95" w:type="dxa"/>
            <w:tcBorders/>
            <w:shd w:fill="auto" w:val="clear"/>
            <w:vAlign w:val="bottom"/>
          </w:tcPr>
          <w:p>
            <w:pPr>
              <w:pStyle w:val="TableContents"/>
              <w:spacing w:before="0" w:after="283"/>
              <w:rPr/>
            </w:pPr>
            <w:r>
              <w:rPr/>
              <w:t> </w:t>
            </w:r>
          </w:p>
        </w:tc>
        <w:tc>
          <w:tcPr>
            <w:tcW w:w="945" w:type="dxa"/>
            <w:tcBorders/>
            <w:shd w:fill="auto" w:val="clear"/>
            <w:vAlign w:val="bottom"/>
          </w:tcPr>
          <w:p>
            <w:pPr>
              <w:pStyle w:val="TableContents"/>
              <w:spacing w:before="0" w:after="283"/>
              <w:jc w:val="right"/>
              <w:rPr>
                <w:rFonts w:ascii="times" w:hAnsi="times"/>
                <w:sz w:val="14"/>
              </w:rPr>
            </w:pPr>
            <w:r>
              <w:rPr>
                <w:rFonts w:ascii="times" w:hAnsi="times"/>
                <w:sz w:val="14"/>
              </w:rPr>
              <w:t>(3,377</w:t>
            </w:r>
          </w:p>
        </w:tc>
        <w:tc>
          <w:tcPr>
            <w:tcW w:w="172" w:type="dxa"/>
            <w:tcBorders/>
            <w:shd w:fill="auto" w:val="clear"/>
            <w:vAlign w:val="bottom"/>
          </w:tcPr>
          <w:p>
            <w:pPr>
              <w:pStyle w:val="TableContents"/>
              <w:spacing w:before="0" w:after="283"/>
              <w:rPr>
                <w:rFonts w:ascii="times" w:hAnsi="times"/>
                <w:sz w:val="14"/>
              </w:rPr>
            </w:pPr>
            <w:r>
              <w:rPr>
                <w:rFonts w:ascii="times" w:hAnsi="times"/>
                <w:sz w:val="14"/>
              </w:rPr>
              <w:t>)</w:t>
            </w:r>
          </w:p>
        </w:tc>
        <w:tc>
          <w:tcPr>
            <w:tcW w:w="95" w:type="dxa"/>
            <w:tcBorders/>
            <w:shd w:fill="auto" w:val="clear"/>
            <w:vAlign w:val="bottom"/>
          </w:tcPr>
          <w:p>
            <w:pPr>
              <w:pStyle w:val="TableContents"/>
              <w:spacing w:before="0" w:after="283"/>
              <w:rPr/>
            </w:pPr>
            <w:r>
              <w:rPr/>
              <w:t> </w:t>
            </w:r>
          </w:p>
        </w:tc>
        <w:tc>
          <w:tcPr>
            <w:tcW w:w="945" w:type="dxa"/>
            <w:tcBorders/>
            <w:shd w:fill="auto" w:val="clear"/>
            <w:vAlign w:val="bottom"/>
          </w:tcPr>
          <w:p>
            <w:pPr>
              <w:pStyle w:val="TableContents"/>
              <w:spacing w:before="0" w:after="283"/>
              <w:jc w:val="right"/>
              <w:rPr>
                <w:rFonts w:ascii="times" w:hAnsi="times"/>
                <w:sz w:val="14"/>
              </w:rPr>
            </w:pPr>
            <w:r>
              <w:rPr>
                <w:rFonts w:ascii="times" w:hAnsi="times"/>
                <w:sz w:val="14"/>
              </w:rPr>
              <w:t>(6,678</w:t>
            </w:r>
          </w:p>
        </w:tc>
        <w:tc>
          <w:tcPr>
            <w:tcW w:w="172" w:type="dxa"/>
            <w:tcBorders/>
            <w:shd w:fill="auto" w:val="clear"/>
            <w:vAlign w:val="bottom"/>
          </w:tcPr>
          <w:p>
            <w:pPr>
              <w:pStyle w:val="TableContents"/>
              <w:spacing w:before="0" w:after="283"/>
              <w:rPr>
                <w:rFonts w:ascii="times" w:hAnsi="times"/>
                <w:sz w:val="14"/>
              </w:rPr>
            </w:pPr>
            <w:r>
              <w:rPr>
                <w:rFonts w:ascii="times" w:hAnsi="times"/>
                <w:sz w:val="14"/>
              </w:rPr>
              <w:t>)</w:t>
            </w:r>
          </w:p>
        </w:tc>
        <w:tc>
          <w:tcPr>
            <w:tcW w:w="95" w:type="dxa"/>
            <w:tcBorders/>
            <w:shd w:fill="auto" w:val="clear"/>
            <w:vAlign w:val="bottom"/>
          </w:tcPr>
          <w:p>
            <w:pPr>
              <w:pStyle w:val="TableContents"/>
              <w:spacing w:before="0" w:after="283"/>
              <w:rPr/>
            </w:pPr>
            <w:r>
              <w:rPr/>
              <w:t> </w:t>
            </w:r>
          </w:p>
        </w:tc>
        <w:tc>
          <w:tcPr>
            <w:tcW w:w="947" w:type="dxa"/>
            <w:tcBorders/>
            <w:shd w:fill="auto" w:val="clear"/>
            <w:vAlign w:val="bottom"/>
          </w:tcPr>
          <w:p>
            <w:pPr>
              <w:pStyle w:val="TableContents"/>
              <w:spacing w:before="0" w:after="283"/>
              <w:jc w:val="right"/>
              <w:rPr>
                <w:rFonts w:ascii="times" w:hAnsi="times"/>
                <w:sz w:val="14"/>
              </w:rPr>
            </w:pPr>
            <w:r>
              <w:rPr>
                <w:rFonts w:ascii="times" w:hAnsi="times"/>
                <w:sz w:val="14"/>
              </w:rPr>
              <w:t>(7,213</w:t>
            </w:r>
          </w:p>
        </w:tc>
        <w:tc>
          <w:tcPr>
            <w:tcW w:w="172" w:type="dxa"/>
            <w:tcBorders/>
            <w:shd w:fill="auto" w:val="clear"/>
            <w:vAlign w:val="bottom"/>
          </w:tcPr>
          <w:p>
            <w:pPr>
              <w:pStyle w:val="TableContents"/>
              <w:spacing w:before="0" w:after="283"/>
              <w:rPr>
                <w:rFonts w:ascii="times" w:hAnsi="times"/>
                <w:sz w:val="14"/>
              </w:rPr>
            </w:pPr>
            <w:r>
              <w:rPr>
                <w:rFonts w:ascii="times" w:hAnsi="times"/>
                <w:sz w:val="14"/>
              </w:rPr>
              <w:t>)</w:t>
            </w:r>
          </w:p>
        </w:tc>
        <w:tc>
          <w:tcPr>
            <w:tcW w:w="95" w:type="dxa"/>
            <w:tcBorders/>
            <w:shd w:fill="auto" w:val="clear"/>
            <w:vAlign w:val="bottom"/>
          </w:tcPr>
          <w:p>
            <w:pPr>
              <w:pStyle w:val="TableContents"/>
              <w:spacing w:before="0" w:after="283"/>
              <w:rPr/>
            </w:pPr>
            <w:r>
              <w:rPr/>
              <w:t> </w:t>
            </w:r>
          </w:p>
        </w:tc>
        <w:tc>
          <w:tcPr>
            <w:tcW w:w="945" w:type="dxa"/>
            <w:tcBorders/>
            <w:shd w:fill="auto" w:val="clear"/>
            <w:vAlign w:val="bottom"/>
          </w:tcPr>
          <w:p>
            <w:pPr>
              <w:pStyle w:val="TableContents"/>
              <w:spacing w:before="0" w:after="283"/>
              <w:jc w:val="right"/>
              <w:rPr>
                <w:rFonts w:ascii="times" w:hAnsi="times"/>
                <w:sz w:val="14"/>
              </w:rPr>
            </w:pPr>
            <w:r>
              <w:rPr>
                <w:rFonts w:ascii="times" w:hAnsi="times"/>
                <w:sz w:val="14"/>
              </w:rPr>
              <w:t>(10,443</w:t>
            </w:r>
          </w:p>
        </w:tc>
        <w:tc>
          <w:tcPr>
            <w:tcW w:w="178" w:type="dxa"/>
            <w:tcBorders/>
            <w:shd w:fill="auto" w:val="clear"/>
            <w:vAlign w:val="bottom"/>
          </w:tcPr>
          <w:p>
            <w:pPr>
              <w:pStyle w:val="TableContents"/>
              <w:spacing w:before="0" w:after="283"/>
              <w:rPr>
                <w:rFonts w:ascii="times" w:hAnsi="times"/>
                <w:sz w:val="14"/>
              </w:rPr>
            </w:pPr>
            <w:r>
              <w:rPr>
                <w:rFonts w:ascii="times" w:hAnsi="times"/>
                <w:sz w:val="14"/>
              </w:rPr>
              <w:t>)</w:t>
            </w:r>
          </w:p>
        </w:tc>
      </w:tr>
      <w:tr>
        <w:trPr/>
        <w:tc>
          <w:tcPr>
            <w:tcW w:w="3965" w:type="dxa"/>
            <w:tcBorders/>
            <w:shd w:fill="auto" w:val="clear"/>
            <w:vAlign w:val="bottom"/>
          </w:tcPr>
          <w:p>
            <w:pPr>
              <w:pStyle w:val="TableContents"/>
              <w:spacing w:before="0" w:after="283"/>
              <w:ind w:left="160" w:right="0" w:hanging="160"/>
              <w:rPr>
                <w:rFonts w:ascii="times" w:hAnsi="times"/>
                <w:sz w:val="14"/>
              </w:rPr>
            </w:pPr>
            <w:r>
              <w:rPr>
                <w:rFonts w:ascii="times" w:hAnsi="times"/>
                <w:sz w:val="14"/>
              </w:rPr>
              <w:t>Vessel operating costs</w:t>
            </w:r>
            <w:r>
              <w:rPr>
                <w:rFonts w:ascii="times" w:hAnsi="times"/>
                <w:position w:val="5"/>
                <w:sz w:val="11"/>
                <w:sz w:val="14"/>
              </w:rPr>
              <w:t>(5)</w:t>
            </w:r>
          </w:p>
        </w:tc>
        <w:tc>
          <w:tcPr>
            <w:tcW w:w="172"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945" w:type="dxa"/>
            <w:tcBorders/>
            <w:shd w:fill="auto" w:val="clear"/>
            <w:vAlign w:val="bottom"/>
          </w:tcPr>
          <w:p>
            <w:pPr>
              <w:pStyle w:val="TableContents"/>
              <w:spacing w:before="0" w:after="283"/>
              <w:jc w:val="right"/>
              <w:rPr>
                <w:rFonts w:ascii="times" w:hAnsi="times"/>
                <w:sz w:val="14"/>
              </w:rPr>
            </w:pPr>
            <w:r>
              <w:rPr>
                <w:rFonts w:ascii="times" w:hAnsi="times"/>
                <w:sz w:val="14"/>
              </w:rPr>
              <w:t>(43,479</w:t>
            </w:r>
          </w:p>
        </w:tc>
        <w:tc>
          <w:tcPr>
            <w:tcW w:w="172" w:type="dxa"/>
            <w:tcBorders/>
            <w:shd w:fill="auto" w:val="clear"/>
            <w:vAlign w:val="bottom"/>
          </w:tcPr>
          <w:p>
            <w:pPr>
              <w:pStyle w:val="TableContents"/>
              <w:spacing w:before="0" w:after="283"/>
              <w:rPr>
                <w:rFonts w:ascii="times" w:hAnsi="times"/>
                <w:sz w:val="14"/>
              </w:rPr>
            </w:pPr>
            <w:r>
              <w:rPr>
                <w:rFonts w:ascii="times" w:hAnsi="times"/>
                <w:sz w:val="14"/>
              </w:rPr>
              <w:t>)</w:t>
            </w:r>
          </w:p>
        </w:tc>
        <w:tc>
          <w:tcPr>
            <w:tcW w:w="95" w:type="dxa"/>
            <w:tcBorders/>
            <w:shd w:fill="auto" w:val="clear"/>
            <w:vAlign w:val="bottom"/>
          </w:tcPr>
          <w:p>
            <w:pPr>
              <w:pStyle w:val="TableContents"/>
              <w:spacing w:before="0" w:after="283"/>
              <w:rPr/>
            </w:pPr>
            <w:r>
              <w:rPr/>
              <w:t> </w:t>
            </w:r>
          </w:p>
        </w:tc>
        <w:tc>
          <w:tcPr>
            <w:tcW w:w="945" w:type="dxa"/>
            <w:tcBorders/>
            <w:shd w:fill="auto" w:val="clear"/>
            <w:vAlign w:val="bottom"/>
          </w:tcPr>
          <w:p>
            <w:pPr>
              <w:pStyle w:val="TableContents"/>
              <w:spacing w:before="0" w:after="283"/>
              <w:jc w:val="right"/>
              <w:rPr>
                <w:rFonts w:ascii="times" w:hAnsi="times"/>
                <w:sz w:val="14"/>
              </w:rPr>
            </w:pPr>
            <w:r>
              <w:rPr>
                <w:rFonts w:ascii="times" w:hAnsi="times"/>
                <w:sz w:val="14"/>
              </w:rPr>
              <w:t>(55,692</w:t>
            </w:r>
          </w:p>
        </w:tc>
        <w:tc>
          <w:tcPr>
            <w:tcW w:w="172" w:type="dxa"/>
            <w:tcBorders/>
            <w:shd w:fill="auto" w:val="clear"/>
            <w:vAlign w:val="bottom"/>
          </w:tcPr>
          <w:p>
            <w:pPr>
              <w:pStyle w:val="TableContents"/>
              <w:spacing w:before="0" w:after="283"/>
              <w:rPr>
                <w:rFonts w:ascii="times" w:hAnsi="times"/>
                <w:sz w:val="14"/>
              </w:rPr>
            </w:pPr>
            <w:r>
              <w:rPr>
                <w:rFonts w:ascii="times" w:hAnsi="times"/>
                <w:sz w:val="14"/>
              </w:rPr>
              <w:t>)</w:t>
            </w:r>
          </w:p>
        </w:tc>
        <w:tc>
          <w:tcPr>
            <w:tcW w:w="95" w:type="dxa"/>
            <w:tcBorders/>
            <w:shd w:fill="auto" w:val="clear"/>
            <w:vAlign w:val="bottom"/>
          </w:tcPr>
          <w:p>
            <w:pPr>
              <w:pStyle w:val="TableContents"/>
              <w:spacing w:before="0" w:after="283"/>
              <w:rPr/>
            </w:pPr>
            <w:r>
              <w:rPr/>
              <w:t> </w:t>
            </w:r>
          </w:p>
        </w:tc>
        <w:tc>
          <w:tcPr>
            <w:tcW w:w="945" w:type="dxa"/>
            <w:tcBorders/>
            <w:shd w:fill="auto" w:val="clear"/>
            <w:vAlign w:val="bottom"/>
          </w:tcPr>
          <w:p>
            <w:pPr>
              <w:pStyle w:val="TableContents"/>
              <w:spacing w:before="0" w:after="283"/>
              <w:jc w:val="right"/>
              <w:rPr>
                <w:rFonts w:ascii="times" w:hAnsi="times"/>
                <w:sz w:val="14"/>
              </w:rPr>
            </w:pPr>
            <w:r>
              <w:rPr>
                <w:rFonts w:ascii="times" w:hAnsi="times"/>
                <w:sz w:val="14"/>
              </w:rPr>
              <w:t>(61,452</w:t>
            </w:r>
          </w:p>
        </w:tc>
        <w:tc>
          <w:tcPr>
            <w:tcW w:w="172" w:type="dxa"/>
            <w:tcBorders/>
            <w:shd w:fill="auto" w:val="clear"/>
            <w:vAlign w:val="bottom"/>
          </w:tcPr>
          <w:p>
            <w:pPr>
              <w:pStyle w:val="TableContents"/>
              <w:spacing w:before="0" w:after="283"/>
              <w:rPr>
                <w:rFonts w:ascii="times" w:hAnsi="times"/>
                <w:sz w:val="14"/>
              </w:rPr>
            </w:pPr>
            <w:r>
              <w:rPr>
                <w:rFonts w:ascii="times" w:hAnsi="times"/>
                <w:sz w:val="14"/>
              </w:rPr>
              <w:t>)</w:t>
            </w:r>
          </w:p>
        </w:tc>
        <w:tc>
          <w:tcPr>
            <w:tcW w:w="95" w:type="dxa"/>
            <w:tcBorders/>
            <w:shd w:fill="auto" w:val="clear"/>
            <w:vAlign w:val="bottom"/>
          </w:tcPr>
          <w:p>
            <w:pPr>
              <w:pStyle w:val="TableContents"/>
              <w:spacing w:before="0" w:after="283"/>
              <w:rPr/>
            </w:pPr>
            <w:r>
              <w:rPr/>
              <w:t> </w:t>
            </w:r>
          </w:p>
        </w:tc>
        <w:tc>
          <w:tcPr>
            <w:tcW w:w="947" w:type="dxa"/>
            <w:tcBorders/>
            <w:shd w:fill="auto" w:val="clear"/>
            <w:vAlign w:val="bottom"/>
          </w:tcPr>
          <w:p>
            <w:pPr>
              <w:pStyle w:val="TableContents"/>
              <w:spacing w:before="0" w:after="283"/>
              <w:jc w:val="right"/>
              <w:rPr>
                <w:rFonts w:ascii="times" w:hAnsi="times"/>
                <w:sz w:val="14"/>
              </w:rPr>
            </w:pPr>
            <w:r>
              <w:rPr>
                <w:rFonts w:ascii="times" w:hAnsi="times"/>
                <w:sz w:val="14"/>
              </w:rPr>
              <w:t>(75,229</w:t>
            </w:r>
          </w:p>
        </w:tc>
        <w:tc>
          <w:tcPr>
            <w:tcW w:w="172" w:type="dxa"/>
            <w:tcBorders/>
            <w:shd w:fill="auto" w:val="clear"/>
            <w:vAlign w:val="bottom"/>
          </w:tcPr>
          <w:p>
            <w:pPr>
              <w:pStyle w:val="TableContents"/>
              <w:spacing w:before="0" w:after="283"/>
              <w:rPr>
                <w:rFonts w:ascii="times" w:hAnsi="times"/>
                <w:sz w:val="14"/>
              </w:rPr>
            </w:pPr>
            <w:r>
              <w:rPr>
                <w:rFonts w:ascii="times" w:hAnsi="times"/>
                <w:sz w:val="14"/>
              </w:rPr>
              <w:t>)</w:t>
            </w:r>
          </w:p>
        </w:tc>
        <w:tc>
          <w:tcPr>
            <w:tcW w:w="95" w:type="dxa"/>
            <w:tcBorders/>
            <w:shd w:fill="auto" w:val="clear"/>
            <w:vAlign w:val="bottom"/>
          </w:tcPr>
          <w:p>
            <w:pPr>
              <w:pStyle w:val="TableContents"/>
              <w:spacing w:before="0" w:after="283"/>
              <w:rPr/>
            </w:pPr>
            <w:r>
              <w:rPr/>
              <w:t> </w:t>
            </w:r>
          </w:p>
        </w:tc>
        <w:tc>
          <w:tcPr>
            <w:tcW w:w="945" w:type="dxa"/>
            <w:tcBorders/>
            <w:shd w:fill="auto" w:val="clear"/>
            <w:vAlign w:val="bottom"/>
          </w:tcPr>
          <w:p>
            <w:pPr>
              <w:pStyle w:val="TableContents"/>
              <w:spacing w:before="0" w:after="283"/>
              <w:jc w:val="right"/>
              <w:rPr>
                <w:rFonts w:ascii="times" w:hAnsi="times"/>
                <w:sz w:val="14"/>
              </w:rPr>
            </w:pPr>
            <w:r>
              <w:rPr>
                <w:rFonts w:ascii="times" w:hAnsi="times"/>
                <w:sz w:val="14"/>
              </w:rPr>
              <w:t>(74,798</w:t>
            </w:r>
          </w:p>
        </w:tc>
        <w:tc>
          <w:tcPr>
            <w:tcW w:w="178" w:type="dxa"/>
            <w:tcBorders/>
            <w:shd w:fill="auto" w:val="clear"/>
            <w:vAlign w:val="bottom"/>
          </w:tcPr>
          <w:p>
            <w:pPr>
              <w:pStyle w:val="TableContents"/>
              <w:spacing w:before="0" w:after="283"/>
              <w:rPr>
                <w:rFonts w:ascii="times" w:hAnsi="times"/>
                <w:sz w:val="14"/>
              </w:rPr>
            </w:pPr>
            <w:r>
              <w:rPr>
                <w:rFonts w:ascii="times" w:hAnsi="times"/>
                <w:sz w:val="14"/>
              </w:rPr>
              <w:t>)</w:t>
            </w:r>
          </w:p>
        </w:tc>
      </w:tr>
      <w:tr>
        <w:trPr/>
        <w:tc>
          <w:tcPr>
            <w:tcW w:w="3965" w:type="dxa"/>
            <w:tcBorders/>
            <w:shd w:fill="auto" w:val="clear"/>
            <w:vAlign w:val="bottom"/>
          </w:tcPr>
          <w:p>
            <w:pPr>
              <w:pStyle w:val="TableContents"/>
              <w:spacing w:before="0" w:after="283"/>
              <w:ind w:left="160" w:right="0" w:hanging="160"/>
              <w:rPr>
                <w:rFonts w:ascii="times" w:hAnsi="times"/>
                <w:sz w:val="14"/>
              </w:rPr>
            </w:pPr>
            <w:r>
              <w:rPr>
                <w:rFonts w:ascii="times" w:hAnsi="times"/>
                <w:sz w:val="14"/>
              </w:rPr>
              <w:t>Depreciation</w:t>
            </w:r>
            <w:r>
              <w:rPr>
                <w:rFonts w:ascii="times" w:hAnsi="times"/>
                <w:position w:val="5"/>
                <w:sz w:val="11"/>
                <w:sz w:val="14"/>
              </w:rPr>
              <w:t>(5)</w:t>
            </w:r>
          </w:p>
        </w:tc>
        <w:tc>
          <w:tcPr>
            <w:tcW w:w="172"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945" w:type="dxa"/>
            <w:tcBorders/>
            <w:shd w:fill="auto" w:val="clear"/>
            <w:vAlign w:val="bottom"/>
          </w:tcPr>
          <w:p>
            <w:pPr>
              <w:pStyle w:val="TableContents"/>
              <w:spacing w:before="0" w:after="283"/>
              <w:jc w:val="right"/>
              <w:rPr>
                <w:rFonts w:ascii="times" w:hAnsi="times"/>
                <w:sz w:val="14"/>
              </w:rPr>
            </w:pPr>
            <w:r>
              <w:rPr>
                <w:rFonts w:ascii="times" w:hAnsi="times"/>
                <w:sz w:val="14"/>
              </w:rPr>
              <w:t>(45,230</w:t>
            </w:r>
          </w:p>
        </w:tc>
        <w:tc>
          <w:tcPr>
            <w:tcW w:w="172" w:type="dxa"/>
            <w:tcBorders/>
            <w:shd w:fill="auto" w:val="clear"/>
            <w:vAlign w:val="bottom"/>
          </w:tcPr>
          <w:p>
            <w:pPr>
              <w:pStyle w:val="TableContents"/>
              <w:spacing w:before="0" w:after="283"/>
              <w:rPr>
                <w:rFonts w:ascii="times" w:hAnsi="times"/>
                <w:sz w:val="14"/>
              </w:rPr>
            </w:pPr>
            <w:r>
              <w:rPr>
                <w:rFonts w:ascii="times" w:hAnsi="times"/>
                <w:sz w:val="14"/>
              </w:rPr>
              <w:t>)</w:t>
            </w:r>
          </w:p>
        </w:tc>
        <w:tc>
          <w:tcPr>
            <w:tcW w:w="95" w:type="dxa"/>
            <w:tcBorders/>
            <w:shd w:fill="auto" w:val="clear"/>
            <w:vAlign w:val="bottom"/>
          </w:tcPr>
          <w:p>
            <w:pPr>
              <w:pStyle w:val="TableContents"/>
              <w:spacing w:before="0" w:after="283"/>
              <w:rPr/>
            </w:pPr>
            <w:r>
              <w:rPr/>
              <w:t> </w:t>
            </w:r>
          </w:p>
        </w:tc>
        <w:tc>
          <w:tcPr>
            <w:tcW w:w="945" w:type="dxa"/>
            <w:tcBorders/>
            <w:shd w:fill="auto" w:val="clear"/>
            <w:vAlign w:val="bottom"/>
          </w:tcPr>
          <w:p>
            <w:pPr>
              <w:pStyle w:val="TableContents"/>
              <w:spacing w:before="0" w:after="283"/>
              <w:jc w:val="right"/>
              <w:rPr>
                <w:rFonts w:ascii="times" w:hAnsi="times"/>
                <w:sz w:val="14"/>
              </w:rPr>
            </w:pPr>
            <w:r>
              <w:rPr>
                <w:rFonts w:ascii="times" w:hAnsi="times"/>
                <w:sz w:val="14"/>
              </w:rPr>
              <w:t>(58,193</w:t>
            </w:r>
          </w:p>
        </w:tc>
        <w:tc>
          <w:tcPr>
            <w:tcW w:w="172" w:type="dxa"/>
            <w:tcBorders/>
            <w:shd w:fill="auto" w:val="clear"/>
            <w:vAlign w:val="bottom"/>
          </w:tcPr>
          <w:p>
            <w:pPr>
              <w:pStyle w:val="TableContents"/>
              <w:spacing w:before="0" w:after="283"/>
              <w:rPr>
                <w:rFonts w:ascii="times" w:hAnsi="times"/>
                <w:sz w:val="14"/>
              </w:rPr>
            </w:pPr>
            <w:r>
              <w:rPr>
                <w:rFonts w:ascii="times" w:hAnsi="times"/>
                <w:sz w:val="14"/>
              </w:rPr>
              <w:t>)</w:t>
            </w:r>
          </w:p>
        </w:tc>
        <w:tc>
          <w:tcPr>
            <w:tcW w:w="95" w:type="dxa"/>
            <w:tcBorders/>
            <w:shd w:fill="auto" w:val="clear"/>
            <w:vAlign w:val="bottom"/>
          </w:tcPr>
          <w:p>
            <w:pPr>
              <w:pStyle w:val="TableContents"/>
              <w:spacing w:before="0" w:after="283"/>
              <w:rPr/>
            </w:pPr>
            <w:r>
              <w:rPr/>
              <w:t> </w:t>
            </w:r>
          </w:p>
        </w:tc>
        <w:tc>
          <w:tcPr>
            <w:tcW w:w="945" w:type="dxa"/>
            <w:tcBorders/>
            <w:shd w:fill="auto" w:val="clear"/>
            <w:vAlign w:val="bottom"/>
          </w:tcPr>
          <w:p>
            <w:pPr>
              <w:pStyle w:val="TableContents"/>
              <w:spacing w:before="0" w:after="283"/>
              <w:jc w:val="right"/>
              <w:rPr>
                <w:rFonts w:ascii="times" w:hAnsi="times"/>
                <w:sz w:val="14"/>
              </w:rPr>
            </w:pPr>
            <w:r>
              <w:rPr>
                <w:rFonts w:ascii="times" w:hAnsi="times"/>
                <w:sz w:val="14"/>
              </w:rPr>
              <w:t>(73,151</w:t>
            </w:r>
          </w:p>
        </w:tc>
        <w:tc>
          <w:tcPr>
            <w:tcW w:w="172" w:type="dxa"/>
            <w:tcBorders/>
            <w:shd w:fill="auto" w:val="clear"/>
            <w:vAlign w:val="bottom"/>
          </w:tcPr>
          <w:p>
            <w:pPr>
              <w:pStyle w:val="TableContents"/>
              <w:spacing w:before="0" w:after="283"/>
              <w:rPr>
                <w:rFonts w:ascii="times" w:hAnsi="times"/>
                <w:sz w:val="14"/>
              </w:rPr>
            </w:pPr>
            <w:r>
              <w:rPr>
                <w:rFonts w:ascii="times" w:hAnsi="times"/>
                <w:sz w:val="14"/>
              </w:rPr>
              <w:t>)</w:t>
            </w:r>
          </w:p>
        </w:tc>
        <w:tc>
          <w:tcPr>
            <w:tcW w:w="95" w:type="dxa"/>
            <w:tcBorders/>
            <w:shd w:fill="auto" w:val="clear"/>
            <w:vAlign w:val="bottom"/>
          </w:tcPr>
          <w:p>
            <w:pPr>
              <w:pStyle w:val="TableContents"/>
              <w:spacing w:before="0" w:after="283"/>
              <w:rPr/>
            </w:pPr>
            <w:r>
              <w:rPr/>
              <w:t> </w:t>
            </w:r>
          </w:p>
        </w:tc>
        <w:tc>
          <w:tcPr>
            <w:tcW w:w="947" w:type="dxa"/>
            <w:tcBorders/>
            <w:shd w:fill="auto" w:val="clear"/>
            <w:vAlign w:val="bottom"/>
          </w:tcPr>
          <w:p>
            <w:pPr>
              <w:pStyle w:val="TableContents"/>
              <w:spacing w:before="0" w:after="283"/>
              <w:jc w:val="right"/>
              <w:rPr>
                <w:rFonts w:ascii="times" w:hAnsi="times"/>
                <w:sz w:val="14"/>
              </w:rPr>
            </w:pPr>
            <w:r>
              <w:rPr>
                <w:rFonts w:ascii="times" w:hAnsi="times"/>
                <w:sz w:val="14"/>
              </w:rPr>
              <w:t>(87,819</w:t>
            </w:r>
          </w:p>
        </w:tc>
        <w:tc>
          <w:tcPr>
            <w:tcW w:w="172" w:type="dxa"/>
            <w:tcBorders/>
            <w:shd w:fill="auto" w:val="clear"/>
            <w:vAlign w:val="bottom"/>
          </w:tcPr>
          <w:p>
            <w:pPr>
              <w:pStyle w:val="TableContents"/>
              <w:spacing w:before="0" w:after="283"/>
              <w:rPr>
                <w:rFonts w:ascii="times" w:hAnsi="times"/>
                <w:sz w:val="14"/>
              </w:rPr>
            </w:pPr>
            <w:r>
              <w:rPr>
                <w:rFonts w:ascii="times" w:hAnsi="times"/>
                <w:sz w:val="14"/>
              </w:rPr>
              <w:t>)</w:t>
            </w:r>
          </w:p>
        </w:tc>
        <w:tc>
          <w:tcPr>
            <w:tcW w:w="95" w:type="dxa"/>
            <w:tcBorders/>
            <w:shd w:fill="auto" w:val="clear"/>
            <w:vAlign w:val="bottom"/>
          </w:tcPr>
          <w:p>
            <w:pPr>
              <w:pStyle w:val="TableContents"/>
              <w:spacing w:before="0" w:after="283"/>
              <w:rPr/>
            </w:pPr>
            <w:r>
              <w:rPr/>
              <w:t> </w:t>
            </w:r>
          </w:p>
        </w:tc>
        <w:tc>
          <w:tcPr>
            <w:tcW w:w="945" w:type="dxa"/>
            <w:tcBorders/>
            <w:shd w:fill="auto" w:val="clear"/>
            <w:vAlign w:val="bottom"/>
          </w:tcPr>
          <w:p>
            <w:pPr>
              <w:pStyle w:val="TableContents"/>
              <w:spacing w:before="0" w:after="283"/>
              <w:jc w:val="right"/>
              <w:rPr>
                <w:rFonts w:ascii="times" w:hAnsi="times"/>
                <w:sz w:val="14"/>
              </w:rPr>
            </w:pPr>
            <w:r>
              <w:rPr>
                <w:rFonts w:ascii="times" w:hAnsi="times"/>
                <w:sz w:val="14"/>
              </w:rPr>
              <w:t>(83,058</w:t>
            </w:r>
          </w:p>
        </w:tc>
        <w:tc>
          <w:tcPr>
            <w:tcW w:w="178" w:type="dxa"/>
            <w:tcBorders/>
            <w:shd w:fill="auto" w:val="clear"/>
            <w:vAlign w:val="bottom"/>
          </w:tcPr>
          <w:p>
            <w:pPr>
              <w:pStyle w:val="TableContents"/>
              <w:spacing w:before="0" w:after="283"/>
              <w:rPr>
                <w:rFonts w:ascii="times" w:hAnsi="times"/>
                <w:sz w:val="14"/>
              </w:rPr>
            </w:pPr>
            <w:r>
              <w:rPr>
                <w:rFonts w:ascii="times" w:hAnsi="times"/>
                <w:sz w:val="14"/>
              </w:rPr>
              <w:t>)</w:t>
            </w:r>
          </w:p>
        </w:tc>
      </w:tr>
      <w:tr>
        <w:trPr/>
        <w:tc>
          <w:tcPr>
            <w:tcW w:w="3965" w:type="dxa"/>
            <w:tcBorders/>
            <w:shd w:fill="auto" w:val="clear"/>
            <w:vAlign w:val="bottom"/>
          </w:tcPr>
          <w:p>
            <w:pPr>
              <w:pStyle w:val="TableContents"/>
              <w:spacing w:before="0" w:after="283"/>
              <w:ind w:left="160" w:right="0" w:hanging="160"/>
              <w:rPr>
                <w:rFonts w:ascii="times" w:hAnsi="times"/>
                <w:sz w:val="14"/>
              </w:rPr>
            </w:pPr>
            <w:r>
              <w:rPr>
                <w:rFonts w:ascii="times" w:hAnsi="times"/>
                <w:sz w:val="14"/>
              </w:rPr>
              <w:t>General and administrative expenses</w:t>
            </w:r>
            <w:r>
              <w:rPr>
                <w:rFonts w:ascii="times" w:hAnsi="times"/>
                <w:position w:val="5"/>
                <w:sz w:val="11"/>
                <w:sz w:val="14"/>
              </w:rPr>
              <w:t>(5)</w:t>
            </w:r>
          </w:p>
        </w:tc>
        <w:tc>
          <w:tcPr>
            <w:tcW w:w="172"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945" w:type="dxa"/>
            <w:tcBorders/>
            <w:shd w:fill="auto" w:val="clear"/>
            <w:vAlign w:val="bottom"/>
          </w:tcPr>
          <w:p>
            <w:pPr>
              <w:pStyle w:val="TableContents"/>
              <w:spacing w:before="0" w:after="283"/>
              <w:jc w:val="right"/>
              <w:rPr>
                <w:rFonts w:ascii="times" w:hAnsi="times"/>
                <w:sz w:val="14"/>
              </w:rPr>
            </w:pPr>
            <w:r>
              <w:rPr>
                <w:rFonts w:ascii="times" w:hAnsi="times"/>
                <w:sz w:val="14"/>
              </w:rPr>
              <w:t>(11,219</w:t>
            </w:r>
          </w:p>
        </w:tc>
        <w:tc>
          <w:tcPr>
            <w:tcW w:w="172" w:type="dxa"/>
            <w:tcBorders/>
            <w:shd w:fill="auto" w:val="clear"/>
            <w:vAlign w:val="bottom"/>
          </w:tcPr>
          <w:p>
            <w:pPr>
              <w:pStyle w:val="TableContents"/>
              <w:spacing w:before="0" w:after="283"/>
              <w:rPr>
                <w:rFonts w:ascii="times" w:hAnsi="times"/>
                <w:sz w:val="14"/>
              </w:rPr>
            </w:pPr>
            <w:r>
              <w:rPr>
                <w:rFonts w:ascii="times" w:hAnsi="times"/>
                <w:sz w:val="14"/>
              </w:rPr>
              <w:t>)</w:t>
            </w:r>
          </w:p>
        </w:tc>
        <w:tc>
          <w:tcPr>
            <w:tcW w:w="95" w:type="dxa"/>
            <w:tcBorders/>
            <w:shd w:fill="auto" w:val="clear"/>
            <w:vAlign w:val="bottom"/>
          </w:tcPr>
          <w:p>
            <w:pPr>
              <w:pStyle w:val="TableContents"/>
              <w:spacing w:before="0" w:after="283"/>
              <w:rPr/>
            </w:pPr>
            <w:r>
              <w:rPr/>
              <w:t> </w:t>
            </w:r>
          </w:p>
        </w:tc>
        <w:tc>
          <w:tcPr>
            <w:tcW w:w="945" w:type="dxa"/>
            <w:tcBorders/>
            <w:shd w:fill="auto" w:val="clear"/>
            <w:vAlign w:val="bottom"/>
          </w:tcPr>
          <w:p>
            <w:pPr>
              <w:pStyle w:val="TableContents"/>
              <w:spacing w:before="0" w:after="283"/>
              <w:jc w:val="right"/>
              <w:rPr>
                <w:rFonts w:ascii="times" w:hAnsi="times"/>
                <w:sz w:val="14"/>
              </w:rPr>
            </w:pPr>
            <w:r>
              <w:rPr>
                <w:rFonts w:ascii="times" w:hAnsi="times"/>
                <w:sz w:val="14"/>
              </w:rPr>
              <w:t>(13,869</w:t>
            </w:r>
          </w:p>
        </w:tc>
        <w:tc>
          <w:tcPr>
            <w:tcW w:w="172" w:type="dxa"/>
            <w:tcBorders/>
            <w:shd w:fill="auto" w:val="clear"/>
            <w:vAlign w:val="bottom"/>
          </w:tcPr>
          <w:p>
            <w:pPr>
              <w:pStyle w:val="TableContents"/>
              <w:spacing w:before="0" w:after="283"/>
              <w:rPr>
                <w:rFonts w:ascii="times" w:hAnsi="times"/>
                <w:sz w:val="14"/>
              </w:rPr>
            </w:pPr>
            <w:r>
              <w:rPr>
                <w:rFonts w:ascii="times" w:hAnsi="times"/>
                <w:sz w:val="14"/>
              </w:rPr>
              <w:t>)</w:t>
            </w:r>
          </w:p>
        </w:tc>
        <w:tc>
          <w:tcPr>
            <w:tcW w:w="95" w:type="dxa"/>
            <w:tcBorders/>
            <w:shd w:fill="auto" w:val="clear"/>
            <w:vAlign w:val="bottom"/>
          </w:tcPr>
          <w:p>
            <w:pPr>
              <w:pStyle w:val="TableContents"/>
              <w:spacing w:before="0" w:after="283"/>
              <w:rPr/>
            </w:pPr>
            <w:r>
              <w:rPr/>
              <w:t> </w:t>
            </w:r>
          </w:p>
        </w:tc>
        <w:tc>
          <w:tcPr>
            <w:tcW w:w="945" w:type="dxa"/>
            <w:tcBorders/>
            <w:shd w:fill="auto" w:val="clear"/>
            <w:vAlign w:val="bottom"/>
          </w:tcPr>
          <w:p>
            <w:pPr>
              <w:pStyle w:val="TableContents"/>
              <w:spacing w:before="0" w:after="283"/>
              <w:jc w:val="right"/>
              <w:rPr>
                <w:rFonts w:ascii="times" w:hAnsi="times"/>
                <w:sz w:val="14"/>
              </w:rPr>
            </w:pPr>
            <w:r>
              <w:rPr>
                <w:rFonts w:ascii="times" w:hAnsi="times"/>
                <w:sz w:val="14"/>
              </w:rPr>
              <w:t>(18,905</w:t>
            </w:r>
          </w:p>
        </w:tc>
        <w:tc>
          <w:tcPr>
            <w:tcW w:w="172" w:type="dxa"/>
            <w:tcBorders/>
            <w:shd w:fill="auto" w:val="clear"/>
            <w:vAlign w:val="bottom"/>
          </w:tcPr>
          <w:p>
            <w:pPr>
              <w:pStyle w:val="TableContents"/>
              <w:spacing w:before="0" w:after="283"/>
              <w:rPr>
                <w:rFonts w:ascii="times" w:hAnsi="times"/>
                <w:sz w:val="14"/>
              </w:rPr>
            </w:pPr>
            <w:r>
              <w:rPr>
                <w:rFonts w:ascii="times" w:hAnsi="times"/>
                <w:sz w:val="14"/>
              </w:rPr>
              <w:t>)</w:t>
            </w:r>
          </w:p>
        </w:tc>
        <w:tc>
          <w:tcPr>
            <w:tcW w:w="95" w:type="dxa"/>
            <w:tcBorders/>
            <w:shd w:fill="auto" w:val="clear"/>
            <w:vAlign w:val="bottom"/>
          </w:tcPr>
          <w:p>
            <w:pPr>
              <w:pStyle w:val="TableContents"/>
              <w:spacing w:before="0" w:after="283"/>
              <w:rPr/>
            </w:pPr>
            <w:r>
              <w:rPr/>
              <w:t> </w:t>
            </w:r>
          </w:p>
        </w:tc>
        <w:tc>
          <w:tcPr>
            <w:tcW w:w="947" w:type="dxa"/>
            <w:tcBorders/>
            <w:shd w:fill="auto" w:val="clear"/>
            <w:vAlign w:val="bottom"/>
          </w:tcPr>
          <w:p>
            <w:pPr>
              <w:pStyle w:val="TableContents"/>
              <w:spacing w:before="0" w:after="283"/>
              <w:jc w:val="right"/>
              <w:rPr>
                <w:rFonts w:ascii="times" w:hAnsi="times"/>
                <w:sz w:val="14"/>
              </w:rPr>
            </w:pPr>
            <w:r>
              <w:rPr>
                <w:rFonts w:ascii="times" w:hAnsi="times"/>
                <w:sz w:val="14"/>
              </w:rPr>
              <w:t>(19,305</w:t>
            </w:r>
          </w:p>
        </w:tc>
        <w:tc>
          <w:tcPr>
            <w:tcW w:w="172" w:type="dxa"/>
            <w:tcBorders/>
            <w:shd w:fill="auto" w:val="clear"/>
            <w:vAlign w:val="bottom"/>
          </w:tcPr>
          <w:p>
            <w:pPr>
              <w:pStyle w:val="TableContents"/>
              <w:spacing w:before="0" w:after="283"/>
              <w:rPr>
                <w:rFonts w:ascii="times" w:hAnsi="times"/>
                <w:sz w:val="14"/>
              </w:rPr>
            </w:pPr>
            <w:r>
              <w:rPr>
                <w:rFonts w:ascii="times" w:hAnsi="times"/>
                <w:sz w:val="14"/>
              </w:rPr>
              <w:t>)</w:t>
            </w:r>
          </w:p>
        </w:tc>
        <w:tc>
          <w:tcPr>
            <w:tcW w:w="95" w:type="dxa"/>
            <w:tcBorders/>
            <w:shd w:fill="auto" w:val="clear"/>
            <w:vAlign w:val="bottom"/>
          </w:tcPr>
          <w:p>
            <w:pPr>
              <w:pStyle w:val="TableContents"/>
              <w:spacing w:before="0" w:after="283"/>
              <w:rPr/>
            </w:pPr>
            <w:r>
              <w:rPr/>
              <w:t> </w:t>
            </w:r>
          </w:p>
        </w:tc>
        <w:tc>
          <w:tcPr>
            <w:tcW w:w="945" w:type="dxa"/>
            <w:tcBorders/>
            <w:shd w:fill="auto" w:val="clear"/>
            <w:vAlign w:val="bottom"/>
          </w:tcPr>
          <w:p>
            <w:pPr>
              <w:pStyle w:val="TableContents"/>
              <w:spacing w:before="0" w:after="283"/>
              <w:jc w:val="right"/>
              <w:rPr>
                <w:rFonts w:ascii="times" w:hAnsi="times"/>
                <w:sz w:val="14"/>
              </w:rPr>
            </w:pPr>
            <w:r>
              <w:rPr>
                <w:rFonts w:ascii="times" w:hAnsi="times"/>
                <w:sz w:val="14"/>
              </w:rPr>
              <w:t>(18,960</w:t>
            </w:r>
          </w:p>
        </w:tc>
        <w:tc>
          <w:tcPr>
            <w:tcW w:w="178" w:type="dxa"/>
            <w:tcBorders/>
            <w:shd w:fill="auto" w:val="clear"/>
            <w:vAlign w:val="bottom"/>
          </w:tcPr>
          <w:p>
            <w:pPr>
              <w:pStyle w:val="TableContents"/>
              <w:spacing w:before="0" w:after="283"/>
              <w:rPr>
                <w:rFonts w:ascii="times" w:hAnsi="times"/>
                <w:sz w:val="14"/>
              </w:rPr>
            </w:pPr>
            <w:r>
              <w:rPr>
                <w:rFonts w:ascii="times" w:hAnsi="times"/>
                <w:sz w:val="14"/>
              </w:rPr>
              <w:t>)</w:t>
            </w:r>
          </w:p>
        </w:tc>
      </w:tr>
      <w:tr>
        <w:trPr/>
        <w:tc>
          <w:tcPr>
            <w:tcW w:w="3965" w:type="dxa"/>
            <w:tcBorders/>
            <w:shd w:fill="auto" w:val="clear"/>
            <w:vAlign w:val="bottom"/>
          </w:tcPr>
          <w:p>
            <w:pPr>
              <w:pStyle w:val="TableContents"/>
              <w:spacing w:before="0" w:after="283"/>
              <w:ind w:left="160" w:right="0" w:hanging="160"/>
              <w:rPr>
                <w:rFonts w:ascii="times" w:hAnsi="times"/>
                <w:sz w:val="14"/>
              </w:rPr>
            </w:pPr>
            <w:r>
              <w:rPr>
                <w:rFonts w:ascii="times" w:hAnsi="times"/>
                <w:sz w:val="14"/>
              </w:rPr>
              <w:t>Impairment loss on vessels</w:t>
            </w:r>
          </w:p>
        </w:tc>
        <w:tc>
          <w:tcPr>
            <w:tcW w:w="172"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945" w:type="dxa"/>
            <w:tcBorders/>
            <w:shd w:fill="auto" w:val="clear"/>
            <w:vAlign w:val="bottom"/>
          </w:tcPr>
          <w:p>
            <w:pPr>
              <w:pStyle w:val="TableContents"/>
              <w:spacing w:before="0" w:after="283"/>
              <w:jc w:val="right"/>
              <w:rPr>
                <w:rFonts w:ascii="times" w:hAnsi="times"/>
                <w:sz w:val="14"/>
              </w:rPr>
            </w:pPr>
            <w:r>
              <w:rPr>
                <w:rFonts w:ascii="times" w:hAnsi="times"/>
                <w:sz w:val="14"/>
              </w:rPr>
              <w:t></w:t>
            </w:r>
          </w:p>
        </w:tc>
        <w:tc>
          <w:tcPr>
            <w:tcW w:w="172"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945" w:type="dxa"/>
            <w:tcBorders/>
            <w:shd w:fill="auto" w:val="clear"/>
            <w:vAlign w:val="bottom"/>
          </w:tcPr>
          <w:p>
            <w:pPr>
              <w:pStyle w:val="TableContents"/>
              <w:spacing w:before="0" w:after="283"/>
              <w:jc w:val="right"/>
              <w:rPr>
                <w:rFonts w:ascii="times" w:hAnsi="times"/>
                <w:sz w:val="14"/>
              </w:rPr>
            </w:pPr>
            <w:r>
              <w:rPr>
                <w:rFonts w:ascii="times" w:hAnsi="times"/>
                <w:sz w:val="14"/>
              </w:rPr>
              <w:t></w:t>
            </w:r>
          </w:p>
        </w:tc>
        <w:tc>
          <w:tcPr>
            <w:tcW w:w="172"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945" w:type="dxa"/>
            <w:tcBorders/>
            <w:shd w:fill="auto" w:val="clear"/>
            <w:vAlign w:val="bottom"/>
          </w:tcPr>
          <w:p>
            <w:pPr>
              <w:pStyle w:val="TableContents"/>
              <w:spacing w:before="0" w:after="283"/>
              <w:jc w:val="right"/>
              <w:rPr>
                <w:rFonts w:ascii="times" w:hAnsi="times"/>
                <w:sz w:val="14"/>
              </w:rPr>
            </w:pPr>
            <w:r>
              <w:rPr>
                <w:rFonts w:ascii="times" w:hAnsi="times"/>
                <w:sz w:val="14"/>
              </w:rPr>
              <w:t></w:t>
            </w:r>
          </w:p>
        </w:tc>
        <w:tc>
          <w:tcPr>
            <w:tcW w:w="172"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947" w:type="dxa"/>
            <w:tcBorders/>
            <w:shd w:fill="auto" w:val="clear"/>
            <w:vAlign w:val="bottom"/>
          </w:tcPr>
          <w:p>
            <w:pPr>
              <w:pStyle w:val="TableContents"/>
              <w:spacing w:before="0" w:after="283"/>
              <w:jc w:val="right"/>
              <w:rPr>
                <w:rFonts w:ascii="times" w:hAnsi="times"/>
                <w:sz w:val="14"/>
              </w:rPr>
            </w:pPr>
            <w:r>
              <w:rPr>
                <w:rFonts w:ascii="times" w:hAnsi="times"/>
                <w:sz w:val="14"/>
              </w:rPr>
              <w:t>(138,848</w:t>
            </w:r>
          </w:p>
        </w:tc>
        <w:tc>
          <w:tcPr>
            <w:tcW w:w="172" w:type="dxa"/>
            <w:tcBorders/>
            <w:shd w:fill="auto" w:val="clear"/>
            <w:vAlign w:val="bottom"/>
          </w:tcPr>
          <w:p>
            <w:pPr>
              <w:pStyle w:val="TableContents"/>
              <w:spacing w:before="0" w:after="283"/>
              <w:rPr>
                <w:rFonts w:ascii="times" w:hAnsi="times"/>
                <w:sz w:val="14"/>
              </w:rPr>
            </w:pPr>
            <w:r>
              <w:rPr>
                <w:rFonts w:ascii="times" w:hAnsi="times"/>
                <w:sz w:val="14"/>
              </w:rPr>
              <w:t>)</w:t>
            </w:r>
          </w:p>
        </w:tc>
        <w:tc>
          <w:tcPr>
            <w:tcW w:w="95" w:type="dxa"/>
            <w:tcBorders/>
            <w:shd w:fill="auto" w:val="clear"/>
            <w:vAlign w:val="bottom"/>
          </w:tcPr>
          <w:p>
            <w:pPr>
              <w:pStyle w:val="TableContents"/>
              <w:spacing w:before="0" w:after="283"/>
              <w:rPr/>
            </w:pPr>
            <w:r>
              <w:rPr/>
              <w:t> </w:t>
            </w:r>
          </w:p>
        </w:tc>
        <w:tc>
          <w:tcPr>
            <w:tcW w:w="945" w:type="dxa"/>
            <w:tcBorders/>
            <w:shd w:fill="auto" w:val="clear"/>
            <w:vAlign w:val="bottom"/>
          </w:tcPr>
          <w:p>
            <w:pPr>
              <w:pStyle w:val="TableContents"/>
              <w:spacing w:before="0" w:after="283"/>
              <w:jc w:val="right"/>
              <w:rPr>
                <w:rFonts w:ascii="times" w:hAnsi="times"/>
                <w:sz w:val="14"/>
              </w:rPr>
            </w:pPr>
            <w:r>
              <w:rPr>
                <w:rFonts w:ascii="times" w:hAnsi="times"/>
                <w:sz w:val="14"/>
              </w:rPr>
              <w:t>(23,923</w:t>
            </w:r>
          </w:p>
        </w:tc>
        <w:tc>
          <w:tcPr>
            <w:tcW w:w="178" w:type="dxa"/>
            <w:tcBorders/>
            <w:shd w:fill="auto" w:val="clear"/>
            <w:vAlign w:val="bottom"/>
          </w:tcPr>
          <w:p>
            <w:pPr>
              <w:pStyle w:val="TableContents"/>
              <w:spacing w:before="0" w:after="283"/>
              <w:rPr>
                <w:rFonts w:ascii="times" w:hAnsi="times"/>
                <w:sz w:val="14"/>
              </w:rPr>
            </w:pPr>
            <w:r>
              <w:rPr>
                <w:rFonts w:ascii="times" w:hAnsi="times"/>
                <w:sz w:val="14"/>
              </w:rPr>
              <w:t xml:space="preserve">) </w:t>
            </w:r>
          </w:p>
        </w:tc>
      </w:tr>
      <w:tr>
        <w:trPr/>
        <w:tc>
          <w:tcPr>
            <w:tcW w:w="3965" w:type="dxa"/>
            <w:tcBorders/>
            <w:shd w:fill="FFFFFF" w:val="clear"/>
            <w:vAlign w:val="bottom"/>
          </w:tcPr>
          <w:p>
            <w:pPr>
              <w:pStyle w:val="TableContents"/>
              <w:spacing w:before="0" w:after="283"/>
              <w:rPr/>
            </w:pPr>
            <w:r>
              <w:rPr/>
              <w:t>​</w:t>
            </w:r>
          </w:p>
        </w:tc>
        <w:tc>
          <w:tcPr>
            <w:tcW w:w="172" w:type="dxa"/>
            <w:tcBorders/>
            <w:shd w:fill="FFFFFF" w:val="clear"/>
            <w:vAlign w:val="bottom"/>
          </w:tcPr>
          <w:p>
            <w:pPr>
              <w:pStyle w:val="TableContents"/>
              <w:spacing w:before="0" w:after="283"/>
              <w:rPr/>
            </w:pPr>
            <w:r>
              <w:rPr/>
              <w:t>​</w:t>
            </w:r>
          </w:p>
        </w:tc>
        <w:tc>
          <w:tcPr>
            <w:tcW w:w="95" w:type="dxa"/>
            <w:tcBorders>
              <w:bottom w:val="single" w:sz="8" w:space="0" w:color="000000"/>
            </w:tcBorders>
            <w:shd w:fill="FFFFFF" w:val="clear"/>
            <w:tcMar>
              <w:bottom w:w="28" w:type="dxa"/>
            </w:tcMar>
            <w:vAlign w:val="bottom"/>
          </w:tcPr>
          <w:p>
            <w:pPr>
              <w:pStyle w:val="TableContents"/>
              <w:spacing w:before="0" w:after="283"/>
              <w:rPr/>
            </w:pPr>
            <w:r>
              <w:rPr/>
              <w:t xml:space="preserve">​ </w:t>
            </w:r>
          </w:p>
        </w:tc>
        <w:tc>
          <w:tcPr>
            <w:tcW w:w="945" w:type="dxa"/>
            <w:tcBorders>
              <w:bottom w:val="single" w:sz="8" w:space="0" w:color="000000"/>
            </w:tcBorders>
            <w:shd w:fill="FFFFFF" w:val="clear"/>
            <w:tcMar>
              <w:bottom w:w="28" w:type="dxa"/>
            </w:tcMar>
            <w:vAlign w:val="bottom"/>
          </w:tcPr>
          <w:p>
            <w:pPr>
              <w:pStyle w:val="TableContents"/>
              <w:spacing w:before="0" w:after="283"/>
              <w:jc w:val="right"/>
              <w:rPr/>
            </w:pPr>
            <w:r>
              <w:rPr/>
              <w:t xml:space="preserve">​ </w:t>
            </w:r>
          </w:p>
        </w:tc>
        <w:tc>
          <w:tcPr>
            <w:tcW w:w="172" w:type="dxa"/>
            <w:tcBorders/>
            <w:shd w:fill="FFFFFF" w:val="clear"/>
            <w:vAlign w:val="bottom"/>
          </w:tcPr>
          <w:p>
            <w:pPr>
              <w:pStyle w:val="TableContents"/>
              <w:spacing w:before="0" w:after="283"/>
              <w:rPr/>
            </w:pPr>
            <w:r>
              <w:rPr/>
              <w:t>​</w:t>
            </w:r>
          </w:p>
        </w:tc>
        <w:tc>
          <w:tcPr>
            <w:tcW w:w="95" w:type="dxa"/>
            <w:tcBorders>
              <w:bottom w:val="single" w:sz="8" w:space="0" w:color="000000"/>
            </w:tcBorders>
            <w:shd w:fill="FFFFFF" w:val="clear"/>
            <w:tcMar>
              <w:bottom w:w="28" w:type="dxa"/>
            </w:tcMar>
            <w:vAlign w:val="bottom"/>
          </w:tcPr>
          <w:p>
            <w:pPr>
              <w:pStyle w:val="TableContents"/>
              <w:spacing w:before="0" w:after="283"/>
              <w:rPr/>
            </w:pPr>
            <w:r>
              <w:rPr/>
              <w:t xml:space="preserve">​ </w:t>
            </w:r>
          </w:p>
        </w:tc>
        <w:tc>
          <w:tcPr>
            <w:tcW w:w="945" w:type="dxa"/>
            <w:tcBorders>
              <w:bottom w:val="single" w:sz="8" w:space="0" w:color="000000"/>
            </w:tcBorders>
            <w:shd w:fill="FFFFFF" w:val="clear"/>
            <w:tcMar>
              <w:bottom w:w="28" w:type="dxa"/>
            </w:tcMar>
            <w:vAlign w:val="bottom"/>
          </w:tcPr>
          <w:p>
            <w:pPr>
              <w:pStyle w:val="TableContents"/>
              <w:spacing w:before="0" w:after="283"/>
              <w:jc w:val="right"/>
              <w:rPr/>
            </w:pPr>
            <w:r>
              <w:rPr/>
              <w:t xml:space="preserve">​ </w:t>
            </w:r>
          </w:p>
        </w:tc>
        <w:tc>
          <w:tcPr>
            <w:tcW w:w="172" w:type="dxa"/>
            <w:tcBorders/>
            <w:shd w:fill="FFFFFF" w:val="clear"/>
            <w:vAlign w:val="bottom"/>
          </w:tcPr>
          <w:p>
            <w:pPr>
              <w:pStyle w:val="TableContents"/>
              <w:spacing w:before="0" w:after="283"/>
              <w:rPr/>
            </w:pPr>
            <w:r>
              <w:rPr/>
              <w:t>​</w:t>
            </w:r>
          </w:p>
        </w:tc>
        <w:tc>
          <w:tcPr>
            <w:tcW w:w="95" w:type="dxa"/>
            <w:tcBorders>
              <w:bottom w:val="single" w:sz="8" w:space="0" w:color="000000"/>
            </w:tcBorders>
            <w:shd w:fill="FFFFFF" w:val="clear"/>
            <w:tcMar>
              <w:bottom w:w="28" w:type="dxa"/>
            </w:tcMar>
            <w:vAlign w:val="bottom"/>
          </w:tcPr>
          <w:p>
            <w:pPr>
              <w:pStyle w:val="TableContents"/>
              <w:spacing w:before="0" w:after="283"/>
              <w:rPr/>
            </w:pPr>
            <w:r>
              <w:rPr/>
              <w:t xml:space="preserve">​ </w:t>
            </w:r>
          </w:p>
        </w:tc>
        <w:tc>
          <w:tcPr>
            <w:tcW w:w="945" w:type="dxa"/>
            <w:tcBorders>
              <w:bottom w:val="single" w:sz="8" w:space="0" w:color="000000"/>
            </w:tcBorders>
            <w:shd w:fill="FFFFFF" w:val="clear"/>
            <w:tcMar>
              <w:bottom w:w="28" w:type="dxa"/>
            </w:tcMar>
            <w:vAlign w:val="bottom"/>
          </w:tcPr>
          <w:p>
            <w:pPr>
              <w:pStyle w:val="TableContents"/>
              <w:spacing w:before="0" w:after="283"/>
              <w:jc w:val="right"/>
              <w:rPr/>
            </w:pPr>
            <w:r>
              <w:rPr/>
              <w:t xml:space="preserve">​ </w:t>
            </w:r>
          </w:p>
        </w:tc>
        <w:tc>
          <w:tcPr>
            <w:tcW w:w="172" w:type="dxa"/>
            <w:tcBorders/>
            <w:shd w:fill="FFFFFF" w:val="clear"/>
            <w:vAlign w:val="bottom"/>
          </w:tcPr>
          <w:p>
            <w:pPr>
              <w:pStyle w:val="TableContents"/>
              <w:spacing w:before="0" w:after="283"/>
              <w:rPr/>
            </w:pPr>
            <w:r>
              <w:rPr/>
              <w:t>​</w:t>
            </w:r>
          </w:p>
        </w:tc>
        <w:tc>
          <w:tcPr>
            <w:tcW w:w="95" w:type="dxa"/>
            <w:tcBorders>
              <w:bottom w:val="single" w:sz="8" w:space="0" w:color="000000"/>
            </w:tcBorders>
            <w:shd w:fill="FFFFFF" w:val="clear"/>
            <w:tcMar>
              <w:bottom w:w="28" w:type="dxa"/>
            </w:tcMar>
            <w:vAlign w:val="bottom"/>
          </w:tcPr>
          <w:p>
            <w:pPr>
              <w:pStyle w:val="TableContents"/>
              <w:spacing w:before="0" w:after="283"/>
              <w:rPr/>
            </w:pPr>
            <w:r>
              <w:rPr/>
              <w:t xml:space="preserve">​ </w:t>
            </w:r>
          </w:p>
        </w:tc>
        <w:tc>
          <w:tcPr>
            <w:tcW w:w="947" w:type="dxa"/>
            <w:tcBorders>
              <w:bottom w:val="single" w:sz="8" w:space="0" w:color="000000"/>
            </w:tcBorders>
            <w:shd w:fill="FFFFFF" w:val="clear"/>
            <w:tcMar>
              <w:bottom w:w="28" w:type="dxa"/>
            </w:tcMar>
            <w:vAlign w:val="bottom"/>
          </w:tcPr>
          <w:p>
            <w:pPr>
              <w:pStyle w:val="TableContents"/>
              <w:spacing w:before="0" w:after="283"/>
              <w:jc w:val="right"/>
              <w:rPr/>
            </w:pPr>
            <w:r>
              <w:rPr/>
              <w:t xml:space="preserve">​ </w:t>
            </w:r>
          </w:p>
        </w:tc>
        <w:tc>
          <w:tcPr>
            <w:tcW w:w="172" w:type="dxa"/>
            <w:tcBorders/>
            <w:shd w:fill="FFFFFF" w:val="clear"/>
            <w:vAlign w:val="bottom"/>
          </w:tcPr>
          <w:p>
            <w:pPr>
              <w:pStyle w:val="TableContents"/>
              <w:spacing w:before="0" w:after="283"/>
              <w:rPr/>
            </w:pPr>
            <w:r>
              <w:rPr/>
              <w:t>​</w:t>
            </w:r>
          </w:p>
        </w:tc>
        <w:tc>
          <w:tcPr>
            <w:tcW w:w="95" w:type="dxa"/>
            <w:tcBorders>
              <w:bottom w:val="single" w:sz="8" w:space="0" w:color="000000"/>
            </w:tcBorders>
            <w:shd w:fill="FFFFFF" w:val="clear"/>
            <w:tcMar>
              <w:bottom w:w="28" w:type="dxa"/>
            </w:tcMar>
            <w:vAlign w:val="bottom"/>
          </w:tcPr>
          <w:p>
            <w:pPr>
              <w:pStyle w:val="TableContents"/>
              <w:spacing w:before="0" w:after="283"/>
              <w:rPr/>
            </w:pPr>
            <w:r>
              <w:rPr/>
              <w:t xml:space="preserve">​ </w:t>
            </w:r>
          </w:p>
        </w:tc>
        <w:tc>
          <w:tcPr>
            <w:tcW w:w="945" w:type="dxa"/>
            <w:tcBorders>
              <w:bottom w:val="single" w:sz="8" w:space="0" w:color="000000"/>
            </w:tcBorders>
            <w:shd w:fill="FFFFFF" w:val="clear"/>
            <w:tcMar>
              <w:bottom w:w="28" w:type="dxa"/>
            </w:tcMar>
            <w:vAlign w:val="bottom"/>
          </w:tcPr>
          <w:p>
            <w:pPr>
              <w:pStyle w:val="TableContents"/>
              <w:spacing w:before="0" w:after="283"/>
              <w:jc w:val="right"/>
              <w:rPr/>
            </w:pPr>
            <w:r>
              <w:rPr/>
              <w:t xml:space="preserve">​ </w:t>
            </w:r>
          </w:p>
        </w:tc>
        <w:tc>
          <w:tcPr>
            <w:tcW w:w="178" w:type="dxa"/>
            <w:tcBorders/>
            <w:shd w:fill="FFFFFF" w:val="clear"/>
            <w:vAlign w:val="bottom"/>
          </w:tcPr>
          <w:p>
            <w:pPr>
              <w:pStyle w:val="TableContents"/>
              <w:spacing w:before="0" w:after="283"/>
              <w:rPr/>
            </w:pPr>
            <w:r>
              <w:rPr/>
              <w:t>​</w:t>
            </w:r>
          </w:p>
        </w:tc>
      </w:tr>
      <w:tr>
        <w:trPr/>
        <w:tc>
          <w:tcPr>
            <w:tcW w:w="3965" w:type="dxa"/>
            <w:tcBorders/>
            <w:shd w:fill="auto" w:val="clear"/>
            <w:vAlign w:val="bottom"/>
          </w:tcPr>
          <w:p>
            <w:pPr>
              <w:pStyle w:val="TableContents"/>
              <w:spacing w:before="0" w:after="283"/>
              <w:ind w:left="160" w:right="0" w:hanging="160"/>
              <w:rPr>
                <w:rFonts w:ascii="times" w:hAnsi="times"/>
                <w:b/>
                <w:sz w:val="14"/>
              </w:rPr>
            </w:pPr>
            <w:r>
              <w:rPr>
                <w:rFonts w:ascii="times" w:hAnsi="times"/>
                <w:b/>
                <w:sz w:val="14"/>
              </w:rPr>
              <w:t>Profit from operations</w:t>
            </w:r>
            <w:r>
              <w:rPr>
                <w:rFonts w:ascii="times" w:hAnsi="times"/>
                <w:b/>
                <w:position w:val="5"/>
                <w:sz w:val="11"/>
                <w:sz w:val="14"/>
              </w:rPr>
              <w:t>(5)</w:t>
            </w:r>
          </w:p>
        </w:tc>
        <w:tc>
          <w:tcPr>
            <w:tcW w:w="172"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945" w:type="dxa"/>
            <w:tcBorders/>
            <w:shd w:fill="auto" w:val="clear"/>
            <w:vAlign w:val="bottom"/>
          </w:tcPr>
          <w:p>
            <w:pPr>
              <w:pStyle w:val="TableContents"/>
              <w:spacing w:before="0" w:after="283"/>
              <w:jc w:val="right"/>
              <w:rPr>
                <w:rFonts w:ascii="times" w:hAnsi="times"/>
                <w:b/>
                <w:sz w:val="14"/>
              </w:rPr>
            </w:pPr>
            <w:r>
              <w:rPr>
                <w:rFonts w:ascii="times" w:hAnsi="times"/>
                <w:b/>
                <w:sz w:val="14"/>
              </w:rPr>
              <w:t>103,655</w:t>
            </w:r>
          </w:p>
        </w:tc>
        <w:tc>
          <w:tcPr>
            <w:tcW w:w="172"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945" w:type="dxa"/>
            <w:tcBorders/>
            <w:shd w:fill="auto" w:val="clear"/>
            <w:vAlign w:val="bottom"/>
          </w:tcPr>
          <w:p>
            <w:pPr>
              <w:pStyle w:val="TableContents"/>
              <w:spacing w:before="0" w:after="283"/>
              <w:jc w:val="right"/>
              <w:rPr>
                <w:rFonts w:ascii="times" w:hAnsi="times"/>
                <w:b/>
                <w:sz w:val="14"/>
              </w:rPr>
            </w:pPr>
            <w:r>
              <w:rPr>
                <w:rFonts w:ascii="times" w:hAnsi="times"/>
                <w:b/>
                <w:sz w:val="14"/>
              </w:rPr>
              <w:t>137,940</w:t>
            </w:r>
          </w:p>
        </w:tc>
        <w:tc>
          <w:tcPr>
            <w:tcW w:w="172"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945" w:type="dxa"/>
            <w:tcBorders/>
            <w:shd w:fill="auto" w:val="clear"/>
            <w:vAlign w:val="bottom"/>
          </w:tcPr>
          <w:p>
            <w:pPr>
              <w:pStyle w:val="TableContents"/>
              <w:spacing w:before="0" w:after="283"/>
              <w:jc w:val="right"/>
              <w:rPr>
                <w:rFonts w:ascii="times" w:hAnsi="times"/>
                <w:b/>
                <w:sz w:val="14"/>
              </w:rPr>
            </w:pPr>
            <w:r>
              <w:rPr>
                <w:rFonts w:ascii="times" w:hAnsi="times"/>
                <w:b/>
                <w:sz w:val="14"/>
              </w:rPr>
              <w:t>160,505</w:t>
            </w:r>
          </w:p>
        </w:tc>
        <w:tc>
          <w:tcPr>
            <w:tcW w:w="172"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947" w:type="dxa"/>
            <w:tcBorders/>
            <w:shd w:fill="auto" w:val="clear"/>
            <w:vAlign w:val="bottom"/>
          </w:tcPr>
          <w:p>
            <w:pPr>
              <w:pStyle w:val="TableContents"/>
              <w:spacing w:before="0" w:after="283"/>
              <w:jc w:val="right"/>
              <w:rPr>
                <w:rFonts w:ascii="times" w:hAnsi="times"/>
                <w:b/>
                <w:sz w:val="14"/>
              </w:rPr>
            </w:pPr>
            <w:r>
              <w:rPr>
                <w:rFonts w:ascii="times" w:hAnsi="times"/>
                <w:b/>
                <w:sz w:val="14"/>
              </w:rPr>
              <w:t>43,771</w:t>
            </w:r>
          </w:p>
        </w:tc>
        <w:tc>
          <w:tcPr>
            <w:tcW w:w="172"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945" w:type="dxa"/>
            <w:tcBorders/>
            <w:shd w:fill="auto" w:val="clear"/>
            <w:vAlign w:val="bottom"/>
          </w:tcPr>
          <w:p>
            <w:pPr>
              <w:pStyle w:val="TableContents"/>
              <w:spacing w:before="0" w:after="283"/>
              <w:jc w:val="right"/>
              <w:rPr>
                <w:rFonts w:ascii="times" w:hAnsi="times"/>
                <w:b/>
                <w:sz w:val="14"/>
              </w:rPr>
            </w:pPr>
            <w:r>
              <w:rPr>
                <w:rFonts w:ascii="times" w:hAnsi="times"/>
                <w:b/>
                <w:sz w:val="14"/>
              </w:rPr>
              <w:t>122,480</w:t>
            </w:r>
          </w:p>
        </w:tc>
        <w:tc>
          <w:tcPr>
            <w:tcW w:w="178" w:type="dxa"/>
            <w:tcBorders/>
            <w:shd w:fill="auto" w:val="clear"/>
            <w:vAlign w:val="bottom"/>
          </w:tcPr>
          <w:p>
            <w:pPr>
              <w:pStyle w:val="TableContents"/>
              <w:spacing w:before="0" w:after="283"/>
              <w:rPr/>
            </w:pPr>
            <w:r>
              <w:rPr/>
              <w:t> </w:t>
            </w:r>
          </w:p>
        </w:tc>
      </w:tr>
      <w:tr>
        <w:trPr/>
        <w:tc>
          <w:tcPr>
            <w:tcW w:w="3965" w:type="dxa"/>
            <w:tcBorders/>
            <w:shd w:fill="FFFFFF" w:val="clear"/>
            <w:vAlign w:val="bottom"/>
          </w:tcPr>
          <w:p>
            <w:pPr>
              <w:pStyle w:val="TableContents"/>
              <w:spacing w:before="0" w:after="283"/>
              <w:rPr/>
            </w:pPr>
            <w:r>
              <w:rPr/>
              <w:t>​</w:t>
            </w:r>
          </w:p>
        </w:tc>
        <w:tc>
          <w:tcPr>
            <w:tcW w:w="172" w:type="dxa"/>
            <w:tcBorders/>
            <w:shd w:fill="FFFFFF" w:val="clear"/>
            <w:vAlign w:val="bottom"/>
          </w:tcPr>
          <w:p>
            <w:pPr>
              <w:pStyle w:val="TableContents"/>
              <w:spacing w:before="0" w:after="283"/>
              <w:rPr/>
            </w:pPr>
            <w:r>
              <w:rPr/>
              <w:t>​</w:t>
            </w:r>
          </w:p>
        </w:tc>
        <w:tc>
          <w:tcPr>
            <w:tcW w:w="95" w:type="dxa"/>
            <w:tcBorders>
              <w:bottom w:val="single" w:sz="8" w:space="0" w:color="000000"/>
            </w:tcBorders>
            <w:shd w:fill="FFFFFF" w:val="clear"/>
            <w:tcMar>
              <w:bottom w:w="28" w:type="dxa"/>
            </w:tcMar>
            <w:vAlign w:val="bottom"/>
          </w:tcPr>
          <w:p>
            <w:pPr>
              <w:pStyle w:val="TableContents"/>
              <w:spacing w:before="0" w:after="283"/>
              <w:rPr/>
            </w:pPr>
            <w:r>
              <w:rPr/>
              <w:t xml:space="preserve">​ </w:t>
            </w:r>
          </w:p>
        </w:tc>
        <w:tc>
          <w:tcPr>
            <w:tcW w:w="945" w:type="dxa"/>
            <w:tcBorders>
              <w:bottom w:val="single" w:sz="8" w:space="0" w:color="000000"/>
            </w:tcBorders>
            <w:shd w:fill="FFFFFF" w:val="clear"/>
            <w:tcMar>
              <w:bottom w:w="28" w:type="dxa"/>
            </w:tcMar>
            <w:vAlign w:val="bottom"/>
          </w:tcPr>
          <w:p>
            <w:pPr>
              <w:pStyle w:val="TableContents"/>
              <w:spacing w:before="0" w:after="283"/>
              <w:jc w:val="right"/>
              <w:rPr/>
            </w:pPr>
            <w:r>
              <w:rPr/>
              <w:t xml:space="preserve">​ </w:t>
            </w:r>
          </w:p>
        </w:tc>
        <w:tc>
          <w:tcPr>
            <w:tcW w:w="172" w:type="dxa"/>
            <w:tcBorders/>
            <w:shd w:fill="FFFFFF" w:val="clear"/>
            <w:vAlign w:val="bottom"/>
          </w:tcPr>
          <w:p>
            <w:pPr>
              <w:pStyle w:val="TableContents"/>
              <w:spacing w:before="0" w:after="283"/>
              <w:rPr/>
            </w:pPr>
            <w:r>
              <w:rPr/>
              <w:t>​</w:t>
            </w:r>
          </w:p>
        </w:tc>
        <w:tc>
          <w:tcPr>
            <w:tcW w:w="95" w:type="dxa"/>
            <w:tcBorders>
              <w:bottom w:val="single" w:sz="8" w:space="0" w:color="000000"/>
            </w:tcBorders>
            <w:shd w:fill="FFFFFF" w:val="clear"/>
            <w:tcMar>
              <w:bottom w:w="28" w:type="dxa"/>
            </w:tcMar>
            <w:vAlign w:val="bottom"/>
          </w:tcPr>
          <w:p>
            <w:pPr>
              <w:pStyle w:val="TableContents"/>
              <w:spacing w:before="0" w:after="283"/>
              <w:rPr/>
            </w:pPr>
            <w:r>
              <w:rPr/>
              <w:t xml:space="preserve">​ </w:t>
            </w:r>
          </w:p>
        </w:tc>
        <w:tc>
          <w:tcPr>
            <w:tcW w:w="945" w:type="dxa"/>
            <w:tcBorders>
              <w:bottom w:val="single" w:sz="8" w:space="0" w:color="000000"/>
            </w:tcBorders>
            <w:shd w:fill="FFFFFF" w:val="clear"/>
            <w:tcMar>
              <w:bottom w:w="28" w:type="dxa"/>
            </w:tcMar>
            <w:vAlign w:val="bottom"/>
          </w:tcPr>
          <w:p>
            <w:pPr>
              <w:pStyle w:val="TableContents"/>
              <w:spacing w:before="0" w:after="283"/>
              <w:jc w:val="right"/>
              <w:rPr/>
            </w:pPr>
            <w:r>
              <w:rPr/>
              <w:t xml:space="preserve">​ </w:t>
            </w:r>
          </w:p>
        </w:tc>
        <w:tc>
          <w:tcPr>
            <w:tcW w:w="172" w:type="dxa"/>
            <w:tcBorders/>
            <w:shd w:fill="FFFFFF" w:val="clear"/>
            <w:vAlign w:val="bottom"/>
          </w:tcPr>
          <w:p>
            <w:pPr>
              <w:pStyle w:val="TableContents"/>
              <w:spacing w:before="0" w:after="283"/>
              <w:rPr/>
            </w:pPr>
            <w:r>
              <w:rPr/>
              <w:t>​</w:t>
            </w:r>
          </w:p>
        </w:tc>
        <w:tc>
          <w:tcPr>
            <w:tcW w:w="95" w:type="dxa"/>
            <w:tcBorders>
              <w:bottom w:val="single" w:sz="8" w:space="0" w:color="000000"/>
            </w:tcBorders>
            <w:shd w:fill="FFFFFF" w:val="clear"/>
            <w:tcMar>
              <w:bottom w:w="28" w:type="dxa"/>
            </w:tcMar>
            <w:vAlign w:val="bottom"/>
          </w:tcPr>
          <w:p>
            <w:pPr>
              <w:pStyle w:val="TableContents"/>
              <w:spacing w:before="0" w:after="283"/>
              <w:rPr/>
            </w:pPr>
            <w:r>
              <w:rPr/>
              <w:t xml:space="preserve">​ </w:t>
            </w:r>
          </w:p>
        </w:tc>
        <w:tc>
          <w:tcPr>
            <w:tcW w:w="945" w:type="dxa"/>
            <w:tcBorders>
              <w:bottom w:val="single" w:sz="8" w:space="0" w:color="000000"/>
            </w:tcBorders>
            <w:shd w:fill="FFFFFF" w:val="clear"/>
            <w:tcMar>
              <w:bottom w:w="28" w:type="dxa"/>
            </w:tcMar>
            <w:vAlign w:val="bottom"/>
          </w:tcPr>
          <w:p>
            <w:pPr>
              <w:pStyle w:val="TableContents"/>
              <w:spacing w:before="0" w:after="283"/>
              <w:jc w:val="right"/>
              <w:rPr/>
            </w:pPr>
            <w:r>
              <w:rPr/>
              <w:t xml:space="preserve">​ </w:t>
            </w:r>
          </w:p>
        </w:tc>
        <w:tc>
          <w:tcPr>
            <w:tcW w:w="172" w:type="dxa"/>
            <w:tcBorders/>
            <w:shd w:fill="FFFFFF" w:val="clear"/>
            <w:vAlign w:val="bottom"/>
          </w:tcPr>
          <w:p>
            <w:pPr>
              <w:pStyle w:val="TableContents"/>
              <w:spacing w:before="0" w:after="283"/>
              <w:rPr/>
            </w:pPr>
            <w:r>
              <w:rPr/>
              <w:t>​</w:t>
            </w:r>
          </w:p>
        </w:tc>
        <w:tc>
          <w:tcPr>
            <w:tcW w:w="95" w:type="dxa"/>
            <w:tcBorders>
              <w:bottom w:val="single" w:sz="8" w:space="0" w:color="000000"/>
            </w:tcBorders>
            <w:shd w:fill="FFFFFF" w:val="clear"/>
            <w:tcMar>
              <w:bottom w:w="28" w:type="dxa"/>
            </w:tcMar>
            <w:vAlign w:val="bottom"/>
          </w:tcPr>
          <w:p>
            <w:pPr>
              <w:pStyle w:val="TableContents"/>
              <w:spacing w:before="0" w:after="283"/>
              <w:rPr/>
            </w:pPr>
            <w:r>
              <w:rPr/>
              <w:t xml:space="preserve">​ </w:t>
            </w:r>
          </w:p>
        </w:tc>
        <w:tc>
          <w:tcPr>
            <w:tcW w:w="947" w:type="dxa"/>
            <w:tcBorders>
              <w:bottom w:val="single" w:sz="8" w:space="0" w:color="000000"/>
            </w:tcBorders>
            <w:shd w:fill="FFFFFF" w:val="clear"/>
            <w:tcMar>
              <w:bottom w:w="28" w:type="dxa"/>
            </w:tcMar>
            <w:vAlign w:val="bottom"/>
          </w:tcPr>
          <w:p>
            <w:pPr>
              <w:pStyle w:val="TableContents"/>
              <w:spacing w:before="0" w:after="283"/>
              <w:jc w:val="right"/>
              <w:rPr/>
            </w:pPr>
            <w:r>
              <w:rPr/>
              <w:t xml:space="preserve">​ </w:t>
            </w:r>
          </w:p>
        </w:tc>
        <w:tc>
          <w:tcPr>
            <w:tcW w:w="172" w:type="dxa"/>
            <w:tcBorders/>
            <w:shd w:fill="FFFFFF" w:val="clear"/>
            <w:vAlign w:val="bottom"/>
          </w:tcPr>
          <w:p>
            <w:pPr>
              <w:pStyle w:val="TableContents"/>
              <w:spacing w:before="0" w:after="283"/>
              <w:rPr/>
            </w:pPr>
            <w:r>
              <w:rPr/>
              <w:t>​</w:t>
            </w:r>
          </w:p>
        </w:tc>
        <w:tc>
          <w:tcPr>
            <w:tcW w:w="95" w:type="dxa"/>
            <w:tcBorders>
              <w:bottom w:val="single" w:sz="8" w:space="0" w:color="000000"/>
            </w:tcBorders>
            <w:shd w:fill="FFFFFF" w:val="clear"/>
            <w:tcMar>
              <w:bottom w:w="28" w:type="dxa"/>
            </w:tcMar>
            <w:vAlign w:val="bottom"/>
          </w:tcPr>
          <w:p>
            <w:pPr>
              <w:pStyle w:val="TableContents"/>
              <w:spacing w:before="0" w:after="283"/>
              <w:rPr/>
            </w:pPr>
            <w:r>
              <w:rPr/>
              <w:t xml:space="preserve">​ </w:t>
            </w:r>
          </w:p>
        </w:tc>
        <w:tc>
          <w:tcPr>
            <w:tcW w:w="945" w:type="dxa"/>
            <w:tcBorders>
              <w:bottom w:val="single" w:sz="8" w:space="0" w:color="000000"/>
            </w:tcBorders>
            <w:shd w:fill="FFFFFF" w:val="clear"/>
            <w:tcMar>
              <w:bottom w:w="28" w:type="dxa"/>
            </w:tcMar>
            <w:vAlign w:val="bottom"/>
          </w:tcPr>
          <w:p>
            <w:pPr>
              <w:pStyle w:val="TableContents"/>
              <w:spacing w:before="0" w:after="283"/>
              <w:jc w:val="right"/>
              <w:rPr/>
            </w:pPr>
            <w:r>
              <w:rPr/>
              <w:t xml:space="preserve">​ </w:t>
            </w:r>
          </w:p>
        </w:tc>
        <w:tc>
          <w:tcPr>
            <w:tcW w:w="178" w:type="dxa"/>
            <w:tcBorders/>
            <w:shd w:fill="FFFFFF" w:val="clear"/>
            <w:vAlign w:val="bottom"/>
          </w:tcPr>
          <w:p>
            <w:pPr>
              <w:pStyle w:val="TableContents"/>
              <w:spacing w:before="0" w:after="283"/>
              <w:rPr/>
            </w:pPr>
            <w:r>
              <w:rPr/>
              <w:t>​</w:t>
            </w:r>
          </w:p>
        </w:tc>
      </w:tr>
      <w:tr>
        <w:trPr/>
        <w:tc>
          <w:tcPr>
            <w:tcW w:w="3965" w:type="dxa"/>
            <w:tcBorders/>
            <w:shd w:fill="auto" w:val="clear"/>
            <w:vAlign w:val="bottom"/>
          </w:tcPr>
          <w:p>
            <w:pPr>
              <w:pStyle w:val="TableContents"/>
              <w:spacing w:before="0" w:after="283"/>
              <w:ind w:left="160" w:right="0" w:hanging="160"/>
              <w:rPr>
                <w:rFonts w:ascii="times" w:hAnsi="times"/>
                <w:sz w:val="14"/>
              </w:rPr>
            </w:pPr>
            <w:r>
              <w:rPr>
                <w:rFonts w:ascii="times" w:hAnsi="times"/>
                <w:sz w:val="14"/>
              </w:rPr>
              <w:t>Financial costs</w:t>
            </w:r>
            <w:r>
              <w:rPr>
                <w:rFonts w:ascii="times" w:hAnsi="times"/>
                <w:position w:val="5"/>
                <w:sz w:val="11"/>
                <w:sz w:val="14"/>
              </w:rPr>
              <w:t>(5)</w:t>
            </w:r>
          </w:p>
        </w:tc>
        <w:tc>
          <w:tcPr>
            <w:tcW w:w="172"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945" w:type="dxa"/>
            <w:tcBorders/>
            <w:shd w:fill="auto" w:val="clear"/>
            <w:vAlign w:val="bottom"/>
          </w:tcPr>
          <w:p>
            <w:pPr>
              <w:pStyle w:val="TableContents"/>
              <w:spacing w:before="0" w:after="283"/>
              <w:jc w:val="right"/>
              <w:rPr>
                <w:rFonts w:ascii="times" w:hAnsi="times"/>
                <w:sz w:val="14"/>
              </w:rPr>
            </w:pPr>
            <w:r>
              <w:rPr>
                <w:rFonts w:ascii="times" w:hAnsi="times"/>
                <w:sz w:val="14"/>
              </w:rPr>
              <w:t>(30,187</w:t>
            </w:r>
          </w:p>
        </w:tc>
        <w:tc>
          <w:tcPr>
            <w:tcW w:w="172" w:type="dxa"/>
            <w:tcBorders/>
            <w:shd w:fill="auto" w:val="clear"/>
            <w:vAlign w:val="bottom"/>
          </w:tcPr>
          <w:p>
            <w:pPr>
              <w:pStyle w:val="TableContents"/>
              <w:spacing w:before="0" w:after="283"/>
              <w:rPr>
                <w:rFonts w:ascii="times" w:hAnsi="times"/>
                <w:sz w:val="14"/>
              </w:rPr>
            </w:pPr>
            <w:r>
              <w:rPr>
                <w:rFonts w:ascii="times" w:hAnsi="times"/>
                <w:sz w:val="14"/>
              </w:rPr>
              <w:t>)</w:t>
            </w:r>
          </w:p>
        </w:tc>
        <w:tc>
          <w:tcPr>
            <w:tcW w:w="95" w:type="dxa"/>
            <w:tcBorders/>
            <w:shd w:fill="auto" w:val="clear"/>
            <w:vAlign w:val="bottom"/>
          </w:tcPr>
          <w:p>
            <w:pPr>
              <w:pStyle w:val="TableContents"/>
              <w:spacing w:before="0" w:after="283"/>
              <w:rPr/>
            </w:pPr>
            <w:r>
              <w:rPr/>
              <w:t> </w:t>
            </w:r>
          </w:p>
        </w:tc>
        <w:tc>
          <w:tcPr>
            <w:tcW w:w="945" w:type="dxa"/>
            <w:tcBorders/>
            <w:shd w:fill="auto" w:val="clear"/>
            <w:vAlign w:val="bottom"/>
          </w:tcPr>
          <w:p>
            <w:pPr>
              <w:pStyle w:val="TableContents"/>
              <w:spacing w:before="0" w:after="283"/>
              <w:jc w:val="right"/>
              <w:rPr>
                <w:rFonts w:ascii="times" w:hAnsi="times"/>
                <w:sz w:val="14"/>
              </w:rPr>
            </w:pPr>
            <w:r>
              <w:rPr>
                <w:rFonts w:ascii="times" w:hAnsi="times"/>
                <w:sz w:val="14"/>
              </w:rPr>
              <w:t>(44,916</w:t>
            </w:r>
          </w:p>
        </w:tc>
        <w:tc>
          <w:tcPr>
            <w:tcW w:w="172" w:type="dxa"/>
            <w:tcBorders/>
            <w:shd w:fill="auto" w:val="clear"/>
            <w:vAlign w:val="bottom"/>
          </w:tcPr>
          <w:p>
            <w:pPr>
              <w:pStyle w:val="TableContents"/>
              <w:spacing w:before="0" w:after="283"/>
              <w:rPr>
                <w:rFonts w:ascii="times" w:hAnsi="times"/>
                <w:sz w:val="14"/>
              </w:rPr>
            </w:pPr>
            <w:r>
              <w:rPr>
                <w:rFonts w:ascii="times" w:hAnsi="times"/>
                <w:sz w:val="14"/>
              </w:rPr>
              <w:t>)</w:t>
            </w:r>
          </w:p>
        </w:tc>
        <w:tc>
          <w:tcPr>
            <w:tcW w:w="95" w:type="dxa"/>
            <w:tcBorders/>
            <w:shd w:fill="auto" w:val="clear"/>
            <w:vAlign w:val="bottom"/>
          </w:tcPr>
          <w:p>
            <w:pPr>
              <w:pStyle w:val="TableContents"/>
              <w:spacing w:before="0" w:after="283"/>
              <w:rPr/>
            </w:pPr>
            <w:r>
              <w:rPr/>
              <w:t> </w:t>
            </w:r>
          </w:p>
        </w:tc>
        <w:tc>
          <w:tcPr>
            <w:tcW w:w="945" w:type="dxa"/>
            <w:tcBorders/>
            <w:shd w:fill="auto" w:val="clear"/>
            <w:vAlign w:val="bottom"/>
          </w:tcPr>
          <w:p>
            <w:pPr>
              <w:pStyle w:val="TableContents"/>
              <w:spacing w:before="0" w:after="283"/>
              <w:jc w:val="right"/>
              <w:rPr>
                <w:rFonts w:ascii="times" w:hAnsi="times"/>
                <w:sz w:val="14"/>
              </w:rPr>
            </w:pPr>
            <w:r>
              <w:rPr>
                <w:rFonts w:ascii="times" w:hAnsi="times"/>
                <w:sz w:val="14"/>
              </w:rPr>
              <w:t>(60,258</w:t>
            </w:r>
          </w:p>
        </w:tc>
        <w:tc>
          <w:tcPr>
            <w:tcW w:w="172" w:type="dxa"/>
            <w:tcBorders/>
            <w:shd w:fill="auto" w:val="clear"/>
            <w:vAlign w:val="bottom"/>
          </w:tcPr>
          <w:p>
            <w:pPr>
              <w:pStyle w:val="TableContents"/>
              <w:spacing w:before="0" w:after="283"/>
              <w:rPr>
                <w:rFonts w:ascii="times" w:hAnsi="times"/>
                <w:sz w:val="14"/>
              </w:rPr>
            </w:pPr>
            <w:r>
              <w:rPr>
                <w:rFonts w:ascii="times" w:hAnsi="times"/>
                <w:sz w:val="14"/>
              </w:rPr>
              <w:t>)</w:t>
            </w:r>
          </w:p>
        </w:tc>
        <w:tc>
          <w:tcPr>
            <w:tcW w:w="95" w:type="dxa"/>
            <w:tcBorders/>
            <w:shd w:fill="auto" w:val="clear"/>
            <w:vAlign w:val="bottom"/>
          </w:tcPr>
          <w:p>
            <w:pPr>
              <w:pStyle w:val="TableContents"/>
              <w:spacing w:before="0" w:after="283"/>
              <w:rPr/>
            </w:pPr>
            <w:r>
              <w:rPr/>
              <w:t> </w:t>
            </w:r>
          </w:p>
        </w:tc>
        <w:tc>
          <w:tcPr>
            <w:tcW w:w="947" w:type="dxa"/>
            <w:tcBorders/>
            <w:shd w:fill="auto" w:val="clear"/>
            <w:vAlign w:val="bottom"/>
          </w:tcPr>
          <w:p>
            <w:pPr>
              <w:pStyle w:val="TableContents"/>
              <w:spacing w:before="0" w:after="283"/>
              <w:jc w:val="right"/>
              <w:rPr>
                <w:rFonts w:ascii="times" w:hAnsi="times"/>
                <w:sz w:val="14"/>
              </w:rPr>
            </w:pPr>
            <w:r>
              <w:rPr>
                <w:rFonts w:ascii="times" w:hAnsi="times"/>
                <w:sz w:val="14"/>
              </w:rPr>
              <w:t>(70,268</w:t>
            </w:r>
          </w:p>
        </w:tc>
        <w:tc>
          <w:tcPr>
            <w:tcW w:w="172" w:type="dxa"/>
            <w:tcBorders/>
            <w:shd w:fill="auto" w:val="clear"/>
            <w:vAlign w:val="bottom"/>
          </w:tcPr>
          <w:p>
            <w:pPr>
              <w:pStyle w:val="TableContents"/>
              <w:spacing w:before="0" w:after="283"/>
              <w:rPr>
                <w:rFonts w:ascii="times" w:hAnsi="times"/>
                <w:sz w:val="14"/>
              </w:rPr>
            </w:pPr>
            <w:r>
              <w:rPr>
                <w:rFonts w:ascii="times" w:hAnsi="times"/>
                <w:sz w:val="14"/>
              </w:rPr>
              <w:t>)</w:t>
            </w:r>
          </w:p>
        </w:tc>
        <w:tc>
          <w:tcPr>
            <w:tcW w:w="95" w:type="dxa"/>
            <w:tcBorders/>
            <w:shd w:fill="auto" w:val="clear"/>
            <w:vAlign w:val="bottom"/>
          </w:tcPr>
          <w:p>
            <w:pPr>
              <w:pStyle w:val="TableContents"/>
              <w:spacing w:before="0" w:after="283"/>
              <w:rPr/>
            </w:pPr>
            <w:r>
              <w:rPr/>
              <w:t> </w:t>
            </w:r>
          </w:p>
        </w:tc>
        <w:tc>
          <w:tcPr>
            <w:tcW w:w="945" w:type="dxa"/>
            <w:tcBorders/>
            <w:shd w:fill="auto" w:val="clear"/>
            <w:vAlign w:val="bottom"/>
          </w:tcPr>
          <w:p>
            <w:pPr>
              <w:pStyle w:val="TableContents"/>
              <w:spacing w:before="0" w:after="283"/>
              <w:jc w:val="right"/>
              <w:rPr>
                <w:rFonts w:ascii="times" w:hAnsi="times"/>
                <w:sz w:val="14"/>
              </w:rPr>
            </w:pPr>
            <w:r>
              <w:rPr>
                <w:rFonts w:ascii="times" w:hAnsi="times"/>
                <w:sz w:val="14"/>
              </w:rPr>
              <w:t>(50,987</w:t>
            </w:r>
          </w:p>
        </w:tc>
        <w:tc>
          <w:tcPr>
            <w:tcW w:w="178" w:type="dxa"/>
            <w:tcBorders/>
            <w:shd w:fill="auto" w:val="clear"/>
            <w:vAlign w:val="bottom"/>
          </w:tcPr>
          <w:p>
            <w:pPr>
              <w:pStyle w:val="TableContents"/>
              <w:spacing w:before="0" w:after="283"/>
              <w:rPr>
                <w:rFonts w:ascii="times" w:hAnsi="times"/>
                <w:sz w:val="14"/>
              </w:rPr>
            </w:pPr>
            <w:r>
              <w:rPr>
                <w:rFonts w:ascii="times" w:hAnsi="times"/>
                <w:sz w:val="14"/>
              </w:rPr>
              <w:t>)</w:t>
            </w:r>
          </w:p>
        </w:tc>
      </w:tr>
      <w:tr>
        <w:trPr/>
        <w:tc>
          <w:tcPr>
            <w:tcW w:w="3965" w:type="dxa"/>
            <w:tcBorders/>
            <w:shd w:fill="auto" w:val="clear"/>
            <w:vAlign w:val="bottom"/>
          </w:tcPr>
          <w:p>
            <w:pPr>
              <w:pStyle w:val="TableContents"/>
              <w:spacing w:before="0" w:after="283"/>
              <w:ind w:left="160" w:right="0" w:hanging="160"/>
              <w:rPr>
                <w:rFonts w:ascii="times" w:hAnsi="times"/>
                <w:sz w:val="14"/>
              </w:rPr>
            </w:pPr>
            <w:r>
              <w:rPr>
                <w:rFonts w:ascii="times" w:hAnsi="times"/>
                <w:sz w:val="14"/>
              </w:rPr>
              <w:t>Financial income</w:t>
            </w:r>
            <w:r>
              <w:rPr>
                <w:rFonts w:ascii="times" w:hAnsi="times"/>
                <w:position w:val="5"/>
                <w:sz w:val="11"/>
                <w:sz w:val="14"/>
              </w:rPr>
              <w:t>(5)</w:t>
            </w:r>
          </w:p>
        </w:tc>
        <w:tc>
          <w:tcPr>
            <w:tcW w:w="172"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945" w:type="dxa"/>
            <w:tcBorders/>
            <w:shd w:fill="auto" w:val="clear"/>
            <w:vAlign w:val="bottom"/>
          </w:tcPr>
          <w:p>
            <w:pPr>
              <w:pStyle w:val="TableContents"/>
              <w:spacing w:before="0" w:after="283"/>
              <w:jc w:val="right"/>
              <w:rPr>
                <w:rFonts w:ascii="times" w:hAnsi="times"/>
                <w:sz w:val="14"/>
              </w:rPr>
            </w:pPr>
            <w:r>
              <w:rPr>
                <w:rFonts w:ascii="times" w:hAnsi="times"/>
                <w:sz w:val="14"/>
              </w:rPr>
              <w:t>179</w:t>
            </w:r>
          </w:p>
        </w:tc>
        <w:tc>
          <w:tcPr>
            <w:tcW w:w="172"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945" w:type="dxa"/>
            <w:tcBorders/>
            <w:shd w:fill="auto" w:val="clear"/>
            <w:vAlign w:val="bottom"/>
          </w:tcPr>
          <w:p>
            <w:pPr>
              <w:pStyle w:val="TableContents"/>
              <w:spacing w:before="0" w:after="283"/>
              <w:jc w:val="right"/>
              <w:rPr>
                <w:rFonts w:ascii="times" w:hAnsi="times"/>
                <w:sz w:val="14"/>
              </w:rPr>
            </w:pPr>
            <w:r>
              <w:rPr>
                <w:rFonts w:ascii="times" w:hAnsi="times"/>
                <w:sz w:val="14"/>
              </w:rPr>
              <w:t>972</w:t>
            </w:r>
          </w:p>
        </w:tc>
        <w:tc>
          <w:tcPr>
            <w:tcW w:w="172"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945" w:type="dxa"/>
            <w:tcBorders/>
            <w:shd w:fill="auto" w:val="clear"/>
            <w:vAlign w:val="bottom"/>
          </w:tcPr>
          <w:p>
            <w:pPr>
              <w:pStyle w:val="TableContents"/>
              <w:spacing w:before="0" w:after="283"/>
              <w:jc w:val="right"/>
              <w:rPr>
                <w:rFonts w:ascii="times" w:hAnsi="times"/>
                <w:sz w:val="14"/>
              </w:rPr>
            </w:pPr>
            <w:r>
              <w:rPr>
                <w:rFonts w:ascii="times" w:hAnsi="times"/>
                <w:sz w:val="14"/>
              </w:rPr>
              <w:t>2,398</w:t>
            </w:r>
          </w:p>
        </w:tc>
        <w:tc>
          <w:tcPr>
            <w:tcW w:w="172"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947" w:type="dxa"/>
            <w:tcBorders/>
            <w:shd w:fill="auto" w:val="clear"/>
            <w:vAlign w:val="bottom"/>
          </w:tcPr>
          <w:p>
            <w:pPr>
              <w:pStyle w:val="TableContents"/>
              <w:spacing w:before="0" w:after="283"/>
              <w:jc w:val="right"/>
              <w:rPr>
                <w:rFonts w:ascii="times" w:hAnsi="times"/>
                <w:sz w:val="14"/>
              </w:rPr>
            </w:pPr>
            <w:r>
              <w:rPr>
                <w:rFonts w:ascii="times" w:hAnsi="times"/>
                <w:sz w:val="14"/>
              </w:rPr>
              <w:t>1,873</w:t>
            </w:r>
          </w:p>
        </w:tc>
        <w:tc>
          <w:tcPr>
            <w:tcW w:w="172"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945" w:type="dxa"/>
            <w:tcBorders/>
            <w:shd w:fill="auto" w:val="clear"/>
            <w:vAlign w:val="bottom"/>
          </w:tcPr>
          <w:p>
            <w:pPr>
              <w:pStyle w:val="TableContents"/>
              <w:spacing w:before="0" w:after="283"/>
              <w:jc w:val="right"/>
              <w:rPr>
                <w:rFonts w:ascii="times" w:hAnsi="times"/>
                <w:sz w:val="14"/>
              </w:rPr>
            </w:pPr>
            <w:r>
              <w:rPr>
                <w:rFonts w:ascii="times" w:hAnsi="times"/>
                <w:sz w:val="14"/>
              </w:rPr>
              <w:t>295</w:t>
            </w:r>
          </w:p>
        </w:tc>
        <w:tc>
          <w:tcPr>
            <w:tcW w:w="178" w:type="dxa"/>
            <w:tcBorders/>
            <w:shd w:fill="auto" w:val="clear"/>
            <w:vAlign w:val="bottom"/>
          </w:tcPr>
          <w:p>
            <w:pPr>
              <w:pStyle w:val="TableContents"/>
              <w:spacing w:before="0" w:after="283"/>
              <w:rPr/>
            </w:pPr>
            <w:r>
              <w:rPr/>
              <w:t> </w:t>
            </w:r>
          </w:p>
        </w:tc>
      </w:tr>
      <w:tr>
        <w:trPr/>
        <w:tc>
          <w:tcPr>
            <w:tcW w:w="3965" w:type="dxa"/>
            <w:tcBorders/>
            <w:shd w:fill="auto" w:val="clear"/>
            <w:vAlign w:val="bottom"/>
          </w:tcPr>
          <w:p>
            <w:pPr>
              <w:pStyle w:val="TableContents"/>
              <w:spacing w:before="0" w:after="283"/>
              <w:ind w:left="160" w:right="0" w:hanging="160"/>
              <w:rPr>
                <w:rFonts w:ascii="times" w:hAnsi="times"/>
                <w:sz w:val="14"/>
              </w:rPr>
            </w:pPr>
            <w:r>
              <w:rPr>
                <w:rFonts w:ascii="times" w:hAnsi="times"/>
                <w:sz w:val="14"/>
              </w:rPr>
              <w:t>Gain/(loss) on derivatives</w:t>
            </w:r>
            <w:r>
              <w:rPr>
                <w:rFonts w:ascii="times" w:hAnsi="times"/>
                <w:position w:val="5"/>
                <w:sz w:val="11"/>
                <w:sz w:val="14"/>
              </w:rPr>
              <w:t>(5)</w:t>
            </w:r>
          </w:p>
        </w:tc>
        <w:tc>
          <w:tcPr>
            <w:tcW w:w="172"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945" w:type="dxa"/>
            <w:tcBorders/>
            <w:shd w:fill="auto" w:val="clear"/>
            <w:vAlign w:val="bottom"/>
          </w:tcPr>
          <w:p>
            <w:pPr>
              <w:pStyle w:val="TableContents"/>
              <w:spacing w:before="0" w:after="283"/>
              <w:jc w:val="right"/>
              <w:rPr>
                <w:rFonts w:ascii="times" w:hAnsi="times"/>
                <w:sz w:val="14"/>
              </w:rPr>
            </w:pPr>
            <w:r>
              <w:rPr>
                <w:rFonts w:ascii="times" w:hAnsi="times"/>
                <w:sz w:val="14"/>
              </w:rPr>
              <w:t>3,623</w:t>
            </w:r>
          </w:p>
        </w:tc>
        <w:tc>
          <w:tcPr>
            <w:tcW w:w="172"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945" w:type="dxa"/>
            <w:tcBorders/>
            <w:shd w:fill="auto" w:val="clear"/>
            <w:vAlign w:val="bottom"/>
          </w:tcPr>
          <w:p>
            <w:pPr>
              <w:pStyle w:val="TableContents"/>
              <w:spacing w:before="0" w:after="283"/>
              <w:jc w:val="right"/>
              <w:rPr>
                <w:rFonts w:ascii="times" w:hAnsi="times"/>
                <w:sz w:val="14"/>
              </w:rPr>
            </w:pPr>
            <w:r>
              <w:rPr>
                <w:rFonts w:ascii="times" w:hAnsi="times"/>
                <w:sz w:val="14"/>
              </w:rPr>
              <w:t>121</w:t>
            </w:r>
          </w:p>
        </w:tc>
        <w:tc>
          <w:tcPr>
            <w:tcW w:w="172"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945" w:type="dxa"/>
            <w:tcBorders/>
            <w:shd w:fill="auto" w:val="clear"/>
            <w:vAlign w:val="bottom"/>
          </w:tcPr>
          <w:p>
            <w:pPr>
              <w:pStyle w:val="TableContents"/>
              <w:spacing w:before="0" w:after="283"/>
              <w:jc w:val="right"/>
              <w:rPr>
                <w:rFonts w:ascii="times" w:hAnsi="times"/>
                <w:sz w:val="14"/>
              </w:rPr>
            </w:pPr>
            <w:r>
              <w:rPr>
                <w:rFonts w:ascii="times" w:hAnsi="times"/>
                <w:sz w:val="14"/>
              </w:rPr>
              <w:t>(48</w:t>
            </w:r>
          </w:p>
        </w:tc>
        <w:tc>
          <w:tcPr>
            <w:tcW w:w="172" w:type="dxa"/>
            <w:tcBorders/>
            <w:shd w:fill="auto" w:val="clear"/>
            <w:vAlign w:val="bottom"/>
          </w:tcPr>
          <w:p>
            <w:pPr>
              <w:pStyle w:val="TableContents"/>
              <w:spacing w:before="0" w:after="283"/>
              <w:rPr>
                <w:rFonts w:ascii="times" w:hAnsi="times"/>
                <w:sz w:val="14"/>
              </w:rPr>
            </w:pPr>
            <w:r>
              <w:rPr>
                <w:rFonts w:ascii="times" w:hAnsi="times"/>
                <w:sz w:val="14"/>
              </w:rPr>
              <w:t>)</w:t>
            </w:r>
          </w:p>
        </w:tc>
        <w:tc>
          <w:tcPr>
            <w:tcW w:w="95" w:type="dxa"/>
            <w:tcBorders/>
            <w:shd w:fill="auto" w:val="clear"/>
            <w:vAlign w:val="bottom"/>
          </w:tcPr>
          <w:p>
            <w:pPr>
              <w:pStyle w:val="TableContents"/>
              <w:spacing w:before="0" w:after="283"/>
              <w:rPr/>
            </w:pPr>
            <w:r>
              <w:rPr/>
              <w:t> </w:t>
            </w:r>
          </w:p>
        </w:tc>
        <w:tc>
          <w:tcPr>
            <w:tcW w:w="947" w:type="dxa"/>
            <w:tcBorders/>
            <w:shd w:fill="auto" w:val="clear"/>
            <w:vAlign w:val="bottom"/>
          </w:tcPr>
          <w:p>
            <w:pPr>
              <w:pStyle w:val="TableContents"/>
              <w:spacing w:before="0" w:after="283"/>
              <w:jc w:val="right"/>
              <w:rPr>
                <w:rFonts w:ascii="times" w:hAnsi="times"/>
                <w:sz w:val="14"/>
              </w:rPr>
            </w:pPr>
            <w:r>
              <w:rPr>
                <w:rFonts w:ascii="times" w:hAnsi="times"/>
                <w:sz w:val="14"/>
              </w:rPr>
              <w:t>(12,795</w:t>
            </w:r>
          </w:p>
        </w:tc>
        <w:tc>
          <w:tcPr>
            <w:tcW w:w="172" w:type="dxa"/>
            <w:tcBorders/>
            <w:shd w:fill="auto" w:val="clear"/>
            <w:vAlign w:val="bottom"/>
          </w:tcPr>
          <w:p>
            <w:pPr>
              <w:pStyle w:val="TableContents"/>
              <w:spacing w:before="0" w:after="283"/>
              <w:rPr>
                <w:rFonts w:ascii="times" w:hAnsi="times"/>
                <w:sz w:val="14"/>
              </w:rPr>
            </w:pPr>
            <w:r>
              <w:rPr>
                <w:rFonts w:ascii="times" w:hAnsi="times"/>
                <w:sz w:val="14"/>
              </w:rPr>
              <w:t>)</w:t>
            </w:r>
          </w:p>
        </w:tc>
        <w:tc>
          <w:tcPr>
            <w:tcW w:w="95" w:type="dxa"/>
            <w:tcBorders/>
            <w:shd w:fill="auto" w:val="clear"/>
            <w:vAlign w:val="bottom"/>
          </w:tcPr>
          <w:p>
            <w:pPr>
              <w:pStyle w:val="TableContents"/>
              <w:spacing w:before="0" w:after="283"/>
              <w:rPr/>
            </w:pPr>
            <w:r>
              <w:rPr/>
              <w:t> </w:t>
            </w:r>
          </w:p>
        </w:tc>
        <w:tc>
          <w:tcPr>
            <w:tcW w:w="945" w:type="dxa"/>
            <w:tcBorders/>
            <w:shd w:fill="auto" w:val="clear"/>
            <w:vAlign w:val="bottom"/>
          </w:tcPr>
          <w:p>
            <w:pPr>
              <w:pStyle w:val="TableContents"/>
              <w:spacing w:before="0" w:after="283"/>
              <w:jc w:val="right"/>
              <w:rPr>
                <w:rFonts w:ascii="times" w:hAnsi="times"/>
                <w:sz w:val="14"/>
              </w:rPr>
            </w:pPr>
            <w:r>
              <w:rPr>
                <w:rFonts w:ascii="times" w:hAnsi="times"/>
                <w:sz w:val="14"/>
              </w:rPr>
              <w:t>(14,929</w:t>
            </w:r>
          </w:p>
        </w:tc>
        <w:tc>
          <w:tcPr>
            <w:tcW w:w="178" w:type="dxa"/>
            <w:tcBorders/>
            <w:shd w:fill="auto" w:val="clear"/>
            <w:vAlign w:val="bottom"/>
          </w:tcPr>
          <w:p>
            <w:pPr>
              <w:pStyle w:val="TableContents"/>
              <w:spacing w:before="0" w:after="283"/>
              <w:rPr>
                <w:rFonts w:ascii="times" w:hAnsi="times"/>
                <w:sz w:val="14"/>
              </w:rPr>
            </w:pPr>
            <w:r>
              <w:rPr>
                <w:rFonts w:ascii="times" w:hAnsi="times"/>
                <w:sz w:val="14"/>
              </w:rPr>
              <w:t xml:space="preserve">) </w:t>
            </w:r>
          </w:p>
        </w:tc>
      </w:tr>
      <w:tr>
        <w:trPr/>
        <w:tc>
          <w:tcPr>
            <w:tcW w:w="3965" w:type="dxa"/>
            <w:tcBorders/>
            <w:shd w:fill="FFFFFF" w:val="clear"/>
            <w:vAlign w:val="bottom"/>
          </w:tcPr>
          <w:p>
            <w:pPr>
              <w:pStyle w:val="TableContents"/>
              <w:spacing w:before="0" w:after="283"/>
              <w:rPr/>
            </w:pPr>
            <w:r>
              <w:rPr/>
              <w:t>​</w:t>
            </w:r>
          </w:p>
        </w:tc>
        <w:tc>
          <w:tcPr>
            <w:tcW w:w="172" w:type="dxa"/>
            <w:tcBorders/>
            <w:shd w:fill="FFFFFF" w:val="clear"/>
            <w:vAlign w:val="bottom"/>
          </w:tcPr>
          <w:p>
            <w:pPr>
              <w:pStyle w:val="TableContents"/>
              <w:spacing w:before="0" w:after="283"/>
              <w:rPr/>
            </w:pPr>
            <w:r>
              <w:rPr/>
              <w:t>​</w:t>
            </w:r>
          </w:p>
        </w:tc>
        <w:tc>
          <w:tcPr>
            <w:tcW w:w="95" w:type="dxa"/>
            <w:tcBorders>
              <w:bottom w:val="single" w:sz="8" w:space="0" w:color="000000"/>
            </w:tcBorders>
            <w:shd w:fill="FFFFFF" w:val="clear"/>
            <w:tcMar>
              <w:bottom w:w="28" w:type="dxa"/>
            </w:tcMar>
            <w:vAlign w:val="bottom"/>
          </w:tcPr>
          <w:p>
            <w:pPr>
              <w:pStyle w:val="TableContents"/>
              <w:spacing w:before="0" w:after="283"/>
              <w:rPr/>
            </w:pPr>
            <w:r>
              <w:rPr/>
              <w:t xml:space="preserve">​ </w:t>
            </w:r>
          </w:p>
        </w:tc>
        <w:tc>
          <w:tcPr>
            <w:tcW w:w="945" w:type="dxa"/>
            <w:tcBorders>
              <w:bottom w:val="single" w:sz="8" w:space="0" w:color="000000"/>
            </w:tcBorders>
            <w:shd w:fill="FFFFFF" w:val="clear"/>
            <w:tcMar>
              <w:bottom w:w="28" w:type="dxa"/>
            </w:tcMar>
            <w:vAlign w:val="bottom"/>
          </w:tcPr>
          <w:p>
            <w:pPr>
              <w:pStyle w:val="TableContents"/>
              <w:spacing w:before="0" w:after="283"/>
              <w:jc w:val="right"/>
              <w:rPr/>
            </w:pPr>
            <w:r>
              <w:rPr/>
              <w:t xml:space="preserve">​ </w:t>
            </w:r>
          </w:p>
        </w:tc>
        <w:tc>
          <w:tcPr>
            <w:tcW w:w="172" w:type="dxa"/>
            <w:tcBorders/>
            <w:shd w:fill="FFFFFF" w:val="clear"/>
            <w:vAlign w:val="bottom"/>
          </w:tcPr>
          <w:p>
            <w:pPr>
              <w:pStyle w:val="TableContents"/>
              <w:spacing w:before="0" w:after="283"/>
              <w:rPr/>
            </w:pPr>
            <w:r>
              <w:rPr/>
              <w:t>​</w:t>
            </w:r>
          </w:p>
        </w:tc>
        <w:tc>
          <w:tcPr>
            <w:tcW w:w="95" w:type="dxa"/>
            <w:tcBorders>
              <w:bottom w:val="single" w:sz="8" w:space="0" w:color="000000"/>
            </w:tcBorders>
            <w:shd w:fill="FFFFFF" w:val="clear"/>
            <w:tcMar>
              <w:bottom w:w="28" w:type="dxa"/>
            </w:tcMar>
            <w:vAlign w:val="bottom"/>
          </w:tcPr>
          <w:p>
            <w:pPr>
              <w:pStyle w:val="TableContents"/>
              <w:spacing w:before="0" w:after="283"/>
              <w:rPr/>
            </w:pPr>
            <w:r>
              <w:rPr/>
              <w:t xml:space="preserve">​ </w:t>
            </w:r>
          </w:p>
        </w:tc>
        <w:tc>
          <w:tcPr>
            <w:tcW w:w="945" w:type="dxa"/>
            <w:tcBorders>
              <w:bottom w:val="single" w:sz="8" w:space="0" w:color="000000"/>
            </w:tcBorders>
            <w:shd w:fill="FFFFFF" w:val="clear"/>
            <w:tcMar>
              <w:bottom w:w="28" w:type="dxa"/>
            </w:tcMar>
            <w:vAlign w:val="bottom"/>
          </w:tcPr>
          <w:p>
            <w:pPr>
              <w:pStyle w:val="TableContents"/>
              <w:spacing w:before="0" w:after="283"/>
              <w:jc w:val="right"/>
              <w:rPr/>
            </w:pPr>
            <w:r>
              <w:rPr/>
              <w:t xml:space="preserve">​ </w:t>
            </w:r>
          </w:p>
        </w:tc>
        <w:tc>
          <w:tcPr>
            <w:tcW w:w="172" w:type="dxa"/>
            <w:tcBorders/>
            <w:shd w:fill="FFFFFF" w:val="clear"/>
            <w:vAlign w:val="bottom"/>
          </w:tcPr>
          <w:p>
            <w:pPr>
              <w:pStyle w:val="TableContents"/>
              <w:spacing w:before="0" w:after="283"/>
              <w:rPr/>
            </w:pPr>
            <w:r>
              <w:rPr/>
              <w:t>​</w:t>
            </w:r>
          </w:p>
        </w:tc>
        <w:tc>
          <w:tcPr>
            <w:tcW w:w="95" w:type="dxa"/>
            <w:tcBorders>
              <w:bottom w:val="single" w:sz="8" w:space="0" w:color="000000"/>
            </w:tcBorders>
            <w:shd w:fill="FFFFFF" w:val="clear"/>
            <w:tcMar>
              <w:bottom w:w="28" w:type="dxa"/>
            </w:tcMar>
            <w:vAlign w:val="bottom"/>
          </w:tcPr>
          <w:p>
            <w:pPr>
              <w:pStyle w:val="TableContents"/>
              <w:spacing w:before="0" w:after="283"/>
              <w:rPr/>
            </w:pPr>
            <w:r>
              <w:rPr/>
              <w:t xml:space="preserve">​ </w:t>
            </w:r>
          </w:p>
        </w:tc>
        <w:tc>
          <w:tcPr>
            <w:tcW w:w="945" w:type="dxa"/>
            <w:tcBorders>
              <w:bottom w:val="single" w:sz="8" w:space="0" w:color="000000"/>
            </w:tcBorders>
            <w:shd w:fill="FFFFFF" w:val="clear"/>
            <w:tcMar>
              <w:bottom w:w="28" w:type="dxa"/>
            </w:tcMar>
            <w:vAlign w:val="bottom"/>
          </w:tcPr>
          <w:p>
            <w:pPr>
              <w:pStyle w:val="TableContents"/>
              <w:spacing w:before="0" w:after="283"/>
              <w:jc w:val="right"/>
              <w:rPr/>
            </w:pPr>
            <w:r>
              <w:rPr/>
              <w:t xml:space="preserve">​ </w:t>
            </w:r>
          </w:p>
        </w:tc>
        <w:tc>
          <w:tcPr>
            <w:tcW w:w="172" w:type="dxa"/>
            <w:tcBorders/>
            <w:shd w:fill="FFFFFF" w:val="clear"/>
            <w:vAlign w:val="bottom"/>
          </w:tcPr>
          <w:p>
            <w:pPr>
              <w:pStyle w:val="TableContents"/>
              <w:spacing w:before="0" w:after="283"/>
              <w:rPr/>
            </w:pPr>
            <w:r>
              <w:rPr/>
              <w:t>​</w:t>
            </w:r>
          </w:p>
        </w:tc>
        <w:tc>
          <w:tcPr>
            <w:tcW w:w="95" w:type="dxa"/>
            <w:tcBorders>
              <w:bottom w:val="single" w:sz="8" w:space="0" w:color="000000"/>
            </w:tcBorders>
            <w:shd w:fill="FFFFFF" w:val="clear"/>
            <w:tcMar>
              <w:bottom w:w="28" w:type="dxa"/>
            </w:tcMar>
            <w:vAlign w:val="bottom"/>
          </w:tcPr>
          <w:p>
            <w:pPr>
              <w:pStyle w:val="TableContents"/>
              <w:spacing w:before="0" w:after="283"/>
              <w:rPr/>
            </w:pPr>
            <w:r>
              <w:rPr/>
              <w:t xml:space="preserve">​ </w:t>
            </w:r>
          </w:p>
        </w:tc>
        <w:tc>
          <w:tcPr>
            <w:tcW w:w="947" w:type="dxa"/>
            <w:tcBorders>
              <w:bottom w:val="single" w:sz="8" w:space="0" w:color="000000"/>
            </w:tcBorders>
            <w:shd w:fill="FFFFFF" w:val="clear"/>
            <w:tcMar>
              <w:bottom w:w="28" w:type="dxa"/>
            </w:tcMar>
            <w:vAlign w:val="bottom"/>
          </w:tcPr>
          <w:p>
            <w:pPr>
              <w:pStyle w:val="TableContents"/>
              <w:spacing w:before="0" w:after="283"/>
              <w:jc w:val="right"/>
              <w:rPr/>
            </w:pPr>
            <w:r>
              <w:rPr/>
              <w:t xml:space="preserve">​ </w:t>
            </w:r>
          </w:p>
        </w:tc>
        <w:tc>
          <w:tcPr>
            <w:tcW w:w="172" w:type="dxa"/>
            <w:tcBorders/>
            <w:shd w:fill="FFFFFF" w:val="clear"/>
            <w:vAlign w:val="bottom"/>
          </w:tcPr>
          <w:p>
            <w:pPr>
              <w:pStyle w:val="TableContents"/>
              <w:spacing w:before="0" w:after="283"/>
              <w:rPr/>
            </w:pPr>
            <w:r>
              <w:rPr/>
              <w:t>​</w:t>
            </w:r>
          </w:p>
        </w:tc>
        <w:tc>
          <w:tcPr>
            <w:tcW w:w="95" w:type="dxa"/>
            <w:tcBorders>
              <w:bottom w:val="single" w:sz="8" w:space="0" w:color="000000"/>
            </w:tcBorders>
            <w:shd w:fill="FFFFFF" w:val="clear"/>
            <w:tcMar>
              <w:bottom w:w="28" w:type="dxa"/>
            </w:tcMar>
            <w:vAlign w:val="bottom"/>
          </w:tcPr>
          <w:p>
            <w:pPr>
              <w:pStyle w:val="TableContents"/>
              <w:spacing w:before="0" w:after="283"/>
              <w:rPr/>
            </w:pPr>
            <w:r>
              <w:rPr/>
              <w:t xml:space="preserve">​ </w:t>
            </w:r>
          </w:p>
        </w:tc>
        <w:tc>
          <w:tcPr>
            <w:tcW w:w="945" w:type="dxa"/>
            <w:tcBorders>
              <w:bottom w:val="single" w:sz="8" w:space="0" w:color="000000"/>
            </w:tcBorders>
            <w:shd w:fill="FFFFFF" w:val="clear"/>
            <w:tcMar>
              <w:bottom w:w="28" w:type="dxa"/>
            </w:tcMar>
            <w:vAlign w:val="bottom"/>
          </w:tcPr>
          <w:p>
            <w:pPr>
              <w:pStyle w:val="TableContents"/>
              <w:spacing w:before="0" w:after="283"/>
              <w:jc w:val="right"/>
              <w:rPr/>
            </w:pPr>
            <w:r>
              <w:rPr/>
              <w:t xml:space="preserve">​ </w:t>
            </w:r>
          </w:p>
        </w:tc>
        <w:tc>
          <w:tcPr>
            <w:tcW w:w="178" w:type="dxa"/>
            <w:tcBorders/>
            <w:shd w:fill="FFFFFF" w:val="clear"/>
            <w:vAlign w:val="bottom"/>
          </w:tcPr>
          <w:p>
            <w:pPr>
              <w:pStyle w:val="TableContents"/>
              <w:spacing w:before="0" w:after="283"/>
              <w:rPr/>
            </w:pPr>
            <w:r>
              <w:rPr/>
              <w:t>​</w:t>
            </w:r>
          </w:p>
        </w:tc>
      </w:tr>
      <w:tr>
        <w:trPr/>
        <w:tc>
          <w:tcPr>
            <w:tcW w:w="3965" w:type="dxa"/>
            <w:tcBorders/>
            <w:shd w:fill="auto" w:val="clear"/>
            <w:vAlign w:val="bottom"/>
          </w:tcPr>
          <w:p>
            <w:pPr>
              <w:pStyle w:val="TableContents"/>
              <w:spacing w:before="0" w:after="283"/>
              <w:ind w:left="160" w:right="0" w:hanging="160"/>
              <w:rPr>
                <w:rFonts w:ascii="times" w:hAnsi="times"/>
                <w:b/>
                <w:sz w:val="14"/>
              </w:rPr>
            </w:pPr>
            <w:r>
              <w:rPr>
                <w:rFonts w:ascii="times" w:hAnsi="times"/>
                <w:b/>
                <w:sz w:val="14"/>
              </w:rPr>
              <w:t>Total other expenses, net</w:t>
            </w:r>
            <w:r>
              <w:rPr>
                <w:rFonts w:ascii="times" w:hAnsi="times"/>
                <w:b/>
                <w:position w:val="5"/>
                <w:sz w:val="11"/>
                <w:sz w:val="14"/>
              </w:rPr>
              <w:t>(5)</w:t>
            </w:r>
          </w:p>
        </w:tc>
        <w:tc>
          <w:tcPr>
            <w:tcW w:w="172"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945" w:type="dxa"/>
            <w:tcBorders/>
            <w:shd w:fill="auto" w:val="clear"/>
            <w:vAlign w:val="bottom"/>
          </w:tcPr>
          <w:p>
            <w:pPr>
              <w:pStyle w:val="TableContents"/>
              <w:spacing w:before="0" w:after="283"/>
              <w:jc w:val="right"/>
              <w:rPr>
                <w:rFonts w:ascii="times" w:hAnsi="times"/>
                <w:b/>
                <w:sz w:val="14"/>
              </w:rPr>
            </w:pPr>
            <w:r>
              <w:rPr>
                <w:rFonts w:ascii="times" w:hAnsi="times"/>
                <w:b/>
                <w:sz w:val="14"/>
              </w:rPr>
              <w:t>(26,385</w:t>
            </w:r>
          </w:p>
        </w:tc>
        <w:tc>
          <w:tcPr>
            <w:tcW w:w="172" w:type="dxa"/>
            <w:tcBorders/>
            <w:shd w:fill="auto" w:val="clear"/>
            <w:vAlign w:val="bottom"/>
          </w:tcPr>
          <w:p>
            <w:pPr>
              <w:pStyle w:val="TableContents"/>
              <w:spacing w:before="0" w:after="283"/>
              <w:rPr>
                <w:rFonts w:ascii="times" w:hAnsi="times"/>
                <w:b/>
                <w:sz w:val="14"/>
              </w:rPr>
            </w:pPr>
            <w:r>
              <w:rPr>
                <w:rFonts w:ascii="times" w:hAnsi="times"/>
                <w:b/>
                <w:sz w:val="14"/>
              </w:rPr>
              <w:t>)</w:t>
            </w:r>
          </w:p>
        </w:tc>
        <w:tc>
          <w:tcPr>
            <w:tcW w:w="95" w:type="dxa"/>
            <w:tcBorders/>
            <w:shd w:fill="auto" w:val="clear"/>
            <w:vAlign w:val="bottom"/>
          </w:tcPr>
          <w:p>
            <w:pPr>
              <w:pStyle w:val="TableContents"/>
              <w:spacing w:before="0" w:after="283"/>
              <w:rPr/>
            </w:pPr>
            <w:r>
              <w:rPr/>
              <w:t> </w:t>
            </w:r>
          </w:p>
        </w:tc>
        <w:tc>
          <w:tcPr>
            <w:tcW w:w="945" w:type="dxa"/>
            <w:tcBorders/>
            <w:shd w:fill="auto" w:val="clear"/>
            <w:vAlign w:val="bottom"/>
          </w:tcPr>
          <w:p>
            <w:pPr>
              <w:pStyle w:val="TableContents"/>
              <w:spacing w:before="0" w:after="283"/>
              <w:jc w:val="right"/>
              <w:rPr>
                <w:rFonts w:ascii="times" w:hAnsi="times"/>
                <w:b/>
                <w:sz w:val="14"/>
              </w:rPr>
            </w:pPr>
            <w:r>
              <w:rPr>
                <w:rFonts w:ascii="times" w:hAnsi="times"/>
                <w:b/>
                <w:sz w:val="14"/>
              </w:rPr>
              <w:t>(43,823</w:t>
            </w:r>
          </w:p>
        </w:tc>
        <w:tc>
          <w:tcPr>
            <w:tcW w:w="172" w:type="dxa"/>
            <w:tcBorders/>
            <w:shd w:fill="auto" w:val="clear"/>
            <w:vAlign w:val="bottom"/>
          </w:tcPr>
          <w:p>
            <w:pPr>
              <w:pStyle w:val="TableContents"/>
              <w:spacing w:before="0" w:after="283"/>
              <w:rPr>
                <w:rFonts w:ascii="times" w:hAnsi="times"/>
                <w:b/>
                <w:sz w:val="14"/>
              </w:rPr>
            </w:pPr>
            <w:r>
              <w:rPr>
                <w:rFonts w:ascii="times" w:hAnsi="times"/>
                <w:b/>
                <w:sz w:val="14"/>
              </w:rPr>
              <w:t>)</w:t>
            </w:r>
          </w:p>
        </w:tc>
        <w:tc>
          <w:tcPr>
            <w:tcW w:w="95" w:type="dxa"/>
            <w:tcBorders/>
            <w:shd w:fill="auto" w:val="clear"/>
            <w:vAlign w:val="bottom"/>
          </w:tcPr>
          <w:p>
            <w:pPr>
              <w:pStyle w:val="TableContents"/>
              <w:spacing w:before="0" w:after="283"/>
              <w:rPr/>
            </w:pPr>
            <w:r>
              <w:rPr/>
              <w:t> </w:t>
            </w:r>
          </w:p>
        </w:tc>
        <w:tc>
          <w:tcPr>
            <w:tcW w:w="945" w:type="dxa"/>
            <w:tcBorders/>
            <w:shd w:fill="auto" w:val="clear"/>
            <w:vAlign w:val="bottom"/>
          </w:tcPr>
          <w:p>
            <w:pPr>
              <w:pStyle w:val="TableContents"/>
              <w:spacing w:before="0" w:after="283"/>
              <w:jc w:val="right"/>
              <w:rPr>
                <w:rFonts w:ascii="times" w:hAnsi="times"/>
                <w:b/>
                <w:sz w:val="14"/>
              </w:rPr>
            </w:pPr>
            <w:r>
              <w:rPr>
                <w:rFonts w:ascii="times" w:hAnsi="times"/>
                <w:b/>
                <w:sz w:val="14"/>
              </w:rPr>
              <w:t>(57,908</w:t>
            </w:r>
          </w:p>
        </w:tc>
        <w:tc>
          <w:tcPr>
            <w:tcW w:w="172" w:type="dxa"/>
            <w:tcBorders/>
            <w:shd w:fill="auto" w:val="clear"/>
            <w:vAlign w:val="bottom"/>
          </w:tcPr>
          <w:p>
            <w:pPr>
              <w:pStyle w:val="TableContents"/>
              <w:spacing w:before="0" w:after="283"/>
              <w:rPr>
                <w:rFonts w:ascii="times" w:hAnsi="times"/>
                <w:b/>
                <w:sz w:val="14"/>
              </w:rPr>
            </w:pPr>
            <w:r>
              <w:rPr>
                <w:rFonts w:ascii="times" w:hAnsi="times"/>
                <w:b/>
                <w:sz w:val="14"/>
              </w:rPr>
              <w:t>)</w:t>
            </w:r>
          </w:p>
        </w:tc>
        <w:tc>
          <w:tcPr>
            <w:tcW w:w="95" w:type="dxa"/>
            <w:tcBorders/>
            <w:shd w:fill="auto" w:val="clear"/>
            <w:vAlign w:val="bottom"/>
          </w:tcPr>
          <w:p>
            <w:pPr>
              <w:pStyle w:val="TableContents"/>
              <w:spacing w:before="0" w:after="283"/>
              <w:rPr/>
            </w:pPr>
            <w:r>
              <w:rPr/>
              <w:t> </w:t>
            </w:r>
          </w:p>
        </w:tc>
        <w:tc>
          <w:tcPr>
            <w:tcW w:w="947" w:type="dxa"/>
            <w:tcBorders/>
            <w:shd w:fill="auto" w:val="clear"/>
            <w:vAlign w:val="bottom"/>
          </w:tcPr>
          <w:p>
            <w:pPr>
              <w:pStyle w:val="TableContents"/>
              <w:spacing w:before="0" w:after="283"/>
              <w:jc w:val="right"/>
              <w:rPr>
                <w:rFonts w:ascii="times" w:hAnsi="times"/>
                <w:b/>
                <w:sz w:val="14"/>
              </w:rPr>
            </w:pPr>
            <w:r>
              <w:rPr>
                <w:rFonts w:ascii="times" w:hAnsi="times"/>
                <w:b/>
                <w:sz w:val="14"/>
              </w:rPr>
              <w:t>(81,190</w:t>
            </w:r>
          </w:p>
        </w:tc>
        <w:tc>
          <w:tcPr>
            <w:tcW w:w="172" w:type="dxa"/>
            <w:tcBorders/>
            <w:shd w:fill="auto" w:val="clear"/>
            <w:vAlign w:val="bottom"/>
          </w:tcPr>
          <w:p>
            <w:pPr>
              <w:pStyle w:val="TableContents"/>
              <w:spacing w:before="0" w:after="283"/>
              <w:rPr>
                <w:rFonts w:ascii="times" w:hAnsi="times"/>
                <w:b/>
                <w:sz w:val="14"/>
              </w:rPr>
            </w:pPr>
            <w:r>
              <w:rPr>
                <w:rFonts w:ascii="times" w:hAnsi="times"/>
                <w:b/>
                <w:sz w:val="14"/>
              </w:rPr>
              <w:t>)</w:t>
            </w:r>
          </w:p>
        </w:tc>
        <w:tc>
          <w:tcPr>
            <w:tcW w:w="95" w:type="dxa"/>
            <w:tcBorders/>
            <w:shd w:fill="auto" w:val="clear"/>
            <w:vAlign w:val="bottom"/>
          </w:tcPr>
          <w:p>
            <w:pPr>
              <w:pStyle w:val="TableContents"/>
              <w:spacing w:before="0" w:after="283"/>
              <w:rPr/>
            </w:pPr>
            <w:r>
              <w:rPr/>
              <w:t> </w:t>
            </w:r>
          </w:p>
        </w:tc>
        <w:tc>
          <w:tcPr>
            <w:tcW w:w="945" w:type="dxa"/>
            <w:tcBorders/>
            <w:shd w:fill="auto" w:val="clear"/>
            <w:vAlign w:val="bottom"/>
          </w:tcPr>
          <w:p>
            <w:pPr>
              <w:pStyle w:val="TableContents"/>
              <w:spacing w:before="0" w:after="283"/>
              <w:jc w:val="right"/>
              <w:rPr>
                <w:rFonts w:ascii="times" w:hAnsi="times"/>
                <w:b/>
                <w:sz w:val="14"/>
              </w:rPr>
            </w:pPr>
            <w:r>
              <w:rPr>
                <w:rFonts w:ascii="times" w:hAnsi="times"/>
                <w:b/>
                <w:sz w:val="14"/>
              </w:rPr>
              <w:t>(65,621</w:t>
            </w:r>
          </w:p>
        </w:tc>
        <w:tc>
          <w:tcPr>
            <w:tcW w:w="178" w:type="dxa"/>
            <w:tcBorders/>
            <w:shd w:fill="auto" w:val="clear"/>
            <w:vAlign w:val="bottom"/>
          </w:tcPr>
          <w:p>
            <w:pPr>
              <w:pStyle w:val="TableContents"/>
              <w:spacing w:before="0" w:after="283"/>
              <w:rPr>
                <w:rFonts w:ascii="times" w:hAnsi="times"/>
                <w:b/>
                <w:sz w:val="14"/>
              </w:rPr>
            </w:pPr>
            <w:r>
              <w:rPr>
                <w:rFonts w:ascii="times" w:hAnsi="times"/>
                <w:b/>
                <w:sz w:val="14"/>
              </w:rPr>
              <w:t>)</w:t>
            </w:r>
          </w:p>
        </w:tc>
      </w:tr>
      <w:tr>
        <w:trPr/>
        <w:tc>
          <w:tcPr>
            <w:tcW w:w="3965" w:type="dxa"/>
            <w:tcBorders/>
            <w:shd w:fill="FFFFFF" w:val="clear"/>
            <w:vAlign w:val="bottom"/>
          </w:tcPr>
          <w:p>
            <w:pPr>
              <w:pStyle w:val="TableContents"/>
              <w:spacing w:before="0" w:after="283"/>
              <w:rPr/>
            </w:pPr>
            <w:r>
              <w:rPr/>
              <w:t>​</w:t>
            </w:r>
          </w:p>
        </w:tc>
        <w:tc>
          <w:tcPr>
            <w:tcW w:w="172" w:type="dxa"/>
            <w:tcBorders/>
            <w:shd w:fill="FFFFFF" w:val="clear"/>
            <w:vAlign w:val="bottom"/>
          </w:tcPr>
          <w:p>
            <w:pPr>
              <w:pStyle w:val="TableContents"/>
              <w:spacing w:before="0" w:after="283"/>
              <w:rPr/>
            </w:pPr>
            <w:r>
              <w:rPr/>
              <w:t>​</w:t>
            </w:r>
          </w:p>
        </w:tc>
        <w:tc>
          <w:tcPr>
            <w:tcW w:w="95" w:type="dxa"/>
            <w:tcBorders>
              <w:bottom w:val="single" w:sz="8" w:space="0" w:color="000000"/>
            </w:tcBorders>
            <w:shd w:fill="FFFFFF" w:val="clear"/>
            <w:tcMar>
              <w:bottom w:w="28" w:type="dxa"/>
            </w:tcMar>
            <w:vAlign w:val="bottom"/>
          </w:tcPr>
          <w:p>
            <w:pPr>
              <w:pStyle w:val="TableContents"/>
              <w:spacing w:before="0" w:after="283"/>
              <w:rPr/>
            </w:pPr>
            <w:r>
              <w:rPr/>
              <w:t xml:space="preserve">​ </w:t>
            </w:r>
          </w:p>
        </w:tc>
        <w:tc>
          <w:tcPr>
            <w:tcW w:w="945" w:type="dxa"/>
            <w:tcBorders>
              <w:bottom w:val="single" w:sz="8" w:space="0" w:color="000000"/>
            </w:tcBorders>
            <w:shd w:fill="FFFFFF" w:val="clear"/>
            <w:tcMar>
              <w:bottom w:w="28" w:type="dxa"/>
            </w:tcMar>
            <w:vAlign w:val="bottom"/>
          </w:tcPr>
          <w:p>
            <w:pPr>
              <w:pStyle w:val="TableContents"/>
              <w:spacing w:before="0" w:after="283"/>
              <w:jc w:val="right"/>
              <w:rPr/>
            </w:pPr>
            <w:r>
              <w:rPr/>
              <w:t xml:space="preserve">​ </w:t>
            </w:r>
          </w:p>
        </w:tc>
        <w:tc>
          <w:tcPr>
            <w:tcW w:w="172" w:type="dxa"/>
            <w:tcBorders/>
            <w:shd w:fill="FFFFFF" w:val="clear"/>
            <w:vAlign w:val="bottom"/>
          </w:tcPr>
          <w:p>
            <w:pPr>
              <w:pStyle w:val="TableContents"/>
              <w:spacing w:before="0" w:after="283"/>
              <w:rPr/>
            </w:pPr>
            <w:r>
              <w:rPr/>
              <w:t>​</w:t>
            </w:r>
          </w:p>
        </w:tc>
        <w:tc>
          <w:tcPr>
            <w:tcW w:w="95" w:type="dxa"/>
            <w:tcBorders>
              <w:bottom w:val="single" w:sz="8" w:space="0" w:color="000000"/>
            </w:tcBorders>
            <w:shd w:fill="FFFFFF" w:val="clear"/>
            <w:tcMar>
              <w:bottom w:w="28" w:type="dxa"/>
            </w:tcMar>
            <w:vAlign w:val="bottom"/>
          </w:tcPr>
          <w:p>
            <w:pPr>
              <w:pStyle w:val="TableContents"/>
              <w:spacing w:before="0" w:after="283"/>
              <w:rPr/>
            </w:pPr>
            <w:r>
              <w:rPr/>
              <w:t xml:space="preserve">​ </w:t>
            </w:r>
          </w:p>
        </w:tc>
        <w:tc>
          <w:tcPr>
            <w:tcW w:w="945" w:type="dxa"/>
            <w:tcBorders>
              <w:bottom w:val="single" w:sz="8" w:space="0" w:color="000000"/>
            </w:tcBorders>
            <w:shd w:fill="FFFFFF" w:val="clear"/>
            <w:tcMar>
              <w:bottom w:w="28" w:type="dxa"/>
            </w:tcMar>
            <w:vAlign w:val="bottom"/>
          </w:tcPr>
          <w:p>
            <w:pPr>
              <w:pStyle w:val="TableContents"/>
              <w:spacing w:before="0" w:after="283"/>
              <w:jc w:val="right"/>
              <w:rPr/>
            </w:pPr>
            <w:r>
              <w:rPr/>
              <w:t xml:space="preserve">​ </w:t>
            </w:r>
          </w:p>
        </w:tc>
        <w:tc>
          <w:tcPr>
            <w:tcW w:w="172" w:type="dxa"/>
            <w:tcBorders/>
            <w:shd w:fill="FFFFFF" w:val="clear"/>
            <w:vAlign w:val="bottom"/>
          </w:tcPr>
          <w:p>
            <w:pPr>
              <w:pStyle w:val="TableContents"/>
              <w:spacing w:before="0" w:after="283"/>
              <w:rPr/>
            </w:pPr>
            <w:r>
              <w:rPr/>
              <w:t>​</w:t>
            </w:r>
          </w:p>
        </w:tc>
        <w:tc>
          <w:tcPr>
            <w:tcW w:w="95" w:type="dxa"/>
            <w:tcBorders>
              <w:bottom w:val="single" w:sz="8" w:space="0" w:color="000000"/>
            </w:tcBorders>
            <w:shd w:fill="FFFFFF" w:val="clear"/>
            <w:tcMar>
              <w:bottom w:w="28" w:type="dxa"/>
            </w:tcMar>
            <w:vAlign w:val="bottom"/>
          </w:tcPr>
          <w:p>
            <w:pPr>
              <w:pStyle w:val="TableContents"/>
              <w:spacing w:before="0" w:after="283"/>
              <w:rPr/>
            </w:pPr>
            <w:r>
              <w:rPr/>
              <w:t xml:space="preserve">​ </w:t>
            </w:r>
          </w:p>
        </w:tc>
        <w:tc>
          <w:tcPr>
            <w:tcW w:w="945" w:type="dxa"/>
            <w:tcBorders>
              <w:bottom w:val="single" w:sz="8" w:space="0" w:color="000000"/>
            </w:tcBorders>
            <w:shd w:fill="FFFFFF" w:val="clear"/>
            <w:tcMar>
              <w:bottom w:w="28" w:type="dxa"/>
            </w:tcMar>
            <w:vAlign w:val="bottom"/>
          </w:tcPr>
          <w:p>
            <w:pPr>
              <w:pStyle w:val="TableContents"/>
              <w:spacing w:before="0" w:after="283"/>
              <w:jc w:val="right"/>
              <w:rPr/>
            </w:pPr>
            <w:r>
              <w:rPr/>
              <w:t xml:space="preserve">​ </w:t>
            </w:r>
          </w:p>
        </w:tc>
        <w:tc>
          <w:tcPr>
            <w:tcW w:w="172" w:type="dxa"/>
            <w:tcBorders/>
            <w:shd w:fill="FFFFFF" w:val="clear"/>
            <w:vAlign w:val="bottom"/>
          </w:tcPr>
          <w:p>
            <w:pPr>
              <w:pStyle w:val="TableContents"/>
              <w:spacing w:before="0" w:after="283"/>
              <w:rPr/>
            </w:pPr>
            <w:r>
              <w:rPr/>
              <w:t>​</w:t>
            </w:r>
          </w:p>
        </w:tc>
        <w:tc>
          <w:tcPr>
            <w:tcW w:w="95" w:type="dxa"/>
            <w:tcBorders>
              <w:bottom w:val="single" w:sz="8" w:space="0" w:color="000000"/>
            </w:tcBorders>
            <w:shd w:fill="FFFFFF" w:val="clear"/>
            <w:tcMar>
              <w:bottom w:w="28" w:type="dxa"/>
            </w:tcMar>
            <w:vAlign w:val="bottom"/>
          </w:tcPr>
          <w:p>
            <w:pPr>
              <w:pStyle w:val="TableContents"/>
              <w:spacing w:before="0" w:after="283"/>
              <w:rPr/>
            </w:pPr>
            <w:r>
              <w:rPr/>
              <w:t xml:space="preserve">​ </w:t>
            </w:r>
          </w:p>
        </w:tc>
        <w:tc>
          <w:tcPr>
            <w:tcW w:w="947" w:type="dxa"/>
            <w:tcBorders>
              <w:bottom w:val="single" w:sz="8" w:space="0" w:color="000000"/>
            </w:tcBorders>
            <w:shd w:fill="FFFFFF" w:val="clear"/>
            <w:tcMar>
              <w:bottom w:w="28" w:type="dxa"/>
            </w:tcMar>
            <w:vAlign w:val="bottom"/>
          </w:tcPr>
          <w:p>
            <w:pPr>
              <w:pStyle w:val="TableContents"/>
              <w:spacing w:before="0" w:after="283"/>
              <w:jc w:val="right"/>
              <w:rPr/>
            </w:pPr>
            <w:r>
              <w:rPr/>
              <w:t xml:space="preserve">​ </w:t>
            </w:r>
          </w:p>
        </w:tc>
        <w:tc>
          <w:tcPr>
            <w:tcW w:w="172" w:type="dxa"/>
            <w:tcBorders/>
            <w:shd w:fill="FFFFFF" w:val="clear"/>
            <w:vAlign w:val="bottom"/>
          </w:tcPr>
          <w:p>
            <w:pPr>
              <w:pStyle w:val="TableContents"/>
              <w:spacing w:before="0" w:after="283"/>
              <w:rPr/>
            </w:pPr>
            <w:r>
              <w:rPr/>
              <w:t>​</w:t>
            </w:r>
          </w:p>
        </w:tc>
        <w:tc>
          <w:tcPr>
            <w:tcW w:w="95" w:type="dxa"/>
            <w:tcBorders>
              <w:bottom w:val="single" w:sz="8" w:space="0" w:color="000000"/>
            </w:tcBorders>
            <w:shd w:fill="FFFFFF" w:val="clear"/>
            <w:tcMar>
              <w:bottom w:w="28" w:type="dxa"/>
            </w:tcMar>
            <w:vAlign w:val="bottom"/>
          </w:tcPr>
          <w:p>
            <w:pPr>
              <w:pStyle w:val="TableContents"/>
              <w:spacing w:before="0" w:after="283"/>
              <w:rPr/>
            </w:pPr>
            <w:r>
              <w:rPr/>
              <w:t xml:space="preserve">​ </w:t>
            </w:r>
          </w:p>
        </w:tc>
        <w:tc>
          <w:tcPr>
            <w:tcW w:w="945" w:type="dxa"/>
            <w:tcBorders>
              <w:bottom w:val="single" w:sz="8" w:space="0" w:color="000000"/>
            </w:tcBorders>
            <w:shd w:fill="FFFFFF" w:val="clear"/>
            <w:tcMar>
              <w:bottom w:w="28" w:type="dxa"/>
            </w:tcMar>
            <w:vAlign w:val="bottom"/>
          </w:tcPr>
          <w:p>
            <w:pPr>
              <w:pStyle w:val="TableContents"/>
              <w:spacing w:before="0" w:after="283"/>
              <w:jc w:val="right"/>
              <w:rPr/>
            </w:pPr>
            <w:r>
              <w:rPr/>
              <w:t xml:space="preserve">​ </w:t>
            </w:r>
          </w:p>
        </w:tc>
        <w:tc>
          <w:tcPr>
            <w:tcW w:w="178" w:type="dxa"/>
            <w:tcBorders/>
            <w:shd w:fill="FFFFFF" w:val="clear"/>
            <w:vAlign w:val="bottom"/>
          </w:tcPr>
          <w:p>
            <w:pPr>
              <w:pStyle w:val="TableContents"/>
              <w:spacing w:before="0" w:after="283"/>
              <w:rPr/>
            </w:pPr>
            <w:r>
              <w:rPr/>
              <w:t>​</w:t>
            </w:r>
          </w:p>
        </w:tc>
      </w:tr>
      <w:tr>
        <w:trPr/>
        <w:tc>
          <w:tcPr>
            <w:tcW w:w="3965" w:type="dxa"/>
            <w:tcBorders/>
            <w:shd w:fill="auto" w:val="clear"/>
            <w:vAlign w:val="bottom"/>
          </w:tcPr>
          <w:p>
            <w:pPr>
              <w:pStyle w:val="TableContents"/>
              <w:spacing w:before="0" w:after="283"/>
              <w:ind w:left="160" w:right="0" w:hanging="160"/>
              <w:rPr>
                <w:rFonts w:ascii="times" w:hAnsi="times"/>
                <w:b/>
                <w:sz w:val="14"/>
              </w:rPr>
            </w:pPr>
            <w:r>
              <w:rPr>
                <w:rFonts w:ascii="times" w:hAnsi="times"/>
                <w:b/>
                <w:sz w:val="14"/>
              </w:rPr>
              <w:t>Partnership's profit/(loss)</w:t>
            </w:r>
            <w:r>
              <w:rPr>
                <w:rFonts w:ascii="times" w:hAnsi="times"/>
                <w:b/>
                <w:position w:val="5"/>
                <w:sz w:val="11"/>
                <w:sz w:val="14"/>
              </w:rPr>
              <w:t>(1)(5)</w:t>
            </w:r>
          </w:p>
        </w:tc>
        <w:tc>
          <w:tcPr>
            <w:tcW w:w="172"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rFonts w:ascii="times" w:hAnsi="times"/>
                <w:b/>
                <w:sz w:val="14"/>
              </w:rPr>
            </w:pPr>
            <w:r>
              <w:rPr>
                <w:rFonts w:ascii="times" w:hAnsi="times"/>
                <w:b/>
                <w:sz w:val="14"/>
              </w:rPr>
              <w:t>$</w:t>
            </w:r>
          </w:p>
        </w:tc>
        <w:tc>
          <w:tcPr>
            <w:tcW w:w="945" w:type="dxa"/>
            <w:tcBorders/>
            <w:shd w:fill="auto" w:val="clear"/>
            <w:vAlign w:val="bottom"/>
          </w:tcPr>
          <w:p>
            <w:pPr>
              <w:pStyle w:val="TableContents"/>
              <w:spacing w:before="0" w:after="283"/>
              <w:jc w:val="right"/>
              <w:rPr>
                <w:rFonts w:ascii="times" w:hAnsi="times"/>
                <w:b/>
                <w:sz w:val="14"/>
              </w:rPr>
            </w:pPr>
            <w:r>
              <w:rPr>
                <w:rFonts w:ascii="times" w:hAnsi="times"/>
                <w:b/>
                <w:sz w:val="14"/>
              </w:rPr>
              <w:t>77,270</w:t>
            </w:r>
          </w:p>
        </w:tc>
        <w:tc>
          <w:tcPr>
            <w:tcW w:w="172"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rFonts w:ascii="times" w:hAnsi="times"/>
                <w:b/>
                <w:sz w:val="14"/>
              </w:rPr>
            </w:pPr>
            <w:r>
              <w:rPr>
                <w:rFonts w:ascii="times" w:hAnsi="times"/>
                <w:b/>
                <w:sz w:val="14"/>
              </w:rPr>
              <w:t>$</w:t>
            </w:r>
          </w:p>
        </w:tc>
        <w:tc>
          <w:tcPr>
            <w:tcW w:w="945" w:type="dxa"/>
            <w:tcBorders/>
            <w:shd w:fill="auto" w:val="clear"/>
            <w:vAlign w:val="bottom"/>
          </w:tcPr>
          <w:p>
            <w:pPr>
              <w:pStyle w:val="TableContents"/>
              <w:spacing w:before="0" w:after="283"/>
              <w:jc w:val="right"/>
              <w:rPr>
                <w:rFonts w:ascii="times" w:hAnsi="times"/>
                <w:b/>
                <w:sz w:val="14"/>
              </w:rPr>
            </w:pPr>
            <w:r>
              <w:rPr>
                <w:rFonts w:ascii="times" w:hAnsi="times"/>
                <w:b/>
                <w:sz w:val="14"/>
              </w:rPr>
              <w:t>94,117</w:t>
            </w:r>
          </w:p>
        </w:tc>
        <w:tc>
          <w:tcPr>
            <w:tcW w:w="172"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rFonts w:ascii="times" w:hAnsi="times"/>
                <w:b/>
                <w:sz w:val="14"/>
              </w:rPr>
            </w:pPr>
            <w:r>
              <w:rPr>
                <w:rFonts w:ascii="times" w:hAnsi="times"/>
                <w:b/>
                <w:sz w:val="14"/>
              </w:rPr>
              <w:t>$</w:t>
            </w:r>
          </w:p>
        </w:tc>
        <w:tc>
          <w:tcPr>
            <w:tcW w:w="945" w:type="dxa"/>
            <w:tcBorders/>
            <w:shd w:fill="auto" w:val="clear"/>
            <w:vAlign w:val="bottom"/>
          </w:tcPr>
          <w:p>
            <w:pPr>
              <w:pStyle w:val="TableContents"/>
              <w:spacing w:before="0" w:after="283"/>
              <w:jc w:val="right"/>
              <w:rPr>
                <w:rFonts w:ascii="times" w:hAnsi="times"/>
                <w:b/>
                <w:sz w:val="14"/>
              </w:rPr>
            </w:pPr>
            <w:r>
              <w:rPr>
                <w:rFonts w:ascii="times" w:hAnsi="times"/>
                <w:b/>
                <w:sz w:val="14"/>
              </w:rPr>
              <w:t>102,597</w:t>
            </w:r>
          </w:p>
        </w:tc>
        <w:tc>
          <w:tcPr>
            <w:tcW w:w="172"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rFonts w:ascii="times" w:hAnsi="times"/>
                <w:b/>
                <w:sz w:val="14"/>
              </w:rPr>
            </w:pPr>
            <w:r>
              <w:rPr>
                <w:rFonts w:ascii="times" w:hAnsi="times"/>
                <w:b/>
                <w:sz w:val="14"/>
              </w:rPr>
              <w:t>$</w:t>
            </w:r>
          </w:p>
        </w:tc>
        <w:tc>
          <w:tcPr>
            <w:tcW w:w="947" w:type="dxa"/>
            <w:tcBorders/>
            <w:shd w:fill="auto" w:val="clear"/>
            <w:vAlign w:val="bottom"/>
          </w:tcPr>
          <w:p>
            <w:pPr>
              <w:pStyle w:val="TableContents"/>
              <w:spacing w:before="0" w:after="283"/>
              <w:jc w:val="right"/>
              <w:rPr>
                <w:rFonts w:ascii="times" w:hAnsi="times"/>
                <w:b/>
                <w:sz w:val="14"/>
              </w:rPr>
            </w:pPr>
            <w:r>
              <w:rPr>
                <w:rFonts w:ascii="times" w:hAnsi="times"/>
                <w:b/>
                <w:sz w:val="14"/>
              </w:rPr>
              <w:t>(37,419</w:t>
            </w:r>
          </w:p>
        </w:tc>
        <w:tc>
          <w:tcPr>
            <w:tcW w:w="172" w:type="dxa"/>
            <w:tcBorders/>
            <w:shd w:fill="auto" w:val="clear"/>
            <w:vAlign w:val="bottom"/>
          </w:tcPr>
          <w:p>
            <w:pPr>
              <w:pStyle w:val="TableContents"/>
              <w:spacing w:before="0" w:after="283"/>
              <w:rPr>
                <w:rFonts w:ascii="times" w:hAnsi="times"/>
                <w:b/>
                <w:sz w:val="14"/>
              </w:rPr>
            </w:pPr>
            <w:r>
              <w:rPr>
                <w:rFonts w:ascii="times" w:hAnsi="times"/>
                <w:b/>
                <w:sz w:val="14"/>
              </w:rPr>
              <w:t>)</w:t>
            </w:r>
          </w:p>
        </w:tc>
        <w:tc>
          <w:tcPr>
            <w:tcW w:w="95" w:type="dxa"/>
            <w:tcBorders/>
            <w:shd w:fill="auto" w:val="clear"/>
            <w:vAlign w:val="bottom"/>
          </w:tcPr>
          <w:p>
            <w:pPr>
              <w:pStyle w:val="TableContents"/>
              <w:spacing w:before="0" w:after="283"/>
              <w:rPr>
                <w:rFonts w:ascii="times" w:hAnsi="times"/>
                <w:b/>
                <w:sz w:val="14"/>
              </w:rPr>
            </w:pPr>
            <w:r>
              <w:rPr>
                <w:rFonts w:ascii="times" w:hAnsi="times"/>
                <w:b/>
                <w:sz w:val="14"/>
              </w:rPr>
              <w:t>$</w:t>
            </w:r>
          </w:p>
        </w:tc>
        <w:tc>
          <w:tcPr>
            <w:tcW w:w="945" w:type="dxa"/>
            <w:tcBorders/>
            <w:shd w:fill="auto" w:val="clear"/>
            <w:vAlign w:val="bottom"/>
          </w:tcPr>
          <w:p>
            <w:pPr>
              <w:pStyle w:val="TableContents"/>
              <w:spacing w:before="0" w:after="283"/>
              <w:jc w:val="right"/>
              <w:rPr>
                <w:rFonts w:ascii="times" w:hAnsi="times"/>
                <w:b/>
                <w:sz w:val="14"/>
              </w:rPr>
            </w:pPr>
            <w:r>
              <w:rPr>
                <w:rFonts w:ascii="times" w:hAnsi="times"/>
                <w:b/>
                <w:sz w:val="14"/>
              </w:rPr>
              <w:t>56,859</w:t>
            </w:r>
          </w:p>
        </w:tc>
        <w:tc>
          <w:tcPr>
            <w:tcW w:w="178" w:type="dxa"/>
            <w:tcBorders/>
            <w:shd w:fill="auto" w:val="clear"/>
            <w:vAlign w:val="bottom"/>
          </w:tcPr>
          <w:p>
            <w:pPr>
              <w:pStyle w:val="TableContents"/>
              <w:spacing w:before="0" w:after="283"/>
              <w:rPr/>
            </w:pPr>
            <w:r>
              <w:rPr/>
              <w:t> </w:t>
            </w:r>
          </w:p>
        </w:tc>
      </w:tr>
      <w:tr>
        <w:trPr/>
        <w:tc>
          <w:tcPr>
            <w:tcW w:w="3965" w:type="dxa"/>
            <w:tcBorders/>
            <w:shd w:fill="FFFFFF" w:val="clear"/>
            <w:vAlign w:val="bottom"/>
          </w:tcPr>
          <w:p>
            <w:pPr>
              <w:pStyle w:val="TableContents"/>
              <w:spacing w:before="0" w:after="283"/>
              <w:rPr/>
            </w:pPr>
            <w:r>
              <w:rPr/>
              <w:t>​</w:t>
            </w:r>
          </w:p>
        </w:tc>
        <w:tc>
          <w:tcPr>
            <w:tcW w:w="172" w:type="dxa"/>
            <w:tcBorders/>
            <w:shd w:fill="FFFFFF" w:val="clear"/>
            <w:vAlign w:val="bottom"/>
          </w:tcPr>
          <w:p>
            <w:pPr>
              <w:pStyle w:val="TableContents"/>
              <w:spacing w:before="0" w:after="283"/>
              <w:rPr/>
            </w:pPr>
            <w:r>
              <w:rPr/>
              <w:t>​</w:t>
            </w:r>
          </w:p>
        </w:tc>
        <w:tc>
          <w:tcPr>
            <w:tcW w:w="95" w:type="dxa"/>
            <w:tcBorders>
              <w:bottom w:val="single" w:sz="8" w:space="0" w:color="000000"/>
            </w:tcBorders>
            <w:shd w:fill="FFFFFF" w:val="clear"/>
            <w:tcMar>
              <w:bottom w:w="28" w:type="dxa"/>
            </w:tcMar>
            <w:vAlign w:val="bottom"/>
          </w:tcPr>
          <w:p>
            <w:pPr>
              <w:pStyle w:val="TableContents"/>
              <w:spacing w:before="0" w:after="283"/>
              <w:rPr/>
            </w:pPr>
            <w:r>
              <w:rPr/>
              <w:t xml:space="preserve">​ </w:t>
            </w:r>
          </w:p>
        </w:tc>
        <w:tc>
          <w:tcPr>
            <w:tcW w:w="945" w:type="dxa"/>
            <w:tcBorders>
              <w:bottom w:val="single" w:sz="8" w:space="0" w:color="000000"/>
            </w:tcBorders>
            <w:shd w:fill="FFFFFF" w:val="clear"/>
            <w:tcMar>
              <w:bottom w:w="28" w:type="dxa"/>
            </w:tcMar>
            <w:vAlign w:val="bottom"/>
          </w:tcPr>
          <w:p>
            <w:pPr>
              <w:pStyle w:val="TableContents"/>
              <w:spacing w:before="0" w:after="283"/>
              <w:jc w:val="right"/>
              <w:rPr/>
            </w:pPr>
            <w:r>
              <w:rPr/>
              <w:t xml:space="preserve">​ </w:t>
            </w:r>
          </w:p>
        </w:tc>
        <w:tc>
          <w:tcPr>
            <w:tcW w:w="172" w:type="dxa"/>
            <w:tcBorders/>
            <w:shd w:fill="FFFFFF" w:val="clear"/>
            <w:vAlign w:val="bottom"/>
          </w:tcPr>
          <w:p>
            <w:pPr>
              <w:pStyle w:val="TableContents"/>
              <w:spacing w:before="0" w:after="283"/>
              <w:rPr/>
            </w:pPr>
            <w:r>
              <w:rPr/>
              <w:t>​</w:t>
            </w:r>
          </w:p>
        </w:tc>
        <w:tc>
          <w:tcPr>
            <w:tcW w:w="95" w:type="dxa"/>
            <w:tcBorders>
              <w:bottom w:val="single" w:sz="8" w:space="0" w:color="000000"/>
            </w:tcBorders>
            <w:shd w:fill="FFFFFF" w:val="clear"/>
            <w:tcMar>
              <w:bottom w:w="28" w:type="dxa"/>
            </w:tcMar>
            <w:vAlign w:val="bottom"/>
          </w:tcPr>
          <w:p>
            <w:pPr>
              <w:pStyle w:val="TableContents"/>
              <w:spacing w:before="0" w:after="283"/>
              <w:rPr/>
            </w:pPr>
            <w:r>
              <w:rPr/>
              <w:t xml:space="preserve">​ </w:t>
            </w:r>
          </w:p>
        </w:tc>
        <w:tc>
          <w:tcPr>
            <w:tcW w:w="945" w:type="dxa"/>
            <w:tcBorders>
              <w:bottom w:val="single" w:sz="8" w:space="0" w:color="000000"/>
            </w:tcBorders>
            <w:shd w:fill="FFFFFF" w:val="clear"/>
            <w:tcMar>
              <w:bottom w:w="28" w:type="dxa"/>
            </w:tcMar>
            <w:vAlign w:val="bottom"/>
          </w:tcPr>
          <w:p>
            <w:pPr>
              <w:pStyle w:val="TableContents"/>
              <w:spacing w:before="0" w:after="283"/>
              <w:jc w:val="right"/>
              <w:rPr/>
            </w:pPr>
            <w:r>
              <w:rPr/>
              <w:t xml:space="preserve">​ </w:t>
            </w:r>
          </w:p>
        </w:tc>
        <w:tc>
          <w:tcPr>
            <w:tcW w:w="172" w:type="dxa"/>
            <w:tcBorders/>
            <w:shd w:fill="FFFFFF" w:val="clear"/>
            <w:vAlign w:val="bottom"/>
          </w:tcPr>
          <w:p>
            <w:pPr>
              <w:pStyle w:val="TableContents"/>
              <w:spacing w:before="0" w:after="283"/>
              <w:rPr/>
            </w:pPr>
            <w:r>
              <w:rPr/>
              <w:t>​</w:t>
            </w:r>
          </w:p>
        </w:tc>
        <w:tc>
          <w:tcPr>
            <w:tcW w:w="95" w:type="dxa"/>
            <w:tcBorders>
              <w:bottom w:val="single" w:sz="8" w:space="0" w:color="000000"/>
            </w:tcBorders>
            <w:shd w:fill="FFFFFF" w:val="clear"/>
            <w:tcMar>
              <w:bottom w:w="28" w:type="dxa"/>
            </w:tcMar>
            <w:vAlign w:val="bottom"/>
          </w:tcPr>
          <w:p>
            <w:pPr>
              <w:pStyle w:val="TableContents"/>
              <w:spacing w:before="0" w:after="283"/>
              <w:rPr/>
            </w:pPr>
            <w:r>
              <w:rPr/>
              <w:t xml:space="preserve">​ </w:t>
            </w:r>
          </w:p>
        </w:tc>
        <w:tc>
          <w:tcPr>
            <w:tcW w:w="945" w:type="dxa"/>
            <w:tcBorders>
              <w:bottom w:val="single" w:sz="8" w:space="0" w:color="000000"/>
            </w:tcBorders>
            <w:shd w:fill="FFFFFF" w:val="clear"/>
            <w:tcMar>
              <w:bottom w:w="28" w:type="dxa"/>
            </w:tcMar>
            <w:vAlign w:val="bottom"/>
          </w:tcPr>
          <w:p>
            <w:pPr>
              <w:pStyle w:val="TableContents"/>
              <w:spacing w:before="0" w:after="283"/>
              <w:jc w:val="right"/>
              <w:rPr/>
            </w:pPr>
            <w:r>
              <w:rPr/>
              <w:t xml:space="preserve">​ </w:t>
            </w:r>
          </w:p>
        </w:tc>
        <w:tc>
          <w:tcPr>
            <w:tcW w:w="172" w:type="dxa"/>
            <w:tcBorders/>
            <w:shd w:fill="FFFFFF" w:val="clear"/>
            <w:vAlign w:val="bottom"/>
          </w:tcPr>
          <w:p>
            <w:pPr>
              <w:pStyle w:val="TableContents"/>
              <w:spacing w:before="0" w:after="283"/>
              <w:rPr/>
            </w:pPr>
            <w:r>
              <w:rPr/>
              <w:t>​</w:t>
            </w:r>
          </w:p>
        </w:tc>
        <w:tc>
          <w:tcPr>
            <w:tcW w:w="95" w:type="dxa"/>
            <w:tcBorders>
              <w:bottom w:val="single" w:sz="8" w:space="0" w:color="000000"/>
            </w:tcBorders>
            <w:shd w:fill="FFFFFF" w:val="clear"/>
            <w:tcMar>
              <w:bottom w:w="28" w:type="dxa"/>
            </w:tcMar>
            <w:vAlign w:val="bottom"/>
          </w:tcPr>
          <w:p>
            <w:pPr>
              <w:pStyle w:val="TableContents"/>
              <w:spacing w:before="0" w:after="283"/>
              <w:rPr/>
            </w:pPr>
            <w:r>
              <w:rPr/>
              <w:t xml:space="preserve">​ </w:t>
            </w:r>
          </w:p>
        </w:tc>
        <w:tc>
          <w:tcPr>
            <w:tcW w:w="947" w:type="dxa"/>
            <w:tcBorders>
              <w:bottom w:val="single" w:sz="8" w:space="0" w:color="000000"/>
            </w:tcBorders>
            <w:shd w:fill="FFFFFF" w:val="clear"/>
            <w:tcMar>
              <w:bottom w:w="28" w:type="dxa"/>
            </w:tcMar>
            <w:vAlign w:val="bottom"/>
          </w:tcPr>
          <w:p>
            <w:pPr>
              <w:pStyle w:val="TableContents"/>
              <w:spacing w:before="0" w:after="283"/>
              <w:jc w:val="right"/>
              <w:rPr/>
            </w:pPr>
            <w:r>
              <w:rPr/>
              <w:t xml:space="preserve">​ </w:t>
            </w:r>
          </w:p>
        </w:tc>
        <w:tc>
          <w:tcPr>
            <w:tcW w:w="172" w:type="dxa"/>
            <w:tcBorders/>
            <w:shd w:fill="FFFFFF" w:val="clear"/>
            <w:vAlign w:val="bottom"/>
          </w:tcPr>
          <w:p>
            <w:pPr>
              <w:pStyle w:val="TableContents"/>
              <w:spacing w:before="0" w:after="283"/>
              <w:rPr/>
            </w:pPr>
            <w:r>
              <w:rPr/>
              <w:t>​</w:t>
            </w:r>
          </w:p>
        </w:tc>
        <w:tc>
          <w:tcPr>
            <w:tcW w:w="95" w:type="dxa"/>
            <w:tcBorders>
              <w:bottom w:val="single" w:sz="8" w:space="0" w:color="000000"/>
            </w:tcBorders>
            <w:shd w:fill="FFFFFF" w:val="clear"/>
            <w:tcMar>
              <w:bottom w:w="28" w:type="dxa"/>
            </w:tcMar>
            <w:vAlign w:val="bottom"/>
          </w:tcPr>
          <w:p>
            <w:pPr>
              <w:pStyle w:val="TableContents"/>
              <w:spacing w:before="0" w:after="283"/>
              <w:rPr/>
            </w:pPr>
            <w:r>
              <w:rPr/>
              <w:t xml:space="preserve">​ </w:t>
            </w:r>
          </w:p>
        </w:tc>
        <w:tc>
          <w:tcPr>
            <w:tcW w:w="945" w:type="dxa"/>
            <w:tcBorders>
              <w:bottom w:val="single" w:sz="8" w:space="0" w:color="000000"/>
            </w:tcBorders>
            <w:shd w:fill="FFFFFF" w:val="clear"/>
            <w:tcMar>
              <w:bottom w:w="28" w:type="dxa"/>
            </w:tcMar>
            <w:vAlign w:val="bottom"/>
          </w:tcPr>
          <w:p>
            <w:pPr>
              <w:pStyle w:val="TableContents"/>
              <w:spacing w:before="0" w:after="283"/>
              <w:jc w:val="right"/>
              <w:rPr/>
            </w:pPr>
            <w:r>
              <w:rPr/>
              <w:t xml:space="preserve">​ </w:t>
            </w:r>
          </w:p>
        </w:tc>
        <w:tc>
          <w:tcPr>
            <w:tcW w:w="178" w:type="dxa"/>
            <w:tcBorders/>
            <w:shd w:fill="FFFFFF" w:val="clear"/>
            <w:vAlign w:val="bottom"/>
          </w:tcPr>
          <w:p>
            <w:pPr>
              <w:pStyle w:val="TableContents"/>
              <w:spacing w:before="0" w:after="283"/>
              <w:rPr/>
            </w:pPr>
            <w:r>
              <w:rPr/>
              <w:t>​</w:t>
            </w:r>
          </w:p>
        </w:tc>
      </w:tr>
      <w:tr>
        <w:trPr/>
        <w:tc>
          <w:tcPr>
            <w:tcW w:w="3965" w:type="dxa"/>
            <w:tcBorders/>
            <w:shd w:fill="FFFFFF" w:val="clear"/>
            <w:vAlign w:val="bottom"/>
          </w:tcPr>
          <w:p>
            <w:pPr>
              <w:pStyle w:val="TableContents"/>
              <w:spacing w:lineRule="atLeast" w:line="141" w:before="0" w:after="283"/>
              <w:rPr/>
            </w:pPr>
            <w:r>
              <w:rPr/>
              <w:t>​</w:t>
            </w:r>
          </w:p>
        </w:tc>
        <w:tc>
          <w:tcPr>
            <w:tcW w:w="172" w:type="dxa"/>
            <w:tcBorders/>
            <w:shd w:fill="FFFFFF" w:val="clear"/>
            <w:vAlign w:val="bottom"/>
          </w:tcPr>
          <w:p>
            <w:pPr>
              <w:pStyle w:val="TableContents"/>
              <w:spacing w:lineRule="atLeast" w:line="141" w:before="0" w:after="283"/>
              <w:rPr/>
            </w:pPr>
            <w:r>
              <w:rPr/>
              <w:t>​</w:t>
            </w:r>
          </w:p>
        </w:tc>
        <w:tc>
          <w:tcPr>
            <w:tcW w:w="95" w:type="dxa"/>
            <w:tcBorders/>
            <w:shd w:fill="FFFFFF" w:val="clear"/>
            <w:vAlign w:val="bottom"/>
          </w:tcPr>
          <w:p>
            <w:pPr>
              <w:pStyle w:val="TableContents"/>
              <w:spacing w:lineRule="atLeast" w:line="141" w:before="0" w:after="283"/>
              <w:rPr/>
            </w:pPr>
            <w:r>
              <w:rPr/>
              <w:t>​</w:t>
            </w:r>
          </w:p>
        </w:tc>
        <w:tc>
          <w:tcPr>
            <w:tcW w:w="945" w:type="dxa"/>
            <w:tcBorders/>
            <w:shd w:fill="FFFFFF" w:val="clear"/>
            <w:vAlign w:val="bottom"/>
          </w:tcPr>
          <w:p>
            <w:pPr>
              <w:pStyle w:val="TableContents"/>
              <w:spacing w:lineRule="atLeast" w:line="141" w:before="0" w:after="283"/>
              <w:jc w:val="right"/>
              <w:rPr/>
            </w:pPr>
            <w:r>
              <w:rPr/>
              <w:t>​</w:t>
            </w:r>
          </w:p>
        </w:tc>
        <w:tc>
          <w:tcPr>
            <w:tcW w:w="172" w:type="dxa"/>
            <w:tcBorders/>
            <w:shd w:fill="FFFFFF" w:val="clear"/>
            <w:vAlign w:val="bottom"/>
          </w:tcPr>
          <w:p>
            <w:pPr>
              <w:pStyle w:val="TableContents"/>
              <w:spacing w:lineRule="atLeast" w:line="141" w:before="0" w:after="283"/>
              <w:rPr/>
            </w:pPr>
            <w:r>
              <w:rPr/>
              <w:t>​</w:t>
            </w:r>
          </w:p>
        </w:tc>
        <w:tc>
          <w:tcPr>
            <w:tcW w:w="95" w:type="dxa"/>
            <w:tcBorders/>
            <w:shd w:fill="FFFFFF" w:val="clear"/>
            <w:vAlign w:val="bottom"/>
          </w:tcPr>
          <w:p>
            <w:pPr>
              <w:pStyle w:val="TableContents"/>
              <w:spacing w:lineRule="atLeast" w:line="141" w:before="0" w:after="283"/>
              <w:rPr/>
            </w:pPr>
            <w:r>
              <w:rPr/>
              <w:t>​</w:t>
            </w:r>
          </w:p>
        </w:tc>
        <w:tc>
          <w:tcPr>
            <w:tcW w:w="945" w:type="dxa"/>
            <w:tcBorders/>
            <w:shd w:fill="FFFFFF" w:val="clear"/>
            <w:vAlign w:val="bottom"/>
          </w:tcPr>
          <w:p>
            <w:pPr>
              <w:pStyle w:val="TableContents"/>
              <w:spacing w:lineRule="atLeast" w:line="141" w:before="0" w:after="283"/>
              <w:jc w:val="right"/>
              <w:rPr/>
            </w:pPr>
            <w:r>
              <w:rPr/>
              <w:t>​</w:t>
            </w:r>
          </w:p>
        </w:tc>
        <w:tc>
          <w:tcPr>
            <w:tcW w:w="172" w:type="dxa"/>
            <w:tcBorders/>
            <w:shd w:fill="FFFFFF" w:val="clear"/>
            <w:vAlign w:val="bottom"/>
          </w:tcPr>
          <w:p>
            <w:pPr>
              <w:pStyle w:val="TableContents"/>
              <w:spacing w:lineRule="atLeast" w:line="141" w:before="0" w:after="283"/>
              <w:rPr/>
            </w:pPr>
            <w:r>
              <w:rPr/>
              <w:t>​</w:t>
            </w:r>
          </w:p>
        </w:tc>
        <w:tc>
          <w:tcPr>
            <w:tcW w:w="95" w:type="dxa"/>
            <w:tcBorders/>
            <w:shd w:fill="FFFFFF" w:val="clear"/>
            <w:vAlign w:val="bottom"/>
          </w:tcPr>
          <w:p>
            <w:pPr>
              <w:pStyle w:val="TableContents"/>
              <w:spacing w:lineRule="atLeast" w:line="141" w:before="0" w:after="283"/>
              <w:rPr/>
            </w:pPr>
            <w:r>
              <w:rPr/>
              <w:t>​</w:t>
            </w:r>
          </w:p>
        </w:tc>
        <w:tc>
          <w:tcPr>
            <w:tcW w:w="945" w:type="dxa"/>
            <w:tcBorders/>
            <w:shd w:fill="FFFFFF" w:val="clear"/>
            <w:vAlign w:val="bottom"/>
          </w:tcPr>
          <w:p>
            <w:pPr>
              <w:pStyle w:val="TableContents"/>
              <w:spacing w:lineRule="atLeast" w:line="141" w:before="0" w:after="283"/>
              <w:jc w:val="right"/>
              <w:rPr/>
            </w:pPr>
            <w:r>
              <w:rPr/>
              <w:t>​</w:t>
            </w:r>
          </w:p>
        </w:tc>
        <w:tc>
          <w:tcPr>
            <w:tcW w:w="172" w:type="dxa"/>
            <w:tcBorders/>
            <w:shd w:fill="FFFFFF" w:val="clear"/>
            <w:vAlign w:val="bottom"/>
          </w:tcPr>
          <w:p>
            <w:pPr>
              <w:pStyle w:val="TableContents"/>
              <w:spacing w:lineRule="atLeast" w:line="141" w:before="0" w:after="283"/>
              <w:rPr/>
            </w:pPr>
            <w:r>
              <w:rPr/>
              <w:t>​</w:t>
            </w:r>
          </w:p>
        </w:tc>
        <w:tc>
          <w:tcPr>
            <w:tcW w:w="95" w:type="dxa"/>
            <w:tcBorders/>
            <w:shd w:fill="FFFFFF" w:val="clear"/>
            <w:vAlign w:val="bottom"/>
          </w:tcPr>
          <w:p>
            <w:pPr>
              <w:pStyle w:val="TableContents"/>
              <w:spacing w:lineRule="atLeast" w:line="141" w:before="0" w:after="283"/>
              <w:rPr/>
            </w:pPr>
            <w:r>
              <w:rPr/>
              <w:t>​</w:t>
            </w:r>
          </w:p>
        </w:tc>
        <w:tc>
          <w:tcPr>
            <w:tcW w:w="947" w:type="dxa"/>
            <w:tcBorders/>
            <w:shd w:fill="FFFFFF" w:val="clear"/>
            <w:vAlign w:val="bottom"/>
          </w:tcPr>
          <w:p>
            <w:pPr>
              <w:pStyle w:val="TableContents"/>
              <w:spacing w:lineRule="atLeast" w:line="141" w:before="0" w:after="283"/>
              <w:jc w:val="right"/>
              <w:rPr/>
            </w:pPr>
            <w:r>
              <w:rPr/>
              <w:t>​</w:t>
            </w:r>
          </w:p>
        </w:tc>
        <w:tc>
          <w:tcPr>
            <w:tcW w:w="172" w:type="dxa"/>
            <w:tcBorders/>
            <w:shd w:fill="FFFFFF" w:val="clear"/>
            <w:vAlign w:val="bottom"/>
          </w:tcPr>
          <w:p>
            <w:pPr>
              <w:pStyle w:val="TableContents"/>
              <w:spacing w:lineRule="atLeast" w:line="141" w:before="0" w:after="283"/>
              <w:rPr/>
            </w:pPr>
            <w:r>
              <w:rPr/>
              <w:t>​</w:t>
            </w:r>
          </w:p>
        </w:tc>
        <w:tc>
          <w:tcPr>
            <w:tcW w:w="95" w:type="dxa"/>
            <w:tcBorders/>
            <w:shd w:fill="FFFFFF" w:val="clear"/>
            <w:vAlign w:val="bottom"/>
          </w:tcPr>
          <w:p>
            <w:pPr>
              <w:pStyle w:val="TableContents"/>
              <w:spacing w:lineRule="atLeast" w:line="141" w:before="0" w:after="283"/>
              <w:rPr/>
            </w:pPr>
            <w:r>
              <w:rPr/>
              <w:t>​</w:t>
            </w:r>
          </w:p>
        </w:tc>
        <w:tc>
          <w:tcPr>
            <w:tcW w:w="945" w:type="dxa"/>
            <w:tcBorders/>
            <w:shd w:fill="FFFFFF" w:val="clear"/>
            <w:vAlign w:val="bottom"/>
          </w:tcPr>
          <w:p>
            <w:pPr>
              <w:pStyle w:val="TableContents"/>
              <w:spacing w:lineRule="atLeast" w:line="141" w:before="0" w:after="283"/>
              <w:jc w:val="right"/>
              <w:rPr/>
            </w:pPr>
            <w:r>
              <w:rPr/>
              <w:t>​</w:t>
            </w:r>
          </w:p>
        </w:tc>
        <w:tc>
          <w:tcPr>
            <w:tcW w:w="178" w:type="dxa"/>
            <w:tcBorders/>
            <w:shd w:fill="FFFFFF" w:val="clear"/>
            <w:vAlign w:val="bottom"/>
          </w:tcPr>
          <w:p>
            <w:pPr>
              <w:pStyle w:val="TableContents"/>
              <w:spacing w:lineRule="atLeast" w:line="141" w:before="0" w:after="283"/>
              <w:rPr/>
            </w:pPr>
            <w:r>
              <w:rPr/>
              <w:t>​</w:t>
            </w:r>
          </w:p>
        </w:tc>
      </w:tr>
      <w:tr>
        <w:trPr/>
        <w:tc>
          <w:tcPr>
            <w:tcW w:w="3965" w:type="dxa"/>
            <w:tcBorders/>
            <w:shd w:fill="FFFFFF" w:val="clear"/>
            <w:vAlign w:val="bottom"/>
          </w:tcPr>
          <w:p>
            <w:pPr>
              <w:pStyle w:val="TableContents"/>
              <w:spacing w:before="0" w:after="283"/>
              <w:rPr/>
            </w:pPr>
            <w:r>
              <w:rPr/>
              <w:t>​</w:t>
            </w:r>
          </w:p>
        </w:tc>
        <w:tc>
          <w:tcPr>
            <w:tcW w:w="172" w:type="dxa"/>
            <w:tcBorders/>
            <w:shd w:fill="FFFFFF" w:val="clear"/>
            <w:vAlign w:val="bottom"/>
          </w:tcPr>
          <w:p>
            <w:pPr>
              <w:pStyle w:val="TableContents"/>
              <w:spacing w:before="0" w:after="283"/>
              <w:rPr/>
            </w:pPr>
            <w:r>
              <w:rPr/>
              <w:t>​</w:t>
            </w:r>
          </w:p>
        </w:tc>
        <w:tc>
          <w:tcPr>
            <w:tcW w:w="95" w:type="dxa"/>
            <w:tcBorders>
              <w:bottom w:val="single" w:sz="8" w:space="0" w:color="000000"/>
            </w:tcBorders>
            <w:shd w:fill="FFFFFF" w:val="clear"/>
            <w:tcMar>
              <w:bottom w:w="28" w:type="dxa"/>
            </w:tcMar>
            <w:vAlign w:val="bottom"/>
          </w:tcPr>
          <w:p>
            <w:pPr>
              <w:pStyle w:val="TableContents"/>
              <w:spacing w:before="0" w:after="283"/>
              <w:rPr/>
            </w:pPr>
            <w:r>
              <w:rPr/>
              <w:t xml:space="preserve">​ </w:t>
            </w:r>
          </w:p>
        </w:tc>
        <w:tc>
          <w:tcPr>
            <w:tcW w:w="945" w:type="dxa"/>
            <w:tcBorders>
              <w:bottom w:val="single" w:sz="8" w:space="0" w:color="000000"/>
            </w:tcBorders>
            <w:shd w:fill="FFFFFF" w:val="clear"/>
            <w:tcMar>
              <w:bottom w:w="28" w:type="dxa"/>
            </w:tcMar>
            <w:vAlign w:val="bottom"/>
          </w:tcPr>
          <w:p>
            <w:pPr>
              <w:pStyle w:val="TableContents"/>
              <w:spacing w:before="0" w:after="283"/>
              <w:jc w:val="right"/>
              <w:rPr/>
            </w:pPr>
            <w:r>
              <w:rPr/>
              <w:t xml:space="preserve">​ </w:t>
            </w:r>
          </w:p>
        </w:tc>
        <w:tc>
          <w:tcPr>
            <w:tcW w:w="172" w:type="dxa"/>
            <w:tcBorders/>
            <w:shd w:fill="FFFFFF" w:val="clear"/>
            <w:vAlign w:val="bottom"/>
          </w:tcPr>
          <w:p>
            <w:pPr>
              <w:pStyle w:val="TableContents"/>
              <w:spacing w:before="0" w:after="283"/>
              <w:rPr/>
            </w:pPr>
            <w:r>
              <w:rPr/>
              <w:t>​</w:t>
            </w:r>
          </w:p>
        </w:tc>
        <w:tc>
          <w:tcPr>
            <w:tcW w:w="95" w:type="dxa"/>
            <w:tcBorders>
              <w:bottom w:val="single" w:sz="8" w:space="0" w:color="000000"/>
            </w:tcBorders>
            <w:shd w:fill="FFFFFF" w:val="clear"/>
            <w:tcMar>
              <w:bottom w:w="28" w:type="dxa"/>
            </w:tcMar>
            <w:vAlign w:val="bottom"/>
          </w:tcPr>
          <w:p>
            <w:pPr>
              <w:pStyle w:val="TableContents"/>
              <w:spacing w:before="0" w:after="283"/>
              <w:rPr/>
            </w:pPr>
            <w:r>
              <w:rPr/>
              <w:t xml:space="preserve">​ </w:t>
            </w:r>
          </w:p>
        </w:tc>
        <w:tc>
          <w:tcPr>
            <w:tcW w:w="945" w:type="dxa"/>
            <w:tcBorders>
              <w:bottom w:val="single" w:sz="8" w:space="0" w:color="000000"/>
            </w:tcBorders>
            <w:shd w:fill="FFFFFF" w:val="clear"/>
            <w:tcMar>
              <w:bottom w:w="28" w:type="dxa"/>
            </w:tcMar>
            <w:vAlign w:val="bottom"/>
          </w:tcPr>
          <w:p>
            <w:pPr>
              <w:pStyle w:val="TableContents"/>
              <w:spacing w:before="0" w:after="283"/>
              <w:jc w:val="right"/>
              <w:rPr/>
            </w:pPr>
            <w:r>
              <w:rPr/>
              <w:t xml:space="preserve">​ </w:t>
            </w:r>
          </w:p>
        </w:tc>
        <w:tc>
          <w:tcPr>
            <w:tcW w:w="172" w:type="dxa"/>
            <w:tcBorders/>
            <w:shd w:fill="FFFFFF" w:val="clear"/>
            <w:vAlign w:val="bottom"/>
          </w:tcPr>
          <w:p>
            <w:pPr>
              <w:pStyle w:val="TableContents"/>
              <w:spacing w:before="0" w:after="283"/>
              <w:rPr/>
            </w:pPr>
            <w:r>
              <w:rPr/>
              <w:t>​</w:t>
            </w:r>
          </w:p>
        </w:tc>
        <w:tc>
          <w:tcPr>
            <w:tcW w:w="95" w:type="dxa"/>
            <w:tcBorders>
              <w:bottom w:val="single" w:sz="8" w:space="0" w:color="000000"/>
            </w:tcBorders>
            <w:shd w:fill="FFFFFF" w:val="clear"/>
            <w:tcMar>
              <w:bottom w:w="28" w:type="dxa"/>
            </w:tcMar>
            <w:vAlign w:val="bottom"/>
          </w:tcPr>
          <w:p>
            <w:pPr>
              <w:pStyle w:val="TableContents"/>
              <w:spacing w:before="0" w:after="283"/>
              <w:rPr/>
            </w:pPr>
            <w:r>
              <w:rPr/>
              <w:t xml:space="preserve">​ </w:t>
            </w:r>
          </w:p>
        </w:tc>
        <w:tc>
          <w:tcPr>
            <w:tcW w:w="945" w:type="dxa"/>
            <w:tcBorders>
              <w:bottom w:val="single" w:sz="8" w:space="0" w:color="000000"/>
            </w:tcBorders>
            <w:shd w:fill="FFFFFF" w:val="clear"/>
            <w:tcMar>
              <w:bottom w:w="28" w:type="dxa"/>
            </w:tcMar>
            <w:vAlign w:val="bottom"/>
          </w:tcPr>
          <w:p>
            <w:pPr>
              <w:pStyle w:val="TableContents"/>
              <w:spacing w:before="0" w:after="283"/>
              <w:jc w:val="right"/>
              <w:rPr/>
            </w:pPr>
            <w:r>
              <w:rPr/>
              <w:t xml:space="preserve">​ </w:t>
            </w:r>
          </w:p>
        </w:tc>
        <w:tc>
          <w:tcPr>
            <w:tcW w:w="172" w:type="dxa"/>
            <w:tcBorders/>
            <w:shd w:fill="FFFFFF" w:val="clear"/>
            <w:vAlign w:val="bottom"/>
          </w:tcPr>
          <w:p>
            <w:pPr>
              <w:pStyle w:val="TableContents"/>
              <w:spacing w:before="0" w:after="283"/>
              <w:rPr/>
            </w:pPr>
            <w:r>
              <w:rPr/>
              <w:t>​</w:t>
            </w:r>
          </w:p>
        </w:tc>
        <w:tc>
          <w:tcPr>
            <w:tcW w:w="95" w:type="dxa"/>
            <w:tcBorders>
              <w:bottom w:val="single" w:sz="8" w:space="0" w:color="000000"/>
            </w:tcBorders>
            <w:shd w:fill="FFFFFF" w:val="clear"/>
            <w:tcMar>
              <w:bottom w:w="28" w:type="dxa"/>
            </w:tcMar>
            <w:vAlign w:val="bottom"/>
          </w:tcPr>
          <w:p>
            <w:pPr>
              <w:pStyle w:val="TableContents"/>
              <w:spacing w:before="0" w:after="283"/>
              <w:rPr/>
            </w:pPr>
            <w:r>
              <w:rPr/>
              <w:t xml:space="preserve">​ </w:t>
            </w:r>
          </w:p>
        </w:tc>
        <w:tc>
          <w:tcPr>
            <w:tcW w:w="947" w:type="dxa"/>
            <w:tcBorders>
              <w:bottom w:val="single" w:sz="8" w:space="0" w:color="000000"/>
            </w:tcBorders>
            <w:shd w:fill="FFFFFF" w:val="clear"/>
            <w:tcMar>
              <w:bottom w:w="28" w:type="dxa"/>
            </w:tcMar>
            <w:vAlign w:val="bottom"/>
          </w:tcPr>
          <w:p>
            <w:pPr>
              <w:pStyle w:val="TableContents"/>
              <w:spacing w:before="0" w:after="283"/>
              <w:jc w:val="right"/>
              <w:rPr/>
            </w:pPr>
            <w:r>
              <w:rPr/>
              <w:t xml:space="preserve">​ </w:t>
            </w:r>
          </w:p>
        </w:tc>
        <w:tc>
          <w:tcPr>
            <w:tcW w:w="172" w:type="dxa"/>
            <w:tcBorders/>
            <w:shd w:fill="FFFFFF" w:val="clear"/>
            <w:vAlign w:val="bottom"/>
          </w:tcPr>
          <w:p>
            <w:pPr>
              <w:pStyle w:val="TableContents"/>
              <w:spacing w:before="0" w:after="283"/>
              <w:rPr/>
            </w:pPr>
            <w:r>
              <w:rPr/>
              <w:t>​</w:t>
            </w:r>
          </w:p>
        </w:tc>
        <w:tc>
          <w:tcPr>
            <w:tcW w:w="95" w:type="dxa"/>
            <w:tcBorders>
              <w:bottom w:val="single" w:sz="8" w:space="0" w:color="000000"/>
            </w:tcBorders>
            <w:shd w:fill="FFFFFF" w:val="clear"/>
            <w:tcMar>
              <w:bottom w:w="28" w:type="dxa"/>
            </w:tcMar>
            <w:vAlign w:val="bottom"/>
          </w:tcPr>
          <w:p>
            <w:pPr>
              <w:pStyle w:val="TableContents"/>
              <w:spacing w:before="0" w:after="283"/>
              <w:rPr/>
            </w:pPr>
            <w:r>
              <w:rPr/>
              <w:t xml:space="preserve">​ </w:t>
            </w:r>
          </w:p>
        </w:tc>
        <w:tc>
          <w:tcPr>
            <w:tcW w:w="945" w:type="dxa"/>
            <w:tcBorders>
              <w:bottom w:val="single" w:sz="8" w:space="0" w:color="000000"/>
            </w:tcBorders>
            <w:shd w:fill="FFFFFF" w:val="clear"/>
            <w:tcMar>
              <w:bottom w:w="28" w:type="dxa"/>
            </w:tcMar>
            <w:vAlign w:val="bottom"/>
          </w:tcPr>
          <w:p>
            <w:pPr>
              <w:pStyle w:val="TableContents"/>
              <w:spacing w:before="0" w:after="283"/>
              <w:jc w:val="right"/>
              <w:rPr/>
            </w:pPr>
            <w:r>
              <w:rPr/>
              <w:t xml:space="preserve">​ </w:t>
            </w:r>
          </w:p>
        </w:tc>
        <w:tc>
          <w:tcPr>
            <w:tcW w:w="178" w:type="dxa"/>
            <w:tcBorders/>
            <w:shd w:fill="FFFFFF" w:val="clear"/>
            <w:vAlign w:val="bottom"/>
          </w:tcPr>
          <w:p>
            <w:pPr>
              <w:pStyle w:val="TableContents"/>
              <w:spacing w:before="0" w:after="283"/>
              <w:rPr/>
            </w:pPr>
            <w:r>
              <w:rPr/>
              <w:t xml:space="preserve">​ </w:t>
            </w:r>
          </w:p>
        </w:tc>
      </w:tr>
    </w:tbl>
    <w:p>
      <w:pPr>
        <w:pStyle w:val="TextBody"/>
        <w:rPr>
          <w:bdr w:val="single" w:sz="8" w:space="12" w:color="000000"/>
        </w:rPr>
      </w:pPr>
      <w:r>
        <w:rPr>
          <w:bdr w:val="single" w:sz="8" w:space="12" w:color="000000"/>
        </w:rPr>
        <w:t> </w:t>
      </w:r>
    </w:p>
    <w:tbl>
      <w:tblPr>
        <w:tblW w:w="5000" w:type="pct"/>
        <w:jc w:val="center"/>
        <w:tblInd w:w="0" w:type="dxa"/>
        <w:tblCellMar>
          <w:top w:w="0" w:type="dxa"/>
          <w:left w:w="0" w:type="dxa"/>
          <w:bottom w:w="0" w:type="dxa"/>
          <w:right w:w="0" w:type="dxa"/>
        </w:tblCellMar>
      </w:tblPr>
      <w:tblGrid>
        <w:gridCol w:w="3292"/>
        <w:gridCol w:w="194"/>
        <w:gridCol w:w="97"/>
        <w:gridCol w:w="1053"/>
        <w:gridCol w:w="194"/>
        <w:gridCol w:w="97"/>
        <w:gridCol w:w="1052"/>
        <w:gridCol w:w="195"/>
        <w:gridCol w:w="97"/>
        <w:gridCol w:w="1052"/>
        <w:gridCol w:w="194"/>
        <w:gridCol w:w="97"/>
        <w:gridCol w:w="1053"/>
        <w:gridCol w:w="194"/>
        <w:gridCol w:w="97"/>
        <w:gridCol w:w="1052"/>
        <w:gridCol w:w="195"/>
      </w:tblGrid>
      <w:tr>
        <w:trPr/>
        <w:tc>
          <w:tcPr>
            <w:tcW w:w="3292" w:type="dxa"/>
            <w:tcBorders/>
            <w:shd w:fill="auto" w:val="clear"/>
            <w:vAlign w:val="center"/>
          </w:tcPr>
          <w:p>
            <w:pPr>
              <w:pStyle w:val="TableContents"/>
              <w:spacing w:before="0" w:after="283"/>
              <w:rPr>
                <w:sz w:val="4"/>
                <w:szCs w:val="4"/>
              </w:rPr>
            </w:pPr>
            <w:r>
              <w:rPr>
                <w:sz w:val="4"/>
                <w:szCs w:val="4"/>
              </w:rPr>
            </w:r>
          </w:p>
        </w:tc>
        <w:tc>
          <w:tcPr>
            <w:tcW w:w="194" w:type="dxa"/>
            <w:tcBorders/>
            <w:shd w:fill="auto" w:val="clear"/>
            <w:vAlign w:val="center"/>
          </w:tcPr>
          <w:p>
            <w:pPr>
              <w:pStyle w:val="TableContents"/>
              <w:spacing w:before="0" w:after="283"/>
              <w:rPr>
                <w:sz w:val="4"/>
                <w:szCs w:val="4"/>
              </w:rPr>
            </w:pPr>
            <w:r>
              <w:rPr>
                <w:sz w:val="4"/>
                <w:szCs w:val="4"/>
              </w:rPr>
            </w:r>
          </w:p>
        </w:tc>
        <w:tc>
          <w:tcPr>
            <w:tcW w:w="97" w:type="dxa"/>
            <w:tcBorders/>
            <w:shd w:fill="auto" w:val="clear"/>
            <w:vAlign w:val="center"/>
          </w:tcPr>
          <w:p>
            <w:pPr>
              <w:pStyle w:val="TableContents"/>
              <w:spacing w:before="0" w:after="283"/>
              <w:rPr>
                <w:sz w:val="4"/>
                <w:szCs w:val="4"/>
              </w:rPr>
            </w:pPr>
            <w:r>
              <w:rPr>
                <w:sz w:val="4"/>
                <w:szCs w:val="4"/>
              </w:rPr>
            </w:r>
          </w:p>
        </w:tc>
        <w:tc>
          <w:tcPr>
            <w:tcW w:w="1053" w:type="dxa"/>
            <w:tcBorders/>
            <w:shd w:fill="auto" w:val="clear"/>
            <w:vAlign w:val="center"/>
          </w:tcPr>
          <w:p>
            <w:pPr>
              <w:pStyle w:val="TableContents"/>
              <w:spacing w:before="0" w:after="283"/>
              <w:rPr>
                <w:sz w:val="4"/>
                <w:szCs w:val="4"/>
              </w:rPr>
            </w:pPr>
            <w:r>
              <w:rPr>
                <w:sz w:val="4"/>
                <w:szCs w:val="4"/>
              </w:rPr>
            </w:r>
          </w:p>
        </w:tc>
        <w:tc>
          <w:tcPr>
            <w:tcW w:w="194" w:type="dxa"/>
            <w:tcBorders/>
            <w:shd w:fill="auto" w:val="clear"/>
            <w:vAlign w:val="center"/>
          </w:tcPr>
          <w:p>
            <w:pPr>
              <w:pStyle w:val="TableContents"/>
              <w:spacing w:before="0" w:after="283"/>
              <w:rPr>
                <w:sz w:val="4"/>
                <w:szCs w:val="4"/>
              </w:rPr>
            </w:pPr>
            <w:r>
              <w:rPr>
                <w:sz w:val="4"/>
                <w:szCs w:val="4"/>
              </w:rPr>
            </w:r>
          </w:p>
        </w:tc>
        <w:tc>
          <w:tcPr>
            <w:tcW w:w="97" w:type="dxa"/>
            <w:tcBorders/>
            <w:shd w:fill="auto" w:val="clear"/>
            <w:vAlign w:val="center"/>
          </w:tcPr>
          <w:p>
            <w:pPr>
              <w:pStyle w:val="TableContents"/>
              <w:spacing w:before="0" w:after="283"/>
              <w:rPr>
                <w:sz w:val="4"/>
                <w:szCs w:val="4"/>
              </w:rPr>
            </w:pPr>
            <w:r>
              <w:rPr>
                <w:sz w:val="4"/>
                <w:szCs w:val="4"/>
              </w:rPr>
            </w:r>
          </w:p>
        </w:tc>
        <w:tc>
          <w:tcPr>
            <w:tcW w:w="1052" w:type="dxa"/>
            <w:tcBorders/>
            <w:shd w:fill="auto" w:val="clear"/>
            <w:vAlign w:val="center"/>
          </w:tcPr>
          <w:p>
            <w:pPr>
              <w:pStyle w:val="TableContents"/>
              <w:spacing w:before="0" w:after="283"/>
              <w:rPr>
                <w:sz w:val="4"/>
                <w:szCs w:val="4"/>
              </w:rPr>
            </w:pPr>
            <w:r>
              <w:rPr>
                <w:sz w:val="4"/>
                <w:szCs w:val="4"/>
              </w:rPr>
            </w:r>
          </w:p>
        </w:tc>
        <w:tc>
          <w:tcPr>
            <w:tcW w:w="195" w:type="dxa"/>
            <w:tcBorders/>
            <w:shd w:fill="auto" w:val="clear"/>
            <w:vAlign w:val="center"/>
          </w:tcPr>
          <w:p>
            <w:pPr>
              <w:pStyle w:val="TableContents"/>
              <w:spacing w:before="0" w:after="283"/>
              <w:rPr>
                <w:sz w:val="4"/>
                <w:szCs w:val="4"/>
              </w:rPr>
            </w:pPr>
            <w:r>
              <w:rPr>
                <w:sz w:val="4"/>
                <w:szCs w:val="4"/>
              </w:rPr>
            </w:r>
          </w:p>
        </w:tc>
        <w:tc>
          <w:tcPr>
            <w:tcW w:w="97" w:type="dxa"/>
            <w:tcBorders/>
            <w:shd w:fill="auto" w:val="clear"/>
            <w:vAlign w:val="center"/>
          </w:tcPr>
          <w:p>
            <w:pPr>
              <w:pStyle w:val="TableContents"/>
              <w:spacing w:before="0" w:after="283"/>
              <w:rPr>
                <w:sz w:val="4"/>
                <w:szCs w:val="4"/>
              </w:rPr>
            </w:pPr>
            <w:r>
              <w:rPr>
                <w:sz w:val="4"/>
                <w:szCs w:val="4"/>
              </w:rPr>
            </w:r>
          </w:p>
        </w:tc>
        <w:tc>
          <w:tcPr>
            <w:tcW w:w="1052" w:type="dxa"/>
            <w:tcBorders/>
            <w:shd w:fill="auto" w:val="clear"/>
            <w:vAlign w:val="center"/>
          </w:tcPr>
          <w:p>
            <w:pPr>
              <w:pStyle w:val="TableContents"/>
              <w:spacing w:before="0" w:after="283"/>
              <w:rPr>
                <w:sz w:val="4"/>
                <w:szCs w:val="4"/>
              </w:rPr>
            </w:pPr>
            <w:r>
              <w:rPr>
                <w:sz w:val="4"/>
                <w:szCs w:val="4"/>
              </w:rPr>
            </w:r>
          </w:p>
        </w:tc>
        <w:tc>
          <w:tcPr>
            <w:tcW w:w="194" w:type="dxa"/>
            <w:tcBorders/>
            <w:shd w:fill="auto" w:val="clear"/>
            <w:vAlign w:val="center"/>
          </w:tcPr>
          <w:p>
            <w:pPr>
              <w:pStyle w:val="TableContents"/>
              <w:spacing w:before="0" w:after="283"/>
              <w:rPr>
                <w:sz w:val="4"/>
                <w:szCs w:val="4"/>
              </w:rPr>
            </w:pPr>
            <w:r>
              <w:rPr>
                <w:sz w:val="4"/>
                <w:szCs w:val="4"/>
              </w:rPr>
            </w:r>
          </w:p>
        </w:tc>
        <w:tc>
          <w:tcPr>
            <w:tcW w:w="97" w:type="dxa"/>
            <w:tcBorders/>
            <w:shd w:fill="auto" w:val="clear"/>
            <w:vAlign w:val="center"/>
          </w:tcPr>
          <w:p>
            <w:pPr>
              <w:pStyle w:val="TableContents"/>
              <w:spacing w:before="0" w:after="283"/>
              <w:rPr>
                <w:sz w:val="4"/>
                <w:szCs w:val="4"/>
              </w:rPr>
            </w:pPr>
            <w:r>
              <w:rPr>
                <w:sz w:val="4"/>
                <w:szCs w:val="4"/>
              </w:rPr>
            </w:r>
          </w:p>
        </w:tc>
        <w:tc>
          <w:tcPr>
            <w:tcW w:w="1053" w:type="dxa"/>
            <w:tcBorders/>
            <w:shd w:fill="auto" w:val="clear"/>
            <w:vAlign w:val="center"/>
          </w:tcPr>
          <w:p>
            <w:pPr>
              <w:pStyle w:val="TableContents"/>
              <w:spacing w:before="0" w:after="283"/>
              <w:rPr>
                <w:sz w:val="4"/>
                <w:szCs w:val="4"/>
              </w:rPr>
            </w:pPr>
            <w:r>
              <w:rPr>
                <w:sz w:val="4"/>
                <w:szCs w:val="4"/>
              </w:rPr>
            </w:r>
          </w:p>
        </w:tc>
        <w:tc>
          <w:tcPr>
            <w:tcW w:w="194" w:type="dxa"/>
            <w:tcBorders/>
            <w:shd w:fill="auto" w:val="clear"/>
            <w:vAlign w:val="center"/>
          </w:tcPr>
          <w:p>
            <w:pPr>
              <w:pStyle w:val="TableContents"/>
              <w:spacing w:before="0" w:after="283"/>
              <w:rPr>
                <w:sz w:val="4"/>
                <w:szCs w:val="4"/>
              </w:rPr>
            </w:pPr>
            <w:r>
              <w:rPr>
                <w:sz w:val="4"/>
                <w:szCs w:val="4"/>
              </w:rPr>
            </w:r>
          </w:p>
        </w:tc>
        <w:tc>
          <w:tcPr>
            <w:tcW w:w="97" w:type="dxa"/>
            <w:tcBorders/>
            <w:shd w:fill="auto" w:val="clear"/>
            <w:vAlign w:val="center"/>
          </w:tcPr>
          <w:p>
            <w:pPr>
              <w:pStyle w:val="TableContents"/>
              <w:spacing w:before="0" w:after="283"/>
              <w:rPr>
                <w:sz w:val="4"/>
                <w:szCs w:val="4"/>
              </w:rPr>
            </w:pPr>
            <w:r>
              <w:rPr>
                <w:sz w:val="4"/>
                <w:szCs w:val="4"/>
              </w:rPr>
            </w:r>
          </w:p>
        </w:tc>
        <w:tc>
          <w:tcPr>
            <w:tcW w:w="1052" w:type="dxa"/>
            <w:tcBorders/>
            <w:shd w:fill="auto" w:val="clear"/>
            <w:vAlign w:val="center"/>
          </w:tcPr>
          <w:p>
            <w:pPr>
              <w:pStyle w:val="TableContents"/>
              <w:spacing w:before="0" w:after="283"/>
              <w:rPr>
                <w:sz w:val="4"/>
                <w:szCs w:val="4"/>
              </w:rPr>
            </w:pPr>
            <w:r>
              <w:rPr>
                <w:sz w:val="4"/>
                <w:szCs w:val="4"/>
              </w:rPr>
            </w:r>
          </w:p>
        </w:tc>
        <w:tc>
          <w:tcPr>
            <w:tcW w:w="195" w:type="dxa"/>
            <w:tcBorders/>
            <w:shd w:fill="auto" w:val="clear"/>
            <w:vAlign w:val="center"/>
          </w:tcPr>
          <w:p>
            <w:pPr>
              <w:pStyle w:val="TableContents"/>
              <w:spacing w:before="0" w:after="283"/>
              <w:rPr>
                <w:sz w:val="4"/>
                <w:szCs w:val="4"/>
              </w:rPr>
            </w:pPr>
            <w:r>
              <w:rPr>
                <w:sz w:val="4"/>
                <w:szCs w:val="4"/>
              </w:rPr>
            </w:r>
          </w:p>
        </w:tc>
      </w:tr>
      <w:tr>
        <w:trPr/>
        <w:tc>
          <w:tcPr>
            <w:tcW w:w="3292" w:type="dxa"/>
            <w:tcBorders/>
            <w:shd w:fill="auto" w:val="clear"/>
            <w:vAlign w:val="bottom"/>
          </w:tcPr>
          <w:p>
            <w:pPr>
              <w:pStyle w:val="TableHeading"/>
              <w:spacing w:before="0" w:after="283"/>
              <w:jc w:val="left"/>
              <w:rPr/>
            </w:pPr>
            <w:r>
              <w:rPr/>
              <w:t> </w:t>
            </w:r>
          </w:p>
        </w:tc>
        <w:tc>
          <w:tcPr>
            <w:tcW w:w="194" w:type="dxa"/>
            <w:tcBorders/>
            <w:shd w:fill="auto" w:val="clear"/>
            <w:vAlign w:val="bottom"/>
          </w:tcPr>
          <w:p>
            <w:pPr>
              <w:pStyle w:val="TableHeading"/>
              <w:suppressLineNumbers/>
              <w:spacing w:before="0" w:after="283"/>
              <w:jc w:val="center"/>
              <w:rPr/>
            </w:pPr>
            <w:r>
              <w:rPr/>
              <w:t> </w:t>
            </w:r>
          </w:p>
        </w:tc>
        <w:tc>
          <w:tcPr>
            <w:tcW w:w="6524" w:type="dxa"/>
            <w:gridSpan w:val="14"/>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Year Ended December 31, </w:t>
            </w:r>
          </w:p>
        </w:tc>
        <w:tc>
          <w:tcPr>
            <w:tcW w:w="195" w:type="dxa"/>
            <w:tcBorders/>
            <w:shd w:fill="auto" w:val="clear"/>
            <w:vAlign w:val="bottom"/>
          </w:tcPr>
          <w:p>
            <w:pPr>
              <w:pStyle w:val="TableHeading"/>
              <w:suppressLineNumbers/>
              <w:spacing w:before="0" w:after="283"/>
              <w:jc w:val="center"/>
              <w:rPr/>
            </w:pPr>
            <w:r>
              <w:rPr/>
              <w:t> </w:t>
            </w:r>
          </w:p>
        </w:tc>
      </w:tr>
      <w:tr>
        <w:trPr/>
        <w:tc>
          <w:tcPr>
            <w:tcW w:w="3292" w:type="dxa"/>
            <w:tcBorders/>
            <w:shd w:fill="auto" w:val="clear"/>
            <w:vAlign w:val="bottom"/>
          </w:tcPr>
          <w:p>
            <w:pPr>
              <w:pStyle w:val="TableHeading"/>
              <w:spacing w:before="0" w:after="283"/>
              <w:jc w:val="left"/>
              <w:rPr/>
            </w:pPr>
            <w:r>
              <w:rPr/>
              <w:t> </w:t>
            </w:r>
          </w:p>
        </w:tc>
        <w:tc>
          <w:tcPr>
            <w:tcW w:w="194" w:type="dxa"/>
            <w:tcBorders/>
            <w:shd w:fill="auto" w:val="clear"/>
            <w:vAlign w:val="bottom"/>
          </w:tcPr>
          <w:p>
            <w:pPr>
              <w:pStyle w:val="TableHeading"/>
              <w:suppressLineNumbers/>
              <w:spacing w:before="0" w:after="283"/>
              <w:jc w:val="center"/>
              <w:rPr/>
            </w:pPr>
            <w:r>
              <w:rPr/>
              <w:t> </w:t>
            </w:r>
          </w:p>
        </w:tc>
        <w:tc>
          <w:tcPr>
            <w:tcW w:w="1150" w:type="dxa"/>
            <w:gridSpan w:val="2"/>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2016 </w:t>
            </w:r>
          </w:p>
        </w:tc>
        <w:tc>
          <w:tcPr>
            <w:tcW w:w="194" w:type="dxa"/>
            <w:tcBorders/>
            <w:shd w:fill="auto" w:val="clear"/>
            <w:vAlign w:val="bottom"/>
          </w:tcPr>
          <w:p>
            <w:pPr>
              <w:pStyle w:val="TableHeading"/>
              <w:suppressLineNumbers/>
              <w:spacing w:before="0" w:after="283"/>
              <w:jc w:val="center"/>
              <w:rPr/>
            </w:pPr>
            <w:r>
              <w:rPr/>
              <w:t> </w:t>
            </w:r>
          </w:p>
        </w:tc>
        <w:tc>
          <w:tcPr>
            <w:tcW w:w="1149" w:type="dxa"/>
            <w:gridSpan w:val="2"/>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2017 </w:t>
            </w:r>
          </w:p>
        </w:tc>
        <w:tc>
          <w:tcPr>
            <w:tcW w:w="195" w:type="dxa"/>
            <w:tcBorders/>
            <w:shd w:fill="auto" w:val="clear"/>
            <w:vAlign w:val="bottom"/>
          </w:tcPr>
          <w:p>
            <w:pPr>
              <w:pStyle w:val="TableHeading"/>
              <w:suppressLineNumbers/>
              <w:spacing w:before="0" w:after="283"/>
              <w:jc w:val="center"/>
              <w:rPr/>
            </w:pPr>
            <w:r>
              <w:rPr/>
              <w:t> </w:t>
            </w:r>
          </w:p>
        </w:tc>
        <w:tc>
          <w:tcPr>
            <w:tcW w:w="1149" w:type="dxa"/>
            <w:gridSpan w:val="2"/>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2018 </w:t>
            </w:r>
          </w:p>
        </w:tc>
        <w:tc>
          <w:tcPr>
            <w:tcW w:w="194" w:type="dxa"/>
            <w:tcBorders/>
            <w:shd w:fill="auto" w:val="clear"/>
            <w:vAlign w:val="bottom"/>
          </w:tcPr>
          <w:p>
            <w:pPr>
              <w:pStyle w:val="TableHeading"/>
              <w:suppressLineNumbers/>
              <w:spacing w:before="0" w:after="283"/>
              <w:jc w:val="center"/>
              <w:rPr/>
            </w:pPr>
            <w:r>
              <w:rPr/>
              <w:t> </w:t>
            </w:r>
          </w:p>
        </w:tc>
        <w:tc>
          <w:tcPr>
            <w:tcW w:w="1150" w:type="dxa"/>
            <w:gridSpan w:val="2"/>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2019 </w:t>
            </w:r>
          </w:p>
        </w:tc>
        <w:tc>
          <w:tcPr>
            <w:tcW w:w="194" w:type="dxa"/>
            <w:tcBorders/>
            <w:shd w:fill="auto" w:val="clear"/>
            <w:vAlign w:val="bottom"/>
          </w:tcPr>
          <w:p>
            <w:pPr>
              <w:pStyle w:val="TableHeading"/>
              <w:suppressLineNumbers/>
              <w:spacing w:before="0" w:after="283"/>
              <w:jc w:val="center"/>
              <w:rPr/>
            </w:pPr>
            <w:r>
              <w:rPr/>
              <w:t> </w:t>
            </w:r>
          </w:p>
        </w:tc>
        <w:tc>
          <w:tcPr>
            <w:tcW w:w="1149" w:type="dxa"/>
            <w:gridSpan w:val="2"/>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2020 </w:t>
            </w:r>
          </w:p>
        </w:tc>
        <w:tc>
          <w:tcPr>
            <w:tcW w:w="195" w:type="dxa"/>
            <w:tcBorders/>
            <w:shd w:fill="auto" w:val="clear"/>
            <w:vAlign w:val="bottom"/>
          </w:tcPr>
          <w:p>
            <w:pPr>
              <w:pStyle w:val="TableHeading"/>
              <w:suppressLineNumbers/>
              <w:spacing w:before="0" w:after="283"/>
              <w:jc w:val="center"/>
              <w:rPr/>
            </w:pPr>
            <w:r>
              <w:rPr/>
              <w:t> </w:t>
            </w:r>
          </w:p>
        </w:tc>
      </w:tr>
      <w:tr>
        <w:trPr/>
        <w:tc>
          <w:tcPr>
            <w:tcW w:w="3292" w:type="dxa"/>
            <w:tcBorders/>
            <w:shd w:fill="auto" w:val="clear"/>
            <w:vAlign w:val="bottom"/>
          </w:tcPr>
          <w:p>
            <w:pPr>
              <w:pStyle w:val="TableContents"/>
              <w:spacing w:before="0" w:after="283"/>
              <w:ind w:left="160" w:right="0" w:hanging="160"/>
              <w:rPr>
                <w:rFonts w:ascii="times" w:hAnsi="times"/>
                <w:b/>
                <w:sz w:val="14"/>
              </w:rPr>
            </w:pPr>
            <w:r>
              <w:rPr>
                <w:rFonts w:ascii="times" w:hAnsi="times"/>
                <w:b/>
                <w:sz w:val="14"/>
              </w:rPr>
              <w:t>PARTNERSHIP PERFORMANCE FLEET DATA*</w:t>
            </w:r>
          </w:p>
        </w:tc>
        <w:tc>
          <w:tcPr>
            <w:tcW w:w="194" w:type="dxa"/>
            <w:tcBorders/>
            <w:shd w:fill="auto" w:val="clear"/>
            <w:vAlign w:val="bottom"/>
          </w:tcPr>
          <w:p>
            <w:pPr>
              <w:pStyle w:val="TableContents"/>
              <w:spacing w:before="0" w:after="283"/>
              <w:rPr/>
            </w:pPr>
            <w:r>
              <w:rPr/>
              <w:t> </w:t>
            </w:r>
          </w:p>
        </w:tc>
        <w:tc>
          <w:tcPr>
            <w:tcW w:w="97" w:type="dxa"/>
            <w:tcBorders/>
            <w:shd w:fill="auto" w:val="clear"/>
            <w:vAlign w:val="bottom"/>
          </w:tcPr>
          <w:p>
            <w:pPr>
              <w:pStyle w:val="TableContents"/>
              <w:spacing w:before="0" w:after="283"/>
              <w:rPr/>
            </w:pPr>
            <w:r>
              <w:rPr/>
              <w:t> </w:t>
            </w:r>
          </w:p>
        </w:tc>
        <w:tc>
          <w:tcPr>
            <w:tcW w:w="1053" w:type="dxa"/>
            <w:tcBorders/>
            <w:shd w:fill="auto" w:val="clear"/>
            <w:vAlign w:val="bottom"/>
          </w:tcPr>
          <w:p>
            <w:pPr>
              <w:pStyle w:val="TableContents"/>
              <w:spacing w:before="0" w:after="283"/>
              <w:jc w:val="right"/>
              <w:rPr/>
            </w:pPr>
            <w:r>
              <w:rPr/>
              <w:t> </w:t>
            </w:r>
          </w:p>
        </w:tc>
        <w:tc>
          <w:tcPr>
            <w:tcW w:w="194" w:type="dxa"/>
            <w:tcBorders/>
            <w:shd w:fill="auto" w:val="clear"/>
            <w:vAlign w:val="bottom"/>
          </w:tcPr>
          <w:p>
            <w:pPr>
              <w:pStyle w:val="TableContents"/>
              <w:spacing w:before="0" w:after="283"/>
              <w:rPr/>
            </w:pPr>
            <w:r>
              <w:rPr/>
              <w:t> </w:t>
            </w:r>
          </w:p>
        </w:tc>
        <w:tc>
          <w:tcPr>
            <w:tcW w:w="97" w:type="dxa"/>
            <w:tcBorders/>
            <w:shd w:fill="auto" w:val="clear"/>
            <w:vAlign w:val="bottom"/>
          </w:tcPr>
          <w:p>
            <w:pPr>
              <w:pStyle w:val="TableContents"/>
              <w:spacing w:before="0" w:after="283"/>
              <w:rPr/>
            </w:pPr>
            <w:r>
              <w:rPr/>
              <w:t> </w:t>
            </w:r>
          </w:p>
        </w:tc>
        <w:tc>
          <w:tcPr>
            <w:tcW w:w="1052" w:type="dxa"/>
            <w:tcBorders/>
            <w:shd w:fill="auto" w:val="clear"/>
            <w:vAlign w:val="bottom"/>
          </w:tcPr>
          <w:p>
            <w:pPr>
              <w:pStyle w:val="TableContents"/>
              <w:spacing w:before="0" w:after="283"/>
              <w:jc w:val="right"/>
              <w:rPr/>
            </w:pPr>
            <w:r>
              <w:rPr/>
              <w:t> </w:t>
            </w:r>
          </w:p>
        </w:tc>
        <w:tc>
          <w:tcPr>
            <w:tcW w:w="195" w:type="dxa"/>
            <w:tcBorders/>
            <w:shd w:fill="auto" w:val="clear"/>
            <w:vAlign w:val="bottom"/>
          </w:tcPr>
          <w:p>
            <w:pPr>
              <w:pStyle w:val="TableContents"/>
              <w:spacing w:before="0" w:after="283"/>
              <w:rPr/>
            </w:pPr>
            <w:r>
              <w:rPr/>
              <w:t> </w:t>
            </w:r>
          </w:p>
        </w:tc>
        <w:tc>
          <w:tcPr>
            <w:tcW w:w="97" w:type="dxa"/>
            <w:tcBorders/>
            <w:shd w:fill="auto" w:val="clear"/>
            <w:vAlign w:val="bottom"/>
          </w:tcPr>
          <w:p>
            <w:pPr>
              <w:pStyle w:val="TableContents"/>
              <w:spacing w:before="0" w:after="283"/>
              <w:rPr/>
            </w:pPr>
            <w:r>
              <w:rPr/>
              <w:t> </w:t>
            </w:r>
          </w:p>
        </w:tc>
        <w:tc>
          <w:tcPr>
            <w:tcW w:w="1052" w:type="dxa"/>
            <w:tcBorders/>
            <w:shd w:fill="auto" w:val="clear"/>
            <w:vAlign w:val="bottom"/>
          </w:tcPr>
          <w:p>
            <w:pPr>
              <w:pStyle w:val="TableContents"/>
              <w:spacing w:before="0" w:after="283"/>
              <w:jc w:val="right"/>
              <w:rPr/>
            </w:pPr>
            <w:r>
              <w:rPr/>
              <w:t> </w:t>
            </w:r>
          </w:p>
        </w:tc>
        <w:tc>
          <w:tcPr>
            <w:tcW w:w="194" w:type="dxa"/>
            <w:tcBorders/>
            <w:shd w:fill="auto" w:val="clear"/>
            <w:vAlign w:val="bottom"/>
          </w:tcPr>
          <w:p>
            <w:pPr>
              <w:pStyle w:val="TableContents"/>
              <w:spacing w:before="0" w:after="283"/>
              <w:rPr/>
            </w:pPr>
            <w:r>
              <w:rPr/>
              <w:t> </w:t>
            </w:r>
          </w:p>
        </w:tc>
        <w:tc>
          <w:tcPr>
            <w:tcW w:w="97" w:type="dxa"/>
            <w:tcBorders/>
            <w:shd w:fill="auto" w:val="clear"/>
            <w:vAlign w:val="bottom"/>
          </w:tcPr>
          <w:p>
            <w:pPr>
              <w:pStyle w:val="TableContents"/>
              <w:spacing w:before="0" w:after="283"/>
              <w:rPr/>
            </w:pPr>
            <w:r>
              <w:rPr/>
              <w:t> </w:t>
            </w:r>
          </w:p>
        </w:tc>
        <w:tc>
          <w:tcPr>
            <w:tcW w:w="1053" w:type="dxa"/>
            <w:tcBorders/>
            <w:shd w:fill="auto" w:val="clear"/>
            <w:vAlign w:val="bottom"/>
          </w:tcPr>
          <w:p>
            <w:pPr>
              <w:pStyle w:val="TableContents"/>
              <w:spacing w:before="0" w:after="283"/>
              <w:jc w:val="right"/>
              <w:rPr/>
            </w:pPr>
            <w:r>
              <w:rPr/>
              <w:t> </w:t>
            </w:r>
          </w:p>
        </w:tc>
        <w:tc>
          <w:tcPr>
            <w:tcW w:w="194" w:type="dxa"/>
            <w:tcBorders/>
            <w:shd w:fill="auto" w:val="clear"/>
            <w:vAlign w:val="bottom"/>
          </w:tcPr>
          <w:p>
            <w:pPr>
              <w:pStyle w:val="TableContents"/>
              <w:spacing w:before="0" w:after="283"/>
              <w:rPr/>
            </w:pPr>
            <w:r>
              <w:rPr/>
              <w:t> </w:t>
            </w:r>
          </w:p>
        </w:tc>
        <w:tc>
          <w:tcPr>
            <w:tcW w:w="97" w:type="dxa"/>
            <w:tcBorders/>
            <w:shd w:fill="auto" w:val="clear"/>
            <w:vAlign w:val="bottom"/>
          </w:tcPr>
          <w:p>
            <w:pPr>
              <w:pStyle w:val="TableContents"/>
              <w:spacing w:before="0" w:after="283"/>
              <w:rPr/>
            </w:pPr>
            <w:r>
              <w:rPr/>
              <w:t> </w:t>
            </w:r>
          </w:p>
        </w:tc>
        <w:tc>
          <w:tcPr>
            <w:tcW w:w="1052" w:type="dxa"/>
            <w:tcBorders/>
            <w:shd w:fill="auto" w:val="clear"/>
            <w:vAlign w:val="bottom"/>
          </w:tcPr>
          <w:p>
            <w:pPr>
              <w:pStyle w:val="TableContents"/>
              <w:spacing w:before="0" w:after="283"/>
              <w:jc w:val="right"/>
              <w:rPr/>
            </w:pPr>
            <w:r>
              <w:rPr/>
              <w:t> </w:t>
            </w:r>
          </w:p>
        </w:tc>
        <w:tc>
          <w:tcPr>
            <w:tcW w:w="195" w:type="dxa"/>
            <w:tcBorders/>
            <w:shd w:fill="auto" w:val="clear"/>
            <w:vAlign w:val="bottom"/>
          </w:tcPr>
          <w:p>
            <w:pPr>
              <w:pStyle w:val="TableContents"/>
              <w:spacing w:before="0" w:after="283"/>
              <w:rPr/>
            </w:pPr>
            <w:r>
              <w:rPr/>
              <w:t> </w:t>
            </w:r>
          </w:p>
        </w:tc>
      </w:tr>
      <w:tr>
        <w:trPr/>
        <w:tc>
          <w:tcPr>
            <w:tcW w:w="3292" w:type="dxa"/>
            <w:tcBorders/>
            <w:shd w:fill="auto" w:val="clear"/>
            <w:vAlign w:val="bottom"/>
          </w:tcPr>
          <w:p>
            <w:pPr>
              <w:pStyle w:val="TableContents"/>
              <w:spacing w:before="0" w:after="283"/>
              <w:ind w:left="160" w:right="0" w:hanging="160"/>
              <w:rPr>
                <w:rFonts w:ascii="times" w:hAnsi="times"/>
                <w:sz w:val="14"/>
              </w:rPr>
            </w:pPr>
            <w:r>
              <w:rPr>
                <w:rFonts w:ascii="times" w:hAnsi="times"/>
                <w:sz w:val="14"/>
              </w:rPr>
              <w:t>Number of LNG carriers at end of period</w:t>
            </w:r>
          </w:p>
        </w:tc>
        <w:tc>
          <w:tcPr>
            <w:tcW w:w="194" w:type="dxa"/>
            <w:tcBorders/>
            <w:shd w:fill="auto" w:val="clear"/>
            <w:vAlign w:val="bottom"/>
          </w:tcPr>
          <w:p>
            <w:pPr>
              <w:pStyle w:val="TableContents"/>
              <w:spacing w:before="0" w:after="283"/>
              <w:rPr/>
            </w:pPr>
            <w:r>
              <w:rPr/>
              <w:t> </w:t>
            </w:r>
          </w:p>
        </w:tc>
        <w:tc>
          <w:tcPr>
            <w:tcW w:w="97" w:type="dxa"/>
            <w:tcBorders/>
            <w:shd w:fill="auto" w:val="clear"/>
            <w:vAlign w:val="bottom"/>
          </w:tcPr>
          <w:p>
            <w:pPr>
              <w:pStyle w:val="TableContents"/>
              <w:spacing w:before="0" w:after="283"/>
              <w:rPr/>
            </w:pPr>
            <w:r>
              <w:rPr/>
              <w:t> </w:t>
            </w:r>
          </w:p>
        </w:tc>
        <w:tc>
          <w:tcPr>
            <w:tcW w:w="1053" w:type="dxa"/>
            <w:tcBorders/>
            <w:shd w:fill="auto" w:val="clear"/>
            <w:vAlign w:val="bottom"/>
          </w:tcPr>
          <w:p>
            <w:pPr>
              <w:pStyle w:val="TableContents"/>
              <w:spacing w:before="0" w:after="283"/>
              <w:jc w:val="right"/>
              <w:rPr>
                <w:rFonts w:ascii="times" w:hAnsi="times"/>
                <w:sz w:val="14"/>
              </w:rPr>
            </w:pPr>
            <w:r>
              <w:rPr>
                <w:rFonts w:ascii="times" w:hAnsi="times"/>
                <w:sz w:val="14"/>
              </w:rPr>
              <w:t>9</w:t>
            </w:r>
          </w:p>
        </w:tc>
        <w:tc>
          <w:tcPr>
            <w:tcW w:w="194" w:type="dxa"/>
            <w:tcBorders/>
            <w:shd w:fill="auto" w:val="clear"/>
            <w:vAlign w:val="bottom"/>
          </w:tcPr>
          <w:p>
            <w:pPr>
              <w:pStyle w:val="TableContents"/>
              <w:spacing w:before="0" w:after="283"/>
              <w:rPr/>
            </w:pPr>
            <w:r>
              <w:rPr/>
              <w:t> </w:t>
            </w:r>
          </w:p>
        </w:tc>
        <w:tc>
          <w:tcPr>
            <w:tcW w:w="97" w:type="dxa"/>
            <w:tcBorders/>
            <w:shd w:fill="auto" w:val="clear"/>
            <w:vAlign w:val="bottom"/>
          </w:tcPr>
          <w:p>
            <w:pPr>
              <w:pStyle w:val="TableContents"/>
              <w:spacing w:before="0" w:after="283"/>
              <w:rPr/>
            </w:pPr>
            <w:r>
              <w:rPr/>
              <w:t> </w:t>
            </w:r>
          </w:p>
        </w:tc>
        <w:tc>
          <w:tcPr>
            <w:tcW w:w="1052" w:type="dxa"/>
            <w:tcBorders/>
            <w:shd w:fill="auto" w:val="clear"/>
            <w:vAlign w:val="bottom"/>
          </w:tcPr>
          <w:p>
            <w:pPr>
              <w:pStyle w:val="TableContents"/>
              <w:spacing w:before="0" w:after="283"/>
              <w:jc w:val="right"/>
              <w:rPr>
                <w:rFonts w:ascii="times" w:hAnsi="times"/>
                <w:sz w:val="14"/>
              </w:rPr>
            </w:pPr>
            <w:r>
              <w:rPr>
                <w:rFonts w:ascii="times" w:hAnsi="times"/>
                <w:sz w:val="14"/>
              </w:rPr>
              <w:t>12</w:t>
            </w:r>
          </w:p>
        </w:tc>
        <w:tc>
          <w:tcPr>
            <w:tcW w:w="195" w:type="dxa"/>
            <w:tcBorders/>
            <w:shd w:fill="auto" w:val="clear"/>
            <w:vAlign w:val="bottom"/>
          </w:tcPr>
          <w:p>
            <w:pPr>
              <w:pStyle w:val="TableContents"/>
              <w:spacing w:before="0" w:after="283"/>
              <w:rPr/>
            </w:pPr>
            <w:r>
              <w:rPr/>
              <w:t> </w:t>
            </w:r>
          </w:p>
        </w:tc>
        <w:tc>
          <w:tcPr>
            <w:tcW w:w="97" w:type="dxa"/>
            <w:tcBorders/>
            <w:shd w:fill="auto" w:val="clear"/>
            <w:vAlign w:val="bottom"/>
          </w:tcPr>
          <w:p>
            <w:pPr>
              <w:pStyle w:val="TableContents"/>
              <w:spacing w:before="0" w:after="283"/>
              <w:rPr/>
            </w:pPr>
            <w:r>
              <w:rPr/>
              <w:t> </w:t>
            </w:r>
          </w:p>
        </w:tc>
        <w:tc>
          <w:tcPr>
            <w:tcW w:w="1052" w:type="dxa"/>
            <w:tcBorders/>
            <w:shd w:fill="auto" w:val="clear"/>
            <w:vAlign w:val="bottom"/>
          </w:tcPr>
          <w:p>
            <w:pPr>
              <w:pStyle w:val="TableContents"/>
              <w:spacing w:before="0" w:after="283"/>
              <w:jc w:val="right"/>
              <w:rPr>
                <w:rFonts w:ascii="times" w:hAnsi="times"/>
                <w:sz w:val="14"/>
              </w:rPr>
            </w:pPr>
            <w:r>
              <w:rPr>
                <w:rFonts w:ascii="times" w:hAnsi="times"/>
                <w:sz w:val="14"/>
              </w:rPr>
              <w:t>14</w:t>
            </w:r>
          </w:p>
        </w:tc>
        <w:tc>
          <w:tcPr>
            <w:tcW w:w="194" w:type="dxa"/>
            <w:tcBorders/>
            <w:shd w:fill="auto" w:val="clear"/>
            <w:vAlign w:val="bottom"/>
          </w:tcPr>
          <w:p>
            <w:pPr>
              <w:pStyle w:val="TableContents"/>
              <w:spacing w:before="0" w:after="283"/>
              <w:rPr/>
            </w:pPr>
            <w:r>
              <w:rPr/>
              <w:t> </w:t>
            </w:r>
          </w:p>
        </w:tc>
        <w:tc>
          <w:tcPr>
            <w:tcW w:w="97" w:type="dxa"/>
            <w:tcBorders/>
            <w:shd w:fill="auto" w:val="clear"/>
            <w:vAlign w:val="bottom"/>
          </w:tcPr>
          <w:p>
            <w:pPr>
              <w:pStyle w:val="TableContents"/>
              <w:spacing w:before="0" w:after="283"/>
              <w:rPr/>
            </w:pPr>
            <w:r>
              <w:rPr/>
              <w:t> </w:t>
            </w:r>
          </w:p>
        </w:tc>
        <w:tc>
          <w:tcPr>
            <w:tcW w:w="1053" w:type="dxa"/>
            <w:tcBorders/>
            <w:shd w:fill="auto" w:val="clear"/>
            <w:vAlign w:val="bottom"/>
          </w:tcPr>
          <w:p>
            <w:pPr>
              <w:pStyle w:val="TableContents"/>
              <w:spacing w:before="0" w:after="283"/>
              <w:jc w:val="right"/>
              <w:rPr>
                <w:rFonts w:ascii="times" w:hAnsi="times"/>
                <w:sz w:val="14"/>
              </w:rPr>
            </w:pPr>
            <w:r>
              <w:rPr>
                <w:rFonts w:ascii="times" w:hAnsi="times"/>
                <w:sz w:val="14"/>
              </w:rPr>
              <w:t>15</w:t>
            </w:r>
          </w:p>
        </w:tc>
        <w:tc>
          <w:tcPr>
            <w:tcW w:w="194" w:type="dxa"/>
            <w:tcBorders/>
            <w:shd w:fill="auto" w:val="clear"/>
            <w:vAlign w:val="bottom"/>
          </w:tcPr>
          <w:p>
            <w:pPr>
              <w:pStyle w:val="TableContents"/>
              <w:spacing w:before="0" w:after="283"/>
              <w:rPr/>
            </w:pPr>
            <w:r>
              <w:rPr/>
              <w:t> </w:t>
            </w:r>
          </w:p>
        </w:tc>
        <w:tc>
          <w:tcPr>
            <w:tcW w:w="97" w:type="dxa"/>
            <w:tcBorders/>
            <w:shd w:fill="auto" w:val="clear"/>
            <w:vAlign w:val="bottom"/>
          </w:tcPr>
          <w:p>
            <w:pPr>
              <w:pStyle w:val="TableContents"/>
              <w:spacing w:before="0" w:after="283"/>
              <w:rPr/>
            </w:pPr>
            <w:r>
              <w:rPr/>
              <w:t> </w:t>
            </w:r>
          </w:p>
        </w:tc>
        <w:tc>
          <w:tcPr>
            <w:tcW w:w="1052" w:type="dxa"/>
            <w:tcBorders/>
            <w:shd w:fill="auto" w:val="clear"/>
            <w:vAlign w:val="bottom"/>
          </w:tcPr>
          <w:p>
            <w:pPr>
              <w:pStyle w:val="TableContents"/>
              <w:spacing w:before="0" w:after="283"/>
              <w:jc w:val="right"/>
              <w:rPr>
                <w:rFonts w:ascii="times" w:hAnsi="times"/>
                <w:sz w:val="14"/>
              </w:rPr>
            </w:pPr>
            <w:r>
              <w:rPr>
                <w:rFonts w:ascii="times" w:hAnsi="times"/>
                <w:sz w:val="14"/>
              </w:rPr>
              <w:t>15</w:t>
            </w:r>
          </w:p>
        </w:tc>
        <w:tc>
          <w:tcPr>
            <w:tcW w:w="195" w:type="dxa"/>
            <w:tcBorders/>
            <w:shd w:fill="auto" w:val="clear"/>
            <w:vAlign w:val="bottom"/>
          </w:tcPr>
          <w:p>
            <w:pPr>
              <w:pStyle w:val="TableContents"/>
              <w:spacing w:before="0" w:after="283"/>
              <w:rPr/>
            </w:pPr>
            <w:r>
              <w:rPr/>
              <w:t> </w:t>
            </w:r>
          </w:p>
        </w:tc>
      </w:tr>
      <w:tr>
        <w:trPr/>
        <w:tc>
          <w:tcPr>
            <w:tcW w:w="3292" w:type="dxa"/>
            <w:tcBorders/>
            <w:shd w:fill="auto" w:val="clear"/>
            <w:vAlign w:val="bottom"/>
          </w:tcPr>
          <w:p>
            <w:pPr>
              <w:pStyle w:val="TableContents"/>
              <w:spacing w:before="0" w:after="283"/>
              <w:ind w:left="160" w:right="0" w:hanging="160"/>
              <w:rPr>
                <w:rFonts w:ascii="times" w:hAnsi="times"/>
                <w:sz w:val="14"/>
              </w:rPr>
            </w:pPr>
            <w:r>
              <w:rPr>
                <w:rFonts w:ascii="times" w:hAnsi="times"/>
                <w:sz w:val="14"/>
              </w:rPr>
              <w:t>Average number of LNG carriers during period</w:t>
            </w:r>
          </w:p>
        </w:tc>
        <w:tc>
          <w:tcPr>
            <w:tcW w:w="194" w:type="dxa"/>
            <w:tcBorders/>
            <w:shd w:fill="auto" w:val="clear"/>
            <w:vAlign w:val="bottom"/>
          </w:tcPr>
          <w:p>
            <w:pPr>
              <w:pStyle w:val="TableContents"/>
              <w:spacing w:before="0" w:after="283"/>
              <w:rPr/>
            </w:pPr>
            <w:r>
              <w:rPr/>
              <w:t> </w:t>
            </w:r>
          </w:p>
        </w:tc>
        <w:tc>
          <w:tcPr>
            <w:tcW w:w="97" w:type="dxa"/>
            <w:tcBorders/>
            <w:shd w:fill="auto" w:val="clear"/>
            <w:vAlign w:val="bottom"/>
          </w:tcPr>
          <w:p>
            <w:pPr>
              <w:pStyle w:val="TableContents"/>
              <w:spacing w:before="0" w:after="283"/>
              <w:rPr/>
            </w:pPr>
            <w:r>
              <w:rPr/>
              <w:t> </w:t>
            </w:r>
          </w:p>
        </w:tc>
        <w:tc>
          <w:tcPr>
            <w:tcW w:w="1053" w:type="dxa"/>
            <w:tcBorders/>
            <w:shd w:fill="auto" w:val="clear"/>
            <w:vAlign w:val="bottom"/>
          </w:tcPr>
          <w:p>
            <w:pPr>
              <w:pStyle w:val="TableContents"/>
              <w:spacing w:before="0" w:after="283"/>
              <w:jc w:val="right"/>
              <w:rPr>
                <w:rFonts w:ascii="times" w:hAnsi="times"/>
                <w:sz w:val="14"/>
              </w:rPr>
            </w:pPr>
            <w:r>
              <w:rPr>
                <w:rFonts w:ascii="times" w:hAnsi="times"/>
                <w:sz w:val="14"/>
              </w:rPr>
              <w:t>8.2</w:t>
            </w:r>
          </w:p>
        </w:tc>
        <w:tc>
          <w:tcPr>
            <w:tcW w:w="194" w:type="dxa"/>
            <w:tcBorders/>
            <w:shd w:fill="auto" w:val="clear"/>
            <w:vAlign w:val="bottom"/>
          </w:tcPr>
          <w:p>
            <w:pPr>
              <w:pStyle w:val="TableContents"/>
              <w:spacing w:before="0" w:after="283"/>
              <w:rPr/>
            </w:pPr>
            <w:r>
              <w:rPr/>
              <w:t> </w:t>
            </w:r>
          </w:p>
        </w:tc>
        <w:tc>
          <w:tcPr>
            <w:tcW w:w="97" w:type="dxa"/>
            <w:tcBorders/>
            <w:shd w:fill="auto" w:val="clear"/>
            <w:vAlign w:val="bottom"/>
          </w:tcPr>
          <w:p>
            <w:pPr>
              <w:pStyle w:val="TableContents"/>
              <w:spacing w:before="0" w:after="283"/>
              <w:rPr/>
            </w:pPr>
            <w:r>
              <w:rPr/>
              <w:t> </w:t>
            </w:r>
          </w:p>
        </w:tc>
        <w:tc>
          <w:tcPr>
            <w:tcW w:w="1052" w:type="dxa"/>
            <w:tcBorders/>
            <w:shd w:fill="auto" w:val="clear"/>
            <w:vAlign w:val="bottom"/>
          </w:tcPr>
          <w:p>
            <w:pPr>
              <w:pStyle w:val="TableContents"/>
              <w:spacing w:before="0" w:after="283"/>
              <w:jc w:val="right"/>
              <w:rPr>
                <w:rFonts w:ascii="times" w:hAnsi="times"/>
                <w:sz w:val="14"/>
              </w:rPr>
            </w:pPr>
            <w:r>
              <w:rPr>
                <w:rFonts w:ascii="times" w:hAnsi="times"/>
                <w:sz w:val="14"/>
              </w:rPr>
              <w:t>10.4</w:t>
            </w:r>
          </w:p>
        </w:tc>
        <w:tc>
          <w:tcPr>
            <w:tcW w:w="195" w:type="dxa"/>
            <w:tcBorders/>
            <w:shd w:fill="auto" w:val="clear"/>
            <w:vAlign w:val="bottom"/>
          </w:tcPr>
          <w:p>
            <w:pPr>
              <w:pStyle w:val="TableContents"/>
              <w:spacing w:before="0" w:after="283"/>
              <w:rPr/>
            </w:pPr>
            <w:r>
              <w:rPr/>
              <w:t> </w:t>
            </w:r>
          </w:p>
        </w:tc>
        <w:tc>
          <w:tcPr>
            <w:tcW w:w="97" w:type="dxa"/>
            <w:tcBorders/>
            <w:shd w:fill="auto" w:val="clear"/>
            <w:vAlign w:val="bottom"/>
          </w:tcPr>
          <w:p>
            <w:pPr>
              <w:pStyle w:val="TableContents"/>
              <w:spacing w:before="0" w:after="283"/>
              <w:rPr/>
            </w:pPr>
            <w:r>
              <w:rPr/>
              <w:t> </w:t>
            </w:r>
          </w:p>
        </w:tc>
        <w:tc>
          <w:tcPr>
            <w:tcW w:w="1052" w:type="dxa"/>
            <w:tcBorders/>
            <w:shd w:fill="auto" w:val="clear"/>
            <w:vAlign w:val="bottom"/>
          </w:tcPr>
          <w:p>
            <w:pPr>
              <w:pStyle w:val="TableContents"/>
              <w:spacing w:before="0" w:after="283"/>
              <w:jc w:val="right"/>
              <w:rPr>
                <w:rFonts w:ascii="times" w:hAnsi="times"/>
                <w:sz w:val="14"/>
              </w:rPr>
            </w:pPr>
            <w:r>
              <w:rPr>
                <w:rFonts w:ascii="times" w:hAnsi="times"/>
                <w:sz w:val="14"/>
              </w:rPr>
              <w:t>12.8</w:t>
            </w:r>
          </w:p>
        </w:tc>
        <w:tc>
          <w:tcPr>
            <w:tcW w:w="194" w:type="dxa"/>
            <w:tcBorders/>
            <w:shd w:fill="auto" w:val="clear"/>
            <w:vAlign w:val="bottom"/>
          </w:tcPr>
          <w:p>
            <w:pPr>
              <w:pStyle w:val="TableContents"/>
              <w:spacing w:before="0" w:after="283"/>
              <w:rPr/>
            </w:pPr>
            <w:r>
              <w:rPr/>
              <w:t> </w:t>
            </w:r>
          </w:p>
        </w:tc>
        <w:tc>
          <w:tcPr>
            <w:tcW w:w="97" w:type="dxa"/>
            <w:tcBorders/>
            <w:shd w:fill="auto" w:val="clear"/>
            <w:vAlign w:val="bottom"/>
          </w:tcPr>
          <w:p>
            <w:pPr>
              <w:pStyle w:val="TableContents"/>
              <w:spacing w:before="0" w:after="283"/>
              <w:rPr/>
            </w:pPr>
            <w:r>
              <w:rPr/>
              <w:t> </w:t>
            </w:r>
          </w:p>
        </w:tc>
        <w:tc>
          <w:tcPr>
            <w:tcW w:w="1053" w:type="dxa"/>
            <w:tcBorders/>
            <w:shd w:fill="auto" w:val="clear"/>
            <w:vAlign w:val="bottom"/>
          </w:tcPr>
          <w:p>
            <w:pPr>
              <w:pStyle w:val="TableContents"/>
              <w:spacing w:before="0" w:after="283"/>
              <w:jc w:val="right"/>
              <w:rPr>
                <w:rFonts w:ascii="times" w:hAnsi="times"/>
                <w:sz w:val="14"/>
              </w:rPr>
            </w:pPr>
            <w:r>
              <w:rPr>
                <w:rFonts w:ascii="times" w:hAnsi="times"/>
                <w:sz w:val="14"/>
              </w:rPr>
              <w:t>14.8</w:t>
            </w:r>
          </w:p>
        </w:tc>
        <w:tc>
          <w:tcPr>
            <w:tcW w:w="194" w:type="dxa"/>
            <w:tcBorders/>
            <w:shd w:fill="auto" w:val="clear"/>
            <w:vAlign w:val="bottom"/>
          </w:tcPr>
          <w:p>
            <w:pPr>
              <w:pStyle w:val="TableContents"/>
              <w:spacing w:before="0" w:after="283"/>
              <w:rPr/>
            </w:pPr>
            <w:r>
              <w:rPr/>
              <w:t> </w:t>
            </w:r>
          </w:p>
        </w:tc>
        <w:tc>
          <w:tcPr>
            <w:tcW w:w="97" w:type="dxa"/>
            <w:tcBorders/>
            <w:shd w:fill="auto" w:val="clear"/>
            <w:vAlign w:val="bottom"/>
          </w:tcPr>
          <w:p>
            <w:pPr>
              <w:pStyle w:val="TableContents"/>
              <w:spacing w:before="0" w:after="283"/>
              <w:rPr/>
            </w:pPr>
            <w:r>
              <w:rPr/>
              <w:t> </w:t>
            </w:r>
          </w:p>
        </w:tc>
        <w:tc>
          <w:tcPr>
            <w:tcW w:w="1052" w:type="dxa"/>
            <w:tcBorders/>
            <w:shd w:fill="auto" w:val="clear"/>
            <w:vAlign w:val="bottom"/>
          </w:tcPr>
          <w:p>
            <w:pPr>
              <w:pStyle w:val="TableContents"/>
              <w:spacing w:before="0" w:after="283"/>
              <w:jc w:val="right"/>
              <w:rPr>
                <w:rFonts w:ascii="times" w:hAnsi="times"/>
                <w:sz w:val="14"/>
              </w:rPr>
            </w:pPr>
            <w:r>
              <w:rPr>
                <w:rFonts w:ascii="times" w:hAnsi="times"/>
                <w:sz w:val="14"/>
              </w:rPr>
              <w:t>15.0</w:t>
            </w:r>
          </w:p>
        </w:tc>
        <w:tc>
          <w:tcPr>
            <w:tcW w:w="195" w:type="dxa"/>
            <w:tcBorders/>
            <w:shd w:fill="auto" w:val="clear"/>
            <w:vAlign w:val="bottom"/>
          </w:tcPr>
          <w:p>
            <w:pPr>
              <w:pStyle w:val="TableContents"/>
              <w:spacing w:before="0" w:after="283"/>
              <w:rPr/>
            </w:pPr>
            <w:r>
              <w:rPr/>
              <w:t> </w:t>
            </w:r>
          </w:p>
        </w:tc>
      </w:tr>
      <w:tr>
        <w:trPr/>
        <w:tc>
          <w:tcPr>
            <w:tcW w:w="3292" w:type="dxa"/>
            <w:tcBorders/>
            <w:shd w:fill="auto" w:val="clear"/>
            <w:vAlign w:val="bottom"/>
          </w:tcPr>
          <w:p>
            <w:pPr>
              <w:pStyle w:val="TableContents"/>
              <w:spacing w:before="0" w:after="283"/>
              <w:ind w:left="160" w:right="0" w:hanging="160"/>
              <w:rPr>
                <w:rFonts w:ascii="times" w:hAnsi="times"/>
                <w:sz w:val="14"/>
              </w:rPr>
            </w:pPr>
            <w:r>
              <w:rPr>
                <w:rFonts w:ascii="times" w:hAnsi="times"/>
                <w:sz w:val="14"/>
              </w:rPr>
              <w:t>Average age of LNG carriers (years)</w:t>
            </w:r>
          </w:p>
        </w:tc>
        <w:tc>
          <w:tcPr>
            <w:tcW w:w="194" w:type="dxa"/>
            <w:tcBorders/>
            <w:shd w:fill="auto" w:val="clear"/>
            <w:vAlign w:val="bottom"/>
          </w:tcPr>
          <w:p>
            <w:pPr>
              <w:pStyle w:val="TableContents"/>
              <w:spacing w:before="0" w:after="283"/>
              <w:rPr/>
            </w:pPr>
            <w:r>
              <w:rPr/>
              <w:t> </w:t>
            </w:r>
          </w:p>
        </w:tc>
        <w:tc>
          <w:tcPr>
            <w:tcW w:w="97" w:type="dxa"/>
            <w:tcBorders/>
            <w:shd w:fill="auto" w:val="clear"/>
            <w:vAlign w:val="bottom"/>
          </w:tcPr>
          <w:p>
            <w:pPr>
              <w:pStyle w:val="TableContents"/>
              <w:spacing w:before="0" w:after="283"/>
              <w:rPr/>
            </w:pPr>
            <w:r>
              <w:rPr/>
              <w:t> </w:t>
            </w:r>
          </w:p>
        </w:tc>
        <w:tc>
          <w:tcPr>
            <w:tcW w:w="1053" w:type="dxa"/>
            <w:tcBorders/>
            <w:shd w:fill="auto" w:val="clear"/>
            <w:vAlign w:val="bottom"/>
          </w:tcPr>
          <w:p>
            <w:pPr>
              <w:pStyle w:val="TableContents"/>
              <w:spacing w:before="0" w:after="283"/>
              <w:jc w:val="right"/>
              <w:rPr>
                <w:rFonts w:ascii="times" w:hAnsi="times"/>
                <w:sz w:val="14"/>
              </w:rPr>
            </w:pPr>
            <w:r>
              <w:rPr>
                <w:rFonts w:ascii="times" w:hAnsi="times"/>
                <w:sz w:val="14"/>
              </w:rPr>
              <w:t>7.2</w:t>
            </w:r>
          </w:p>
        </w:tc>
        <w:tc>
          <w:tcPr>
            <w:tcW w:w="194" w:type="dxa"/>
            <w:tcBorders/>
            <w:shd w:fill="auto" w:val="clear"/>
            <w:vAlign w:val="bottom"/>
          </w:tcPr>
          <w:p>
            <w:pPr>
              <w:pStyle w:val="TableContents"/>
              <w:spacing w:before="0" w:after="283"/>
              <w:rPr/>
            </w:pPr>
            <w:r>
              <w:rPr/>
              <w:t> </w:t>
            </w:r>
          </w:p>
        </w:tc>
        <w:tc>
          <w:tcPr>
            <w:tcW w:w="97" w:type="dxa"/>
            <w:tcBorders/>
            <w:shd w:fill="auto" w:val="clear"/>
            <w:vAlign w:val="bottom"/>
          </w:tcPr>
          <w:p>
            <w:pPr>
              <w:pStyle w:val="TableContents"/>
              <w:spacing w:before="0" w:after="283"/>
              <w:rPr/>
            </w:pPr>
            <w:r>
              <w:rPr/>
              <w:t> </w:t>
            </w:r>
          </w:p>
        </w:tc>
        <w:tc>
          <w:tcPr>
            <w:tcW w:w="1052" w:type="dxa"/>
            <w:tcBorders/>
            <w:shd w:fill="auto" w:val="clear"/>
            <w:vAlign w:val="bottom"/>
          </w:tcPr>
          <w:p>
            <w:pPr>
              <w:pStyle w:val="TableContents"/>
              <w:spacing w:before="0" w:after="283"/>
              <w:jc w:val="right"/>
              <w:rPr>
                <w:rFonts w:ascii="times" w:hAnsi="times"/>
                <w:sz w:val="14"/>
              </w:rPr>
            </w:pPr>
            <w:r>
              <w:rPr>
                <w:rFonts w:ascii="times" w:hAnsi="times"/>
                <w:sz w:val="14"/>
              </w:rPr>
              <w:t>6.7</w:t>
            </w:r>
          </w:p>
        </w:tc>
        <w:tc>
          <w:tcPr>
            <w:tcW w:w="195" w:type="dxa"/>
            <w:tcBorders/>
            <w:shd w:fill="auto" w:val="clear"/>
            <w:vAlign w:val="bottom"/>
          </w:tcPr>
          <w:p>
            <w:pPr>
              <w:pStyle w:val="TableContents"/>
              <w:spacing w:before="0" w:after="283"/>
              <w:rPr/>
            </w:pPr>
            <w:r>
              <w:rPr/>
              <w:t> </w:t>
            </w:r>
          </w:p>
        </w:tc>
        <w:tc>
          <w:tcPr>
            <w:tcW w:w="97" w:type="dxa"/>
            <w:tcBorders/>
            <w:shd w:fill="auto" w:val="clear"/>
            <w:vAlign w:val="bottom"/>
          </w:tcPr>
          <w:p>
            <w:pPr>
              <w:pStyle w:val="TableContents"/>
              <w:spacing w:before="0" w:after="283"/>
              <w:rPr/>
            </w:pPr>
            <w:r>
              <w:rPr/>
              <w:t> </w:t>
            </w:r>
          </w:p>
        </w:tc>
        <w:tc>
          <w:tcPr>
            <w:tcW w:w="1052" w:type="dxa"/>
            <w:tcBorders/>
            <w:shd w:fill="auto" w:val="clear"/>
            <w:vAlign w:val="bottom"/>
          </w:tcPr>
          <w:p>
            <w:pPr>
              <w:pStyle w:val="TableContents"/>
              <w:spacing w:before="0" w:after="283"/>
              <w:jc w:val="right"/>
              <w:rPr>
                <w:rFonts w:ascii="times" w:hAnsi="times"/>
                <w:sz w:val="14"/>
              </w:rPr>
            </w:pPr>
            <w:r>
              <w:rPr>
                <w:rFonts w:ascii="times" w:hAnsi="times"/>
                <w:sz w:val="14"/>
              </w:rPr>
              <w:t>7.3</w:t>
            </w:r>
          </w:p>
        </w:tc>
        <w:tc>
          <w:tcPr>
            <w:tcW w:w="194" w:type="dxa"/>
            <w:tcBorders/>
            <w:shd w:fill="auto" w:val="clear"/>
            <w:vAlign w:val="bottom"/>
          </w:tcPr>
          <w:p>
            <w:pPr>
              <w:pStyle w:val="TableContents"/>
              <w:spacing w:before="0" w:after="283"/>
              <w:rPr/>
            </w:pPr>
            <w:r>
              <w:rPr/>
              <w:t> </w:t>
            </w:r>
          </w:p>
        </w:tc>
        <w:tc>
          <w:tcPr>
            <w:tcW w:w="97" w:type="dxa"/>
            <w:tcBorders/>
            <w:shd w:fill="auto" w:val="clear"/>
            <w:vAlign w:val="bottom"/>
          </w:tcPr>
          <w:p>
            <w:pPr>
              <w:pStyle w:val="TableContents"/>
              <w:spacing w:before="0" w:after="283"/>
              <w:rPr/>
            </w:pPr>
            <w:r>
              <w:rPr/>
              <w:t> </w:t>
            </w:r>
          </w:p>
        </w:tc>
        <w:tc>
          <w:tcPr>
            <w:tcW w:w="1053" w:type="dxa"/>
            <w:tcBorders/>
            <w:shd w:fill="auto" w:val="clear"/>
            <w:vAlign w:val="bottom"/>
          </w:tcPr>
          <w:p>
            <w:pPr>
              <w:pStyle w:val="TableContents"/>
              <w:spacing w:before="0" w:after="283"/>
              <w:jc w:val="right"/>
              <w:rPr>
                <w:rFonts w:ascii="times" w:hAnsi="times"/>
                <w:sz w:val="14"/>
              </w:rPr>
            </w:pPr>
            <w:r>
              <w:rPr>
                <w:rFonts w:ascii="times" w:hAnsi="times"/>
                <w:sz w:val="14"/>
              </w:rPr>
              <w:t>8.0</w:t>
            </w:r>
          </w:p>
        </w:tc>
        <w:tc>
          <w:tcPr>
            <w:tcW w:w="194" w:type="dxa"/>
            <w:tcBorders/>
            <w:shd w:fill="auto" w:val="clear"/>
            <w:vAlign w:val="bottom"/>
          </w:tcPr>
          <w:p>
            <w:pPr>
              <w:pStyle w:val="TableContents"/>
              <w:spacing w:before="0" w:after="283"/>
              <w:rPr/>
            </w:pPr>
            <w:r>
              <w:rPr/>
              <w:t> </w:t>
            </w:r>
          </w:p>
        </w:tc>
        <w:tc>
          <w:tcPr>
            <w:tcW w:w="97" w:type="dxa"/>
            <w:tcBorders/>
            <w:shd w:fill="auto" w:val="clear"/>
            <w:vAlign w:val="bottom"/>
          </w:tcPr>
          <w:p>
            <w:pPr>
              <w:pStyle w:val="TableContents"/>
              <w:spacing w:before="0" w:after="283"/>
              <w:rPr/>
            </w:pPr>
            <w:r>
              <w:rPr/>
              <w:t> </w:t>
            </w:r>
          </w:p>
        </w:tc>
        <w:tc>
          <w:tcPr>
            <w:tcW w:w="1052" w:type="dxa"/>
            <w:tcBorders/>
            <w:shd w:fill="auto" w:val="clear"/>
            <w:vAlign w:val="bottom"/>
          </w:tcPr>
          <w:p>
            <w:pPr>
              <w:pStyle w:val="TableContents"/>
              <w:spacing w:before="0" w:after="283"/>
              <w:jc w:val="right"/>
              <w:rPr>
                <w:rFonts w:ascii="times" w:hAnsi="times"/>
                <w:sz w:val="14"/>
              </w:rPr>
            </w:pPr>
            <w:r>
              <w:rPr>
                <w:rFonts w:ascii="times" w:hAnsi="times"/>
                <w:sz w:val="14"/>
              </w:rPr>
              <w:t>9.0</w:t>
            </w:r>
          </w:p>
        </w:tc>
        <w:tc>
          <w:tcPr>
            <w:tcW w:w="195" w:type="dxa"/>
            <w:tcBorders/>
            <w:shd w:fill="auto" w:val="clear"/>
            <w:vAlign w:val="bottom"/>
          </w:tcPr>
          <w:p>
            <w:pPr>
              <w:pStyle w:val="TableContents"/>
              <w:spacing w:before="0" w:after="283"/>
              <w:rPr/>
            </w:pPr>
            <w:r>
              <w:rPr/>
              <w:t> </w:t>
            </w:r>
          </w:p>
        </w:tc>
      </w:tr>
      <w:tr>
        <w:trPr/>
        <w:tc>
          <w:tcPr>
            <w:tcW w:w="3292" w:type="dxa"/>
            <w:tcBorders/>
            <w:shd w:fill="auto" w:val="clear"/>
            <w:vAlign w:val="bottom"/>
          </w:tcPr>
          <w:p>
            <w:pPr>
              <w:pStyle w:val="TableContents"/>
              <w:spacing w:before="0" w:after="283"/>
              <w:ind w:left="160" w:right="0" w:hanging="160"/>
              <w:rPr>
                <w:rFonts w:ascii="times" w:hAnsi="times"/>
                <w:sz w:val="14"/>
              </w:rPr>
            </w:pPr>
            <w:r>
              <w:rPr>
                <w:rFonts w:ascii="times" w:hAnsi="times"/>
                <w:sz w:val="14"/>
              </w:rPr>
              <w:t>Total calendar days of fleet for the period</w:t>
            </w:r>
          </w:p>
        </w:tc>
        <w:tc>
          <w:tcPr>
            <w:tcW w:w="194" w:type="dxa"/>
            <w:tcBorders/>
            <w:shd w:fill="auto" w:val="clear"/>
            <w:vAlign w:val="bottom"/>
          </w:tcPr>
          <w:p>
            <w:pPr>
              <w:pStyle w:val="TableContents"/>
              <w:spacing w:before="0" w:after="283"/>
              <w:rPr/>
            </w:pPr>
            <w:r>
              <w:rPr/>
              <w:t> </w:t>
            </w:r>
          </w:p>
        </w:tc>
        <w:tc>
          <w:tcPr>
            <w:tcW w:w="97" w:type="dxa"/>
            <w:tcBorders/>
            <w:shd w:fill="auto" w:val="clear"/>
            <w:vAlign w:val="bottom"/>
          </w:tcPr>
          <w:p>
            <w:pPr>
              <w:pStyle w:val="TableContents"/>
              <w:spacing w:before="0" w:after="283"/>
              <w:rPr/>
            </w:pPr>
            <w:r>
              <w:rPr/>
              <w:t> </w:t>
            </w:r>
          </w:p>
        </w:tc>
        <w:tc>
          <w:tcPr>
            <w:tcW w:w="1053" w:type="dxa"/>
            <w:tcBorders/>
            <w:shd w:fill="auto" w:val="clear"/>
            <w:vAlign w:val="bottom"/>
          </w:tcPr>
          <w:p>
            <w:pPr>
              <w:pStyle w:val="TableContents"/>
              <w:spacing w:before="0" w:after="283"/>
              <w:jc w:val="right"/>
              <w:rPr>
                <w:rFonts w:ascii="times" w:hAnsi="times"/>
                <w:sz w:val="14"/>
              </w:rPr>
            </w:pPr>
            <w:r>
              <w:rPr>
                <w:rFonts w:ascii="times" w:hAnsi="times"/>
                <w:sz w:val="14"/>
              </w:rPr>
              <w:t>2,989</w:t>
            </w:r>
          </w:p>
        </w:tc>
        <w:tc>
          <w:tcPr>
            <w:tcW w:w="194" w:type="dxa"/>
            <w:tcBorders/>
            <w:shd w:fill="auto" w:val="clear"/>
            <w:vAlign w:val="bottom"/>
          </w:tcPr>
          <w:p>
            <w:pPr>
              <w:pStyle w:val="TableContents"/>
              <w:spacing w:before="0" w:after="283"/>
              <w:rPr/>
            </w:pPr>
            <w:r>
              <w:rPr/>
              <w:t> </w:t>
            </w:r>
          </w:p>
        </w:tc>
        <w:tc>
          <w:tcPr>
            <w:tcW w:w="97" w:type="dxa"/>
            <w:tcBorders/>
            <w:shd w:fill="auto" w:val="clear"/>
            <w:vAlign w:val="bottom"/>
          </w:tcPr>
          <w:p>
            <w:pPr>
              <w:pStyle w:val="TableContents"/>
              <w:spacing w:before="0" w:after="283"/>
              <w:rPr/>
            </w:pPr>
            <w:r>
              <w:rPr/>
              <w:t> </w:t>
            </w:r>
          </w:p>
        </w:tc>
        <w:tc>
          <w:tcPr>
            <w:tcW w:w="1052" w:type="dxa"/>
            <w:tcBorders/>
            <w:shd w:fill="auto" w:val="clear"/>
            <w:vAlign w:val="bottom"/>
          </w:tcPr>
          <w:p>
            <w:pPr>
              <w:pStyle w:val="TableContents"/>
              <w:spacing w:before="0" w:after="283"/>
              <w:jc w:val="right"/>
              <w:rPr>
                <w:rFonts w:ascii="times" w:hAnsi="times"/>
                <w:sz w:val="14"/>
              </w:rPr>
            </w:pPr>
            <w:r>
              <w:rPr>
                <w:rFonts w:ascii="times" w:hAnsi="times"/>
                <w:sz w:val="14"/>
              </w:rPr>
              <w:t>3,783</w:t>
            </w:r>
          </w:p>
        </w:tc>
        <w:tc>
          <w:tcPr>
            <w:tcW w:w="195" w:type="dxa"/>
            <w:tcBorders/>
            <w:shd w:fill="auto" w:val="clear"/>
            <w:vAlign w:val="bottom"/>
          </w:tcPr>
          <w:p>
            <w:pPr>
              <w:pStyle w:val="TableContents"/>
              <w:spacing w:before="0" w:after="283"/>
              <w:rPr/>
            </w:pPr>
            <w:r>
              <w:rPr/>
              <w:t> </w:t>
            </w:r>
          </w:p>
        </w:tc>
        <w:tc>
          <w:tcPr>
            <w:tcW w:w="97" w:type="dxa"/>
            <w:tcBorders/>
            <w:shd w:fill="auto" w:val="clear"/>
            <w:vAlign w:val="bottom"/>
          </w:tcPr>
          <w:p>
            <w:pPr>
              <w:pStyle w:val="TableContents"/>
              <w:spacing w:before="0" w:after="283"/>
              <w:rPr/>
            </w:pPr>
            <w:r>
              <w:rPr/>
              <w:t> </w:t>
            </w:r>
          </w:p>
        </w:tc>
        <w:tc>
          <w:tcPr>
            <w:tcW w:w="1052" w:type="dxa"/>
            <w:tcBorders/>
            <w:shd w:fill="auto" w:val="clear"/>
            <w:vAlign w:val="bottom"/>
          </w:tcPr>
          <w:p>
            <w:pPr>
              <w:pStyle w:val="TableContents"/>
              <w:spacing w:before="0" w:after="283"/>
              <w:jc w:val="right"/>
              <w:rPr>
                <w:rFonts w:ascii="times" w:hAnsi="times"/>
                <w:sz w:val="14"/>
              </w:rPr>
            </w:pPr>
            <w:r>
              <w:rPr>
                <w:rFonts w:ascii="times" w:hAnsi="times"/>
                <w:sz w:val="14"/>
              </w:rPr>
              <w:t>4,676</w:t>
            </w:r>
          </w:p>
        </w:tc>
        <w:tc>
          <w:tcPr>
            <w:tcW w:w="194" w:type="dxa"/>
            <w:tcBorders/>
            <w:shd w:fill="auto" w:val="clear"/>
            <w:vAlign w:val="bottom"/>
          </w:tcPr>
          <w:p>
            <w:pPr>
              <w:pStyle w:val="TableContents"/>
              <w:spacing w:before="0" w:after="283"/>
              <w:rPr/>
            </w:pPr>
            <w:r>
              <w:rPr/>
              <w:t> </w:t>
            </w:r>
          </w:p>
        </w:tc>
        <w:tc>
          <w:tcPr>
            <w:tcW w:w="97" w:type="dxa"/>
            <w:tcBorders/>
            <w:shd w:fill="auto" w:val="clear"/>
            <w:vAlign w:val="bottom"/>
          </w:tcPr>
          <w:p>
            <w:pPr>
              <w:pStyle w:val="TableContents"/>
              <w:spacing w:before="0" w:after="283"/>
              <w:rPr/>
            </w:pPr>
            <w:r>
              <w:rPr/>
              <w:t> </w:t>
            </w:r>
          </w:p>
        </w:tc>
        <w:tc>
          <w:tcPr>
            <w:tcW w:w="1053" w:type="dxa"/>
            <w:tcBorders/>
            <w:shd w:fill="auto" w:val="clear"/>
            <w:vAlign w:val="bottom"/>
          </w:tcPr>
          <w:p>
            <w:pPr>
              <w:pStyle w:val="TableContents"/>
              <w:spacing w:before="0" w:after="283"/>
              <w:jc w:val="right"/>
              <w:rPr>
                <w:rFonts w:ascii="times" w:hAnsi="times"/>
                <w:sz w:val="14"/>
              </w:rPr>
            </w:pPr>
            <w:r>
              <w:rPr>
                <w:rFonts w:ascii="times" w:hAnsi="times"/>
                <w:sz w:val="14"/>
              </w:rPr>
              <w:t>5,385</w:t>
            </w:r>
          </w:p>
        </w:tc>
        <w:tc>
          <w:tcPr>
            <w:tcW w:w="194" w:type="dxa"/>
            <w:tcBorders/>
            <w:shd w:fill="auto" w:val="clear"/>
            <w:vAlign w:val="bottom"/>
          </w:tcPr>
          <w:p>
            <w:pPr>
              <w:pStyle w:val="TableContents"/>
              <w:spacing w:before="0" w:after="283"/>
              <w:rPr/>
            </w:pPr>
            <w:r>
              <w:rPr/>
              <w:t> </w:t>
            </w:r>
          </w:p>
        </w:tc>
        <w:tc>
          <w:tcPr>
            <w:tcW w:w="97" w:type="dxa"/>
            <w:tcBorders/>
            <w:shd w:fill="auto" w:val="clear"/>
            <w:vAlign w:val="bottom"/>
          </w:tcPr>
          <w:p>
            <w:pPr>
              <w:pStyle w:val="TableContents"/>
              <w:spacing w:before="0" w:after="283"/>
              <w:rPr/>
            </w:pPr>
            <w:r>
              <w:rPr/>
              <w:t> </w:t>
            </w:r>
          </w:p>
        </w:tc>
        <w:tc>
          <w:tcPr>
            <w:tcW w:w="1052" w:type="dxa"/>
            <w:tcBorders/>
            <w:shd w:fill="auto" w:val="clear"/>
            <w:vAlign w:val="bottom"/>
          </w:tcPr>
          <w:p>
            <w:pPr>
              <w:pStyle w:val="TableContents"/>
              <w:spacing w:before="0" w:after="283"/>
              <w:jc w:val="right"/>
              <w:rPr>
                <w:rFonts w:ascii="times" w:hAnsi="times"/>
                <w:sz w:val="14"/>
              </w:rPr>
            </w:pPr>
            <w:r>
              <w:rPr>
                <w:rFonts w:ascii="times" w:hAnsi="times"/>
                <w:sz w:val="14"/>
              </w:rPr>
              <w:t>5,490</w:t>
            </w:r>
          </w:p>
        </w:tc>
        <w:tc>
          <w:tcPr>
            <w:tcW w:w="195" w:type="dxa"/>
            <w:tcBorders/>
            <w:shd w:fill="auto" w:val="clear"/>
            <w:vAlign w:val="bottom"/>
          </w:tcPr>
          <w:p>
            <w:pPr>
              <w:pStyle w:val="TableContents"/>
              <w:spacing w:before="0" w:after="283"/>
              <w:rPr/>
            </w:pPr>
            <w:r>
              <w:rPr/>
              <w:t> </w:t>
            </w:r>
          </w:p>
        </w:tc>
      </w:tr>
      <w:tr>
        <w:trPr/>
        <w:tc>
          <w:tcPr>
            <w:tcW w:w="3292" w:type="dxa"/>
            <w:tcBorders/>
            <w:shd w:fill="auto" w:val="clear"/>
            <w:vAlign w:val="bottom"/>
          </w:tcPr>
          <w:p>
            <w:pPr>
              <w:pStyle w:val="TableContents"/>
              <w:spacing w:before="0" w:after="283"/>
              <w:ind w:left="160" w:right="0" w:hanging="160"/>
              <w:rPr>
                <w:rFonts w:ascii="times" w:hAnsi="times"/>
                <w:sz w:val="14"/>
              </w:rPr>
            </w:pPr>
            <w:r>
              <w:rPr>
                <w:rFonts w:ascii="times" w:hAnsi="times"/>
                <w:sz w:val="14"/>
              </w:rPr>
              <w:t>Total revenue operating days of fleet for the period</w:t>
            </w:r>
            <w:r>
              <w:rPr>
                <w:rFonts w:ascii="times" w:hAnsi="times"/>
                <w:position w:val="5"/>
                <w:sz w:val="11"/>
                <w:sz w:val="14"/>
              </w:rPr>
              <w:t>(4)</w:t>
            </w:r>
          </w:p>
        </w:tc>
        <w:tc>
          <w:tcPr>
            <w:tcW w:w="194" w:type="dxa"/>
            <w:tcBorders/>
            <w:shd w:fill="auto" w:val="clear"/>
            <w:vAlign w:val="bottom"/>
          </w:tcPr>
          <w:p>
            <w:pPr>
              <w:pStyle w:val="TableContents"/>
              <w:spacing w:before="0" w:after="283"/>
              <w:rPr/>
            </w:pPr>
            <w:r>
              <w:rPr/>
              <w:t> </w:t>
            </w:r>
          </w:p>
        </w:tc>
        <w:tc>
          <w:tcPr>
            <w:tcW w:w="97" w:type="dxa"/>
            <w:tcBorders/>
            <w:shd w:fill="auto" w:val="clear"/>
            <w:vAlign w:val="bottom"/>
          </w:tcPr>
          <w:p>
            <w:pPr>
              <w:pStyle w:val="TableContents"/>
              <w:spacing w:before="0" w:after="283"/>
              <w:rPr/>
            </w:pPr>
            <w:r>
              <w:rPr/>
              <w:t> </w:t>
            </w:r>
          </w:p>
        </w:tc>
        <w:tc>
          <w:tcPr>
            <w:tcW w:w="1053" w:type="dxa"/>
            <w:tcBorders/>
            <w:shd w:fill="auto" w:val="clear"/>
            <w:vAlign w:val="bottom"/>
          </w:tcPr>
          <w:p>
            <w:pPr>
              <w:pStyle w:val="TableContents"/>
              <w:spacing w:before="0" w:after="283"/>
              <w:jc w:val="right"/>
              <w:rPr>
                <w:rFonts w:ascii="times" w:hAnsi="times"/>
                <w:sz w:val="14"/>
              </w:rPr>
            </w:pPr>
            <w:r>
              <w:rPr>
                <w:rFonts w:ascii="times" w:hAnsi="times"/>
                <w:sz w:val="14"/>
              </w:rPr>
              <w:t>2,944</w:t>
            </w:r>
          </w:p>
        </w:tc>
        <w:tc>
          <w:tcPr>
            <w:tcW w:w="194" w:type="dxa"/>
            <w:tcBorders/>
            <w:shd w:fill="auto" w:val="clear"/>
            <w:vAlign w:val="bottom"/>
          </w:tcPr>
          <w:p>
            <w:pPr>
              <w:pStyle w:val="TableContents"/>
              <w:spacing w:before="0" w:after="283"/>
              <w:rPr/>
            </w:pPr>
            <w:r>
              <w:rPr/>
              <w:t> </w:t>
            </w:r>
          </w:p>
        </w:tc>
        <w:tc>
          <w:tcPr>
            <w:tcW w:w="97" w:type="dxa"/>
            <w:tcBorders/>
            <w:shd w:fill="auto" w:val="clear"/>
            <w:vAlign w:val="bottom"/>
          </w:tcPr>
          <w:p>
            <w:pPr>
              <w:pStyle w:val="TableContents"/>
              <w:spacing w:before="0" w:after="283"/>
              <w:rPr/>
            </w:pPr>
            <w:r>
              <w:rPr/>
              <w:t> </w:t>
            </w:r>
          </w:p>
        </w:tc>
        <w:tc>
          <w:tcPr>
            <w:tcW w:w="1052" w:type="dxa"/>
            <w:tcBorders/>
            <w:shd w:fill="auto" w:val="clear"/>
            <w:vAlign w:val="bottom"/>
          </w:tcPr>
          <w:p>
            <w:pPr>
              <w:pStyle w:val="TableContents"/>
              <w:spacing w:before="0" w:after="283"/>
              <w:jc w:val="right"/>
              <w:rPr>
                <w:rFonts w:ascii="times" w:hAnsi="times"/>
                <w:sz w:val="14"/>
              </w:rPr>
            </w:pPr>
            <w:r>
              <w:rPr>
                <w:rFonts w:ascii="times" w:hAnsi="times"/>
                <w:sz w:val="14"/>
              </w:rPr>
              <w:t>3,764</w:t>
            </w:r>
          </w:p>
        </w:tc>
        <w:tc>
          <w:tcPr>
            <w:tcW w:w="195" w:type="dxa"/>
            <w:tcBorders/>
            <w:shd w:fill="auto" w:val="clear"/>
            <w:vAlign w:val="bottom"/>
          </w:tcPr>
          <w:p>
            <w:pPr>
              <w:pStyle w:val="TableContents"/>
              <w:spacing w:before="0" w:after="283"/>
              <w:rPr/>
            </w:pPr>
            <w:r>
              <w:rPr/>
              <w:t> </w:t>
            </w:r>
          </w:p>
        </w:tc>
        <w:tc>
          <w:tcPr>
            <w:tcW w:w="97" w:type="dxa"/>
            <w:tcBorders/>
            <w:shd w:fill="auto" w:val="clear"/>
            <w:vAlign w:val="bottom"/>
          </w:tcPr>
          <w:p>
            <w:pPr>
              <w:pStyle w:val="TableContents"/>
              <w:spacing w:before="0" w:after="283"/>
              <w:rPr/>
            </w:pPr>
            <w:r>
              <w:rPr/>
              <w:t> </w:t>
            </w:r>
          </w:p>
        </w:tc>
        <w:tc>
          <w:tcPr>
            <w:tcW w:w="1052" w:type="dxa"/>
            <w:tcBorders/>
            <w:shd w:fill="auto" w:val="clear"/>
            <w:vAlign w:val="bottom"/>
          </w:tcPr>
          <w:p>
            <w:pPr>
              <w:pStyle w:val="TableContents"/>
              <w:spacing w:before="0" w:after="283"/>
              <w:jc w:val="right"/>
              <w:rPr>
                <w:rFonts w:ascii="times" w:hAnsi="times"/>
                <w:sz w:val="14"/>
              </w:rPr>
            </w:pPr>
            <w:r>
              <w:rPr>
                <w:rFonts w:ascii="times" w:hAnsi="times"/>
                <w:sz w:val="14"/>
              </w:rPr>
              <w:t>4,476</w:t>
            </w:r>
          </w:p>
        </w:tc>
        <w:tc>
          <w:tcPr>
            <w:tcW w:w="194" w:type="dxa"/>
            <w:tcBorders/>
            <w:shd w:fill="auto" w:val="clear"/>
            <w:vAlign w:val="bottom"/>
          </w:tcPr>
          <w:p>
            <w:pPr>
              <w:pStyle w:val="TableContents"/>
              <w:spacing w:before="0" w:after="283"/>
              <w:rPr/>
            </w:pPr>
            <w:r>
              <w:rPr/>
              <w:t> </w:t>
            </w:r>
          </w:p>
        </w:tc>
        <w:tc>
          <w:tcPr>
            <w:tcW w:w="97" w:type="dxa"/>
            <w:tcBorders/>
            <w:shd w:fill="auto" w:val="clear"/>
            <w:vAlign w:val="bottom"/>
          </w:tcPr>
          <w:p>
            <w:pPr>
              <w:pStyle w:val="TableContents"/>
              <w:spacing w:before="0" w:after="283"/>
              <w:rPr/>
            </w:pPr>
            <w:r>
              <w:rPr/>
              <w:t> </w:t>
            </w:r>
          </w:p>
        </w:tc>
        <w:tc>
          <w:tcPr>
            <w:tcW w:w="1053" w:type="dxa"/>
            <w:tcBorders/>
            <w:shd w:fill="auto" w:val="clear"/>
            <w:vAlign w:val="bottom"/>
          </w:tcPr>
          <w:p>
            <w:pPr>
              <w:pStyle w:val="TableContents"/>
              <w:spacing w:before="0" w:after="283"/>
              <w:jc w:val="right"/>
              <w:rPr>
                <w:rFonts w:ascii="times" w:hAnsi="times"/>
                <w:sz w:val="14"/>
              </w:rPr>
            </w:pPr>
            <w:r>
              <w:rPr>
                <w:rFonts w:ascii="times" w:hAnsi="times"/>
                <w:sz w:val="14"/>
              </w:rPr>
              <w:t>5,307</w:t>
            </w:r>
          </w:p>
        </w:tc>
        <w:tc>
          <w:tcPr>
            <w:tcW w:w="194" w:type="dxa"/>
            <w:tcBorders/>
            <w:shd w:fill="auto" w:val="clear"/>
            <w:vAlign w:val="bottom"/>
          </w:tcPr>
          <w:p>
            <w:pPr>
              <w:pStyle w:val="TableContents"/>
              <w:spacing w:before="0" w:after="283"/>
              <w:rPr/>
            </w:pPr>
            <w:r>
              <w:rPr/>
              <w:t> </w:t>
            </w:r>
          </w:p>
        </w:tc>
        <w:tc>
          <w:tcPr>
            <w:tcW w:w="97" w:type="dxa"/>
            <w:tcBorders/>
            <w:shd w:fill="auto" w:val="clear"/>
            <w:vAlign w:val="bottom"/>
          </w:tcPr>
          <w:p>
            <w:pPr>
              <w:pStyle w:val="TableContents"/>
              <w:spacing w:before="0" w:after="283"/>
              <w:rPr/>
            </w:pPr>
            <w:r>
              <w:rPr/>
              <w:t> </w:t>
            </w:r>
          </w:p>
        </w:tc>
        <w:tc>
          <w:tcPr>
            <w:tcW w:w="1052" w:type="dxa"/>
            <w:tcBorders/>
            <w:shd w:fill="auto" w:val="clear"/>
            <w:vAlign w:val="bottom"/>
          </w:tcPr>
          <w:p>
            <w:pPr>
              <w:pStyle w:val="TableContents"/>
              <w:spacing w:before="0" w:after="283"/>
              <w:jc w:val="right"/>
              <w:rPr>
                <w:rFonts w:ascii="times" w:hAnsi="times"/>
                <w:sz w:val="14"/>
              </w:rPr>
            </w:pPr>
            <w:r>
              <w:rPr>
                <w:rFonts w:ascii="times" w:hAnsi="times"/>
                <w:sz w:val="14"/>
              </w:rPr>
              <w:t>5,186</w:t>
            </w:r>
          </w:p>
        </w:tc>
        <w:tc>
          <w:tcPr>
            <w:tcW w:w="195" w:type="dxa"/>
            <w:tcBorders/>
            <w:shd w:fill="auto" w:val="clear"/>
            <w:vAlign w:val="bottom"/>
          </w:tcPr>
          <w:p>
            <w:pPr>
              <w:pStyle w:val="TableContents"/>
              <w:spacing w:before="0" w:after="283"/>
              <w:rPr/>
            </w:pPr>
            <w:r>
              <w:rPr/>
              <w:t> </w:t>
            </w:r>
          </w:p>
        </w:tc>
      </w:tr>
    </w:tbl>
    <w:p>
      <w:pPr>
        <w:pStyle w:val="HorizontalLine"/>
        <w:pBdr>
          <w:bottom w:val="single" w:sz="6" w:space="0" w:color="000000"/>
        </w:pBdr>
        <w:ind w:left="0" w:right="7042" w:hanging="0"/>
        <w:rPr/>
      </w:pPr>
      <w:r>
        <w:rPr/>
      </w:r>
    </w:p>
    <w:p>
      <w:pPr>
        <w:pStyle w:val="ListHeading"/>
        <w:spacing w:before="0" w:after="0"/>
        <w:jc w:val="left"/>
        <w:rPr>
          <w:rFonts w:ascii="times" w:hAnsi="times"/>
          <w:sz w:val="14"/>
        </w:rPr>
      </w:pPr>
      <w:r>
        <w:rPr>
          <w:rFonts w:ascii="times" w:hAnsi="times"/>
          <w:sz w:val="14"/>
        </w:rPr>
        <w:t>*</w:t>
      </w:r>
    </w:p>
    <w:p>
      <w:pPr>
        <w:pStyle w:val="ListContents"/>
        <w:spacing w:before="0" w:after="283"/>
        <w:jc w:val="left"/>
        <w:rPr>
          <w:rFonts w:ascii="times" w:hAnsi="times"/>
          <w:sz w:val="14"/>
        </w:rPr>
      </w:pPr>
      <w:r>
        <w:rPr>
          <w:rFonts w:ascii="times" w:hAnsi="times"/>
          <w:sz w:val="14"/>
        </w:rPr>
        <w:t xml:space="preserve">The Partnership Performance Fleet Data above is calculated consistent with our Partnership Performance Results. </w:t>
      </w:r>
    </w:p>
    <w:tbl>
      <w:tblPr>
        <w:tblW w:w="5000" w:type="pct"/>
        <w:jc w:val="center"/>
        <w:tblInd w:w="0" w:type="dxa"/>
        <w:tblCellMar>
          <w:top w:w="0" w:type="dxa"/>
          <w:left w:w="0" w:type="dxa"/>
          <w:bottom w:w="0" w:type="dxa"/>
          <w:right w:w="0" w:type="dxa"/>
        </w:tblCellMar>
      </w:tblPr>
      <w:tblGrid>
        <w:gridCol w:w="4432"/>
        <w:gridCol w:w="151"/>
        <w:gridCol w:w="95"/>
        <w:gridCol w:w="860"/>
        <w:gridCol w:w="163"/>
        <w:gridCol w:w="95"/>
        <w:gridCol w:w="860"/>
        <w:gridCol w:w="163"/>
        <w:gridCol w:w="95"/>
        <w:gridCol w:w="860"/>
        <w:gridCol w:w="163"/>
        <w:gridCol w:w="95"/>
        <w:gridCol w:w="859"/>
        <w:gridCol w:w="177"/>
        <w:gridCol w:w="95"/>
        <w:gridCol w:w="860"/>
        <w:gridCol w:w="182"/>
      </w:tblGrid>
      <w:tr>
        <w:trPr/>
        <w:tc>
          <w:tcPr>
            <w:tcW w:w="4432" w:type="dxa"/>
            <w:tcBorders/>
            <w:shd w:fill="auto" w:val="clear"/>
            <w:vAlign w:val="center"/>
          </w:tcPr>
          <w:p>
            <w:pPr>
              <w:pStyle w:val="TableContents"/>
              <w:spacing w:before="0" w:after="283"/>
              <w:rPr>
                <w:sz w:val="4"/>
                <w:szCs w:val="4"/>
              </w:rPr>
            </w:pPr>
            <w:r>
              <w:rPr>
                <w:sz w:val="4"/>
                <w:szCs w:val="4"/>
              </w:rPr>
            </w:r>
          </w:p>
        </w:tc>
        <w:tc>
          <w:tcPr>
            <w:tcW w:w="151" w:type="dxa"/>
            <w:tcBorders/>
            <w:shd w:fill="auto" w:val="clear"/>
            <w:vAlign w:val="center"/>
          </w:tcPr>
          <w:p>
            <w:pPr>
              <w:pStyle w:val="TableContents"/>
              <w:spacing w:before="0" w:after="283"/>
              <w:rPr>
                <w:sz w:val="4"/>
                <w:szCs w:val="4"/>
              </w:rPr>
            </w:pPr>
            <w:r>
              <w:rPr>
                <w:sz w:val="4"/>
                <w:szCs w:val="4"/>
              </w:rPr>
            </w:r>
          </w:p>
        </w:tc>
        <w:tc>
          <w:tcPr>
            <w:tcW w:w="95" w:type="dxa"/>
            <w:tcBorders/>
            <w:shd w:fill="auto" w:val="clear"/>
            <w:vAlign w:val="center"/>
          </w:tcPr>
          <w:p>
            <w:pPr>
              <w:pStyle w:val="TableContents"/>
              <w:spacing w:before="0" w:after="283"/>
              <w:rPr>
                <w:sz w:val="4"/>
                <w:szCs w:val="4"/>
              </w:rPr>
            </w:pPr>
            <w:r>
              <w:rPr>
                <w:sz w:val="4"/>
                <w:szCs w:val="4"/>
              </w:rPr>
            </w:r>
          </w:p>
        </w:tc>
        <w:tc>
          <w:tcPr>
            <w:tcW w:w="860" w:type="dxa"/>
            <w:tcBorders/>
            <w:shd w:fill="auto" w:val="clear"/>
            <w:vAlign w:val="center"/>
          </w:tcPr>
          <w:p>
            <w:pPr>
              <w:pStyle w:val="TableContents"/>
              <w:spacing w:before="0" w:after="283"/>
              <w:rPr>
                <w:sz w:val="4"/>
                <w:szCs w:val="4"/>
              </w:rPr>
            </w:pPr>
            <w:r>
              <w:rPr>
                <w:sz w:val="4"/>
                <w:szCs w:val="4"/>
              </w:rPr>
            </w:r>
          </w:p>
        </w:tc>
        <w:tc>
          <w:tcPr>
            <w:tcW w:w="163" w:type="dxa"/>
            <w:tcBorders/>
            <w:shd w:fill="auto" w:val="clear"/>
            <w:vAlign w:val="center"/>
          </w:tcPr>
          <w:p>
            <w:pPr>
              <w:pStyle w:val="TableContents"/>
              <w:spacing w:before="0" w:after="283"/>
              <w:rPr>
                <w:sz w:val="4"/>
                <w:szCs w:val="4"/>
              </w:rPr>
            </w:pPr>
            <w:r>
              <w:rPr>
                <w:sz w:val="4"/>
                <w:szCs w:val="4"/>
              </w:rPr>
            </w:r>
          </w:p>
        </w:tc>
        <w:tc>
          <w:tcPr>
            <w:tcW w:w="95" w:type="dxa"/>
            <w:tcBorders/>
            <w:shd w:fill="auto" w:val="clear"/>
            <w:vAlign w:val="center"/>
          </w:tcPr>
          <w:p>
            <w:pPr>
              <w:pStyle w:val="TableContents"/>
              <w:spacing w:before="0" w:after="283"/>
              <w:rPr>
                <w:sz w:val="4"/>
                <w:szCs w:val="4"/>
              </w:rPr>
            </w:pPr>
            <w:r>
              <w:rPr>
                <w:sz w:val="4"/>
                <w:szCs w:val="4"/>
              </w:rPr>
            </w:r>
          </w:p>
        </w:tc>
        <w:tc>
          <w:tcPr>
            <w:tcW w:w="860" w:type="dxa"/>
            <w:tcBorders/>
            <w:shd w:fill="auto" w:val="clear"/>
            <w:vAlign w:val="center"/>
          </w:tcPr>
          <w:p>
            <w:pPr>
              <w:pStyle w:val="TableContents"/>
              <w:spacing w:before="0" w:after="283"/>
              <w:rPr>
                <w:sz w:val="4"/>
                <w:szCs w:val="4"/>
              </w:rPr>
            </w:pPr>
            <w:r>
              <w:rPr>
                <w:sz w:val="4"/>
                <w:szCs w:val="4"/>
              </w:rPr>
            </w:r>
          </w:p>
        </w:tc>
        <w:tc>
          <w:tcPr>
            <w:tcW w:w="163" w:type="dxa"/>
            <w:tcBorders/>
            <w:shd w:fill="auto" w:val="clear"/>
            <w:vAlign w:val="center"/>
          </w:tcPr>
          <w:p>
            <w:pPr>
              <w:pStyle w:val="TableContents"/>
              <w:spacing w:before="0" w:after="283"/>
              <w:rPr>
                <w:sz w:val="4"/>
                <w:szCs w:val="4"/>
              </w:rPr>
            </w:pPr>
            <w:r>
              <w:rPr>
                <w:sz w:val="4"/>
                <w:szCs w:val="4"/>
              </w:rPr>
            </w:r>
          </w:p>
        </w:tc>
        <w:tc>
          <w:tcPr>
            <w:tcW w:w="95" w:type="dxa"/>
            <w:tcBorders/>
            <w:shd w:fill="auto" w:val="clear"/>
            <w:vAlign w:val="center"/>
          </w:tcPr>
          <w:p>
            <w:pPr>
              <w:pStyle w:val="TableContents"/>
              <w:spacing w:before="0" w:after="283"/>
              <w:rPr>
                <w:sz w:val="4"/>
                <w:szCs w:val="4"/>
              </w:rPr>
            </w:pPr>
            <w:r>
              <w:rPr>
                <w:sz w:val="4"/>
                <w:szCs w:val="4"/>
              </w:rPr>
            </w:r>
          </w:p>
        </w:tc>
        <w:tc>
          <w:tcPr>
            <w:tcW w:w="860" w:type="dxa"/>
            <w:tcBorders/>
            <w:shd w:fill="auto" w:val="clear"/>
            <w:vAlign w:val="center"/>
          </w:tcPr>
          <w:p>
            <w:pPr>
              <w:pStyle w:val="TableContents"/>
              <w:spacing w:before="0" w:after="283"/>
              <w:rPr>
                <w:sz w:val="4"/>
                <w:szCs w:val="4"/>
              </w:rPr>
            </w:pPr>
            <w:r>
              <w:rPr>
                <w:sz w:val="4"/>
                <w:szCs w:val="4"/>
              </w:rPr>
            </w:r>
          </w:p>
        </w:tc>
        <w:tc>
          <w:tcPr>
            <w:tcW w:w="163" w:type="dxa"/>
            <w:tcBorders/>
            <w:shd w:fill="auto" w:val="clear"/>
            <w:vAlign w:val="center"/>
          </w:tcPr>
          <w:p>
            <w:pPr>
              <w:pStyle w:val="TableContents"/>
              <w:spacing w:before="0" w:after="283"/>
              <w:rPr>
                <w:sz w:val="4"/>
                <w:szCs w:val="4"/>
              </w:rPr>
            </w:pPr>
            <w:r>
              <w:rPr>
                <w:sz w:val="4"/>
                <w:szCs w:val="4"/>
              </w:rPr>
            </w:r>
          </w:p>
        </w:tc>
        <w:tc>
          <w:tcPr>
            <w:tcW w:w="95" w:type="dxa"/>
            <w:tcBorders/>
            <w:shd w:fill="auto" w:val="clear"/>
            <w:vAlign w:val="center"/>
          </w:tcPr>
          <w:p>
            <w:pPr>
              <w:pStyle w:val="TableContents"/>
              <w:spacing w:before="0" w:after="283"/>
              <w:rPr>
                <w:sz w:val="4"/>
                <w:szCs w:val="4"/>
              </w:rPr>
            </w:pPr>
            <w:r>
              <w:rPr>
                <w:sz w:val="4"/>
                <w:szCs w:val="4"/>
              </w:rPr>
            </w:r>
          </w:p>
        </w:tc>
        <w:tc>
          <w:tcPr>
            <w:tcW w:w="859" w:type="dxa"/>
            <w:tcBorders/>
            <w:shd w:fill="auto" w:val="clear"/>
            <w:vAlign w:val="center"/>
          </w:tcPr>
          <w:p>
            <w:pPr>
              <w:pStyle w:val="TableContents"/>
              <w:spacing w:before="0" w:after="283"/>
              <w:rPr>
                <w:sz w:val="4"/>
                <w:szCs w:val="4"/>
              </w:rPr>
            </w:pPr>
            <w:r>
              <w:rPr>
                <w:sz w:val="4"/>
                <w:szCs w:val="4"/>
              </w:rPr>
            </w:r>
          </w:p>
        </w:tc>
        <w:tc>
          <w:tcPr>
            <w:tcW w:w="177" w:type="dxa"/>
            <w:tcBorders/>
            <w:shd w:fill="auto" w:val="clear"/>
            <w:vAlign w:val="center"/>
          </w:tcPr>
          <w:p>
            <w:pPr>
              <w:pStyle w:val="TableContents"/>
              <w:spacing w:before="0" w:after="283"/>
              <w:rPr>
                <w:sz w:val="4"/>
                <w:szCs w:val="4"/>
              </w:rPr>
            </w:pPr>
            <w:r>
              <w:rPr>
                <w:sz w:val="4"/>
                <w:szCs w:val="4"/>
              </w:rPr>
            </w:r>
          </w:p>
        </w:tc>
        <w:tc>
          <w:tcPr>
            <w:tcW w:w="95" w:type="dxa"/>
            <w:tcBorders/>
            <w:shd w:fill="auto" w:val="clear"/>
            <w:vAlign w:val="center"/>
          </w:tcPr>
          <w:p>
            <w:pPr>
              <w:pStyle w:val="TableContents"/>
              <w:spacing w:before="0" w:after="283"/>
              <w:rPr>
                <w:sz w:val="4"/>
                <w:szCs w:val="4"/>
              </w:rPr>
            </w:pPr>
            <w:r>
              <w:rPr>
                <w:sz w:val="4"/>
                <w:szCs w:val="4"/>
              </w:rPr>
            </w:r>
          </w:p>
        </w:tc>
        <w:tc>
          <w:tcPr>
            <w:tcW w:w="860" w:type="dxa"/>
            <w:tcBorders/>
            <w:shd w:fill="auto" w:val="clear"/>
            <w:vAlign w:val="center"/>
          </w:tcPr>
          <w:p>
            <w:pPr>
              <w:pStyle w:val="TableContents"/>
              <w:spacing w:before="0" w:after="283"/>
              <w:rPr>
                <w:sz w:val="4"/>
                <w:szCs w:val="4"/>
              </w:rPr>
            </w:pPr>
            <w:r>
              <w:rPr>
                <w:sz w:val="4"/>
                <w:szCs w:val="4"/>
              </w:rPr>
            </w:r>
          </w:p>
        </w:tc>
        <w:tc>
          <w:tcPr>
            <w:tcW w:w="182" w:type="dxa"/>
            <w:tcBorders/>
            <w:shd w:fill="auto" w:val="clear"/>
            <w:vAlign w:val="center"/>
          </w:tcPr>
          <w:p>
            <w:pPr>
              <w:pStyle w:val="TableContents"/>
              <w:spacing w:before="0" w:after="283"/>
              <w:rPr>
                <w:sz w:val="4"/>
                <w:szCs w:val="4"/>
              </w:rPr>
            </w:pPr>
            <w:r>
              <w:rPr>
                <w:sz w:val="4"/>
                <w:szCs w:val="4"/>
              </w:rPr>
            </w:r>
          </w:p>
        </w:tc>
      </w:tr>
      <w:tr>
        <w:trPr/>
        <w:tc>
          <w:tcPr>
            <w:tcW w:w="4432" w:type="dxa"/>
            <w:tcBorders/>
            <w:shd w:fill="auto" w:val="clear"/>
            <w:vAlign w:val="bottom"/>
          </w:tcPr>
          <w:p>
            <w:pPr>
              <w:pStyle w:val="TableHeading"/>
              <w:spacing w:before="0" w:after="283"/>
              <w:jc w:val="left"/>
              <w:rPr/>
            </w:pPr>
            <w:r>
              <w:rPr/>
              <w:t> </w:t>
            </w:r>
          </w:p>
        </w:tc>
        <w:tc>
          <w:tcPr>
            <w:tcW w:w="151" w:type="dxa"/>
            <w:tcBorders/>
            <w:shd w:fill="auto" w:val="clear"/>
            <w:vAlign w:val="bottom"/>
          </w:tcPr>
          <w:p>
            <w:pPr>
              <w:pStyle w:val="TableHeading"/>
              <w:suppressLineNumbers/>
              <w:spacing w:before="0" w:after="283"/>
              <w:jc w:val="center"/>
              <w:rPr/>
            </w:pPr>
            <w:r>
              <w:rPr/>
              <w:t> </w:t>
            </w:r>
          </w:p>
        </w:tc>
        <w:tc>
          <w:tcPr>
            <w:tcW w:w="5440" w:type="dxa"/>
            <w:gridSpan w:val="14"/>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Year Ended December 31, </w:t>
            </w:r>
          </w:p>
        </w:tc>
        <w:tc>
          <w:tcPr>
            <w:tcW w:w="182" w:type="dxa"/>
            <w:tcBorders/>
            <w:shd w:fill="auto" w:val="clear"/>
            <w:vAlign w:val="bottom"/>
          </w:tcPr>
          <w:p>
            <w:pPr>
              <w:pStyle w:val="TableHeading"/>
              <w:suppressLineNumbers/>
              <w:spacing w:before="0" w:after="283"/>
              <w:jc w:val="center"/>
              <w:rPr/>
            </w:pPr>
            <w:r>
              <w:rPr/>
              <w:t> </w:t>
            </w:r>
          </w:p>
        </w:tc>
      </w:tr>
      <w:tr>
        <w:trPr/>
        <w:tc>
          <w:tcPr>
            <w:tcW w:w="4432" w:type="dxa"/>
            <w:tcBorders/>
            <w:shd w:fill="auto" w:val="clear"/>
            <w:vAlign w:val="bottom"/>
          </w:tcPr>
          <w:p>
            <w:pPr>
              <w:pStyle w:val="TableHeading"/>
              <w:spacing w:before="0" w:after="283"/>
              <w:jc w:val="left"/>
              <w:rPr/>
            </w:pPr>
            <w:r>
              <w:rPr/>
              <w:t> </w:t>
            </w:r>
          </w:p>
        </w:tc>
        <w:tc>
          <w:tcPr>
            <w:tcW w:w="151" w:type="dxa"/>
            <w:tcBorders/>
            <w:shd w:fill="auto" w:val="clear"/>
            <w:vAlign w:val="bottom"/>
          </w:tcPr>
          <w:p>
            <w:pPr>
              <w:pStyle w:val="TableHeading"/>
              <w:suppressLineNumbers/>
              <w:spacing w:before="0" w:after="283"/>
              <w:jc w:val="center"/>
              <w:rPr/>
            </w:pPr>
            <w:r>
              <w:rPr/>
              <w:t> </w:t>
            </w:r>
          </w:p>
        </w:tc>
        <w:tc>
          <w:tcPr>
            <w:tcW w:w="955" w:type="dxa"/>
            <w:gridSpan w:val="2"/>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2016 </w:t>
            </w:r>
          </w:p>
        </w:tc>
        <w:tc>
          <w:tcPr>
            <w:tcW w:w="163" w:type="dxa"/>
            <w:tcBorders/>
            <w:shd w:fill="auto" w:val="clear"/>
            <w:vAlign w:val="bottom"/>
          </w:tcPr>
          <w:p>
            <w:pPr>
              <w:pStyle w:val="TableHeading"/>
              <w:suppressLineNumbers/>
              <w:spacing w:before="0" w:after="283"/>
              <w:jc w:val="center"/>
              <w:rPr/>
            </w:pPr>
            <w:r>
              <w:rPr/>
              <w:t> </w:t>
            </w:r>
          </w:p>
        </w:tc>
        <w:tc>
          <w:tcPr>
            <w:tcW w:w="955" w:type="dxa"/>
            <w:gridSpan w:val="2"/>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2017 </w:t>
            </w:r>
          </w:p>
        </w:tc>
        <w:tc>
          <w:tcPr>
            <w:tcW w:w="163" w:type="dxa"/>
            <w:tcBorders/>
            <w:shd w:fill="auto" w:val="clear"/>
            <w:vAlign w:val="bottom"/>
          </w:tcPr>
          <w:p>
            <w:pPr>
              <w:pStyle w:val="TableHeading"/>
              <w:suppressLineNumbers/>
              <w:spacing w:before="0" w:after="283"/>
              <w:jc w:val="center"/>
              <w:rPr/>
            </w:pPr>
            <w:r>
              <w:rPr/>
              <w:t> </w:t>
            </w:r>
          </w:p>
        </w:tc>
        <w:tc>
          <w:tcPr>
            <w:tcW w:w="955" w:type="dxa"/>
            <w:gridSpan w:val="2"/>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2018 </w:t>
            </w:r>
          </w:p>
        </w:tc>
        <w:tc>
          <w:tcPr>
            <w:tcW w:w="163" w:type="dxa"/>
            <w:tcBorders/>
            <w:shd w:fill="auto" w:val="clear"/>
            <w:vAlign w:val="bottom"/>
          </w:tcPr>
          <w:p>
            <w:pPr>
              <w:pStyle w:val="TableHeading"/>
              <w:suppressLineNumbers/>
              <w:spacing w:before="0" w:after="283"/>
              <w:jc w:val="center"/>
              <w:rPr/>
            </w:pPr>
            <w:r>
              <w:rPr/>
              <w:t> </w:t>
            </w:r>
          </w:p>
        </w:tc>
        <w:tc>
          <w:tcPr>
            <w:tcW w:w="954" w:type="dxa"/>
            <w:gridSpan w:val="2"/>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2019 </w:t>
            </w:r>
          </w:p>
        </w:tc>
        <w:tc>
          <w:tcPr>
            <w:tcW w:w="177" w:type="dxa"/>
            <w:tcBorders/>
            <w:shd w:fill="auto" w:val="clear"/>
            <w:vAlign w:val="bottom"/>
          </w:tcPr>
          <w:p>
            <w:pPr>
              <w:pStyle w:val="TableHeading"/>
              <w:suppressLineNumbers/>
              <w:spacing w:before="0" w:after="283"/>
              <w:jc w:val="center"/>
              <w:rPr/>
            </w:pPr>
            <w:r>
              <w:rPr/>
              <w:t> </w:t>
            </w:r>
          </w:p>
        </w:tc>
        <w:tc>
          <w:tcPr>
            <w:tcW w:w="955" w:type="dxa"/>
            <w:gridSpan w:val="2"/>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2020 </w:t>
            </w:r>
          </w:p>
        </w:tc>
        <w:tc>
          <w:tcPr>
            <w:tcW w:w="182" w:type="dxa"/>
            <w:tcBorders/>
            <w:shd w:fill="auto" w:val="clear"/>
            <w:vAlign w:val="bottom"/>
          </w:tcPr>
          <w:p>
            <w:pPr>
              <w:pStyle w:val="TableHeading"/>
              <w:suppressLineNumbers/>
              <w:spacing w:before="0" w:after="283"/>
              <w:jc w:val="center"/>
              <w:rPr/>
            </w:pPr>
            <w:r>
              <w:rPr/>
              <w:t> </w:t>
            </w:r>
          </w:p>
        </w:tc>
      </w:tr>
      <w:tr>
        <w:trPr/>
        <w:tc>
          <w:tcPr>
            <w:tcW w:w="4432" w:type="dxa"/>
            <w:tcBorders/>
            <w:shd w:fill="auto" w:val="clear"/>
            <w:vAlign w:val="bottom"/>
          </w:tcPr>
          <w:p>
            <w:pPr>
              <w:pStyle w:val="TableHeading"/>
              <w:spacing w:before="0" w:after="283"/>
              <w:jc w:val="left"/>
              <w:rPr/>
            </w:pPr>
            <w:r>
              <w:rPr/>
              <w:t> </w:t>
            </w:r>
          </w:p>
        </w:tc>
        <w:tc>
          <w:tcPr>
            <w:tcW w:w="151" w:type="dxa"/>
            <w:tcBorders/>
            <w:shd w:fill="auto" w:val="clear"/>
            <w:vAlign w:val="bottom"/>
          </w:tcPr>
          <w:p>
            <w:pPr>
              <w:pStyle w:val="TableHeading"/>
              <w:suppressLineNumbers/>
              <w:spacing w:before="0" w:after="283"/>
              <w:jc w:val="center"/>
              <w:rPr/>
            </w:pPr>
            <w:r>
              <w:rPr/>
              <w:t> </w:t>
            </w:r>
          </w:p>
        </w:tc>
        <w:tc>
          <w:tcPr>
            <w:tcW w:w="955" w:type="dxa"/>
            <w:gridSpan w:val="2"/>
            <w:tcBorders/>
            <w:shd w:fill="auto" w:val="clear"/>
            <w:vAlign w:val="bottom"/>
          </w:tcPr>
          <w:p>
            <w:pPr>
              <w:pStyle w:val="TableHeading"/>
              <w:spacing w:before="0" w:after="283"/>
              <w:jc w:val="left"/>
              <w:rPr/>
            </w:pPr>
            <w:r>
              <w:rPr/>
              <w:t> </w:t>
            </w:r>
          </w:p>
        </w:tc>
        <w:tc>
          <w:tcPr>
            <w:tcW w:w="163" w:type="dxa"/>
            <w:tcBorders/>
            <w:shd w:fill="auto" w:val="clear"/>
            <w:vAlign w:val="bottom"/>
          </w:tcPr>
          <w:p>
            <w:pPr>
              <w:pStyle w:val="TableHeading"/>
              <w:suppressLineNumbers/>
              <w:spacing w:before="0" w:after="283"/>
              <w:jc w:val="center"/>
              <w:rPr/>
            </w:pPr>
            <w:r>
              <w:rPr/>
              <w:t> </w:t>
            </w:r>
          </w:p>
        </w:tc>
        <w:tc>
          <w:tcPr>
            <w:tcW w:w="3190" w:type="dxa"/>
            <w:gridSpan w:val="8"/>
            <w:tcBorders/>
            <w:shd w:fill="auto" w:val="clear"/>
            <w:vAlign w:val="bottom"/>
          </w:tcPr>
          <w:p>
            <w:pPr>
              <w:pStyle w:val="TableHeading"/>
              <w:spacing w:before="0" w:after="283"/>
              <w:jc w:val="center"/>
              <w:rPr>
                <w:rFonts w:ascii="times" w:hAnsi="times"/>
                <w:b/>
                <w:sz w:val="14"/>
              </w:rPr>
            </w:pPr>
            <w:r>
              <w:rPr>
                <w:rFonts w:ascii="times" w:hAnsi="times"/>
                <w:b/>
                <w:sz w:val="14"/>
              </w:rPr>
              <w:t>(in thousands of U.S. dollars)</w:t>
            </w:r>
          </w:p>
        </w:tc>
        <w:tc>
          <w:tcPr>
            <w:tcW w:w="177" w:type="dxa"/>
            <w:tcBorders/>
            <w:shd w:fill="auto" w:val="clear"/>
            <w:vAlign w:val="bottom"/>
          </w:tcPr>
          <w:p>
            <w:pPr>
              <w:pStyle w:val="TableHeading"/>
              <w:suppressLineNumbers/>
              <w:spacing w:before="0" w:after="283"/>
              <w:jc w:val="center"/>
              <w:rPr/>
            </w:pPr>
            <w:r>
              <w:rPr/>
              <w:t> </w:t>
            </w:r>
          </w:p>
        </w:tc>
        <w:tc>
          <w:tcPr>
            <w:tcW w:w="955" w:type="dxa"/>
            <w:gridSpan w:val="2"/>
            <w:tcBorders/>
            <w:shd w:fill="auto" w:val="clear"/>
            <w:vAlign w:val="bottom"/>
          </w:tcPr>
          <w:p>
            <w:pPr>
              <w:pStyle w:val="TableHeading"/>
              <w:spacing w:before="0" w:after="283"/>
              <w:jc w:val="left"/>
              <w:rPr/>
            </w:pPr>
            <w:r>
              <w:rPr/>
              <w:t> </w:t>
            </w:r>
          </w:p>
        </w:tc>
        <w:tc>
          <w:tcPr>
            <w:tcW w:w="182" w:type="dxa"/>
            <w:tcBorders/>
            <w:shd w:fill="auto" w:val="clear"/>
            <w:vAlign w:val="bottom"/>
          </w:tcPr>
          <w:p>
            <w:pPr>
              <w:pStyle w:val="TableHeading"/>
              <w:suppressLineNumbers/>
              <w:spacing w:before="0" w:after="283"/>
              <w:jc w:val="center"/>
              <w:rPr/>
            </w:pPr>
            <w:r>
              <w:rPr/>
              <w:t> </w:t>
            </w:r>
          </w:p>
        </w:tc>
      </w:tr>
      <w:tr>
        <w:trPr/>
        <w:tc>
          <w:tcPr>
            <w:tcW w:w="4432" w:type="dxa"/>
            <w:tcBorders/>
            <w:shd w:fill="auto" w:val="clear"/>
            <w:vAlign w:val="bottom"/>
          </w:tcPr>
          <w:p>
            <w:pPr>
              <w:pStyle w:val="TableContents"/>
              <w:spacing w:before="0" w:after="283"/>
              <w:ind w:left="160" w:right="0" w:hanging="160"/>
              <w:rPr>
                <w:rFonts w:ascii="times" w:hAnsi="times"/>
                <w:b/>
                <w:sz w:val="14"/>
              </w:rPr>
            </w:pPr>
            <w:r>
              <w:rPr>
                <w:rFonts w:ascii="times" w:hAnsi="times"/>
                <w:b/>
                <w:sz w:val="14"/>
              </w:rPr>
              <w:t>OTHER PARTNERSHIP PERFORMANCE FINANCIAL DATA</w:t>
            </w:r>
          </w:p>
        </w:tc>
        <w:tc>
          <w:tcPr>
            <w:tcW w:w="151"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860" w:type="dxa"/>
            <w:tcBorders/>
            <w:shd w:fill="auto" w:val="clear"/>
            <w:vAlign w:val="bottom"/>
          </w:tcPr>
          <w:p>
            <w:pPr>
              <w:pStyle w:val="TableContents"/>
              <w:spacing w:before="0" w:after="283"/>
              <w:jc w:val="right"/>
              <w:rPr/>
            </w:pPr>
            <w:r>
              <w:rPr/>
              <w:t> </w:t>
            </w:r>
          </w:p>
        </w:tc>
        <w:tc>
          <w:tcPr>
            <w:tcW w:w="163"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860" w:type="dxa"/>
            <w:tcBorders/>
            <w:shd w:fill="auto" w:val="clear"/>
            <w:vAlign w:val="bottom"/>
          </w:tcPr>
          <w:p>
            <w:pPr>
              <w:pStyle w:val="TableContents"/>
              <w:spacing w:before="0" w:after="283"/>
              <w:jc w:val="right"/>
              <w:rPr/>
            </w:pPr>
            <w:r>
              <w:rPr/>
              <w:t> </w:t>
            </w:r>
          </w:p>
        </w:tc>
        <w:tc>
          <w:tcPr>
            <w:tcW w:w="163"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860" w:type="dxa"/>
            <w:tcBorders/>
            <w:shd w:fill="auto" w:val="clear"/>
            <w:vAlign w:val="bottom"/>
          </w:tcPr>
          <w:p>
            <w:pPr>
              <w:pStyle w:val="TableContents"/>
              <w:spacing w:before="0" w:after="283"/>
              <w:jc w:val="right"/>
              <w:rPr/>
            </w:pPr>
            <w:r>
              <w:rPr/>
              <w:t> </w:t>
            </w:r>
          </w:p>
        </w:tc>
        <w:tc>
          <w:tcPr>
            <w:tcW w:w="163"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859" w:type="dxa"/>
            <w:tcBorders/>
            <w:shd w:fill="auto" w:val="clear"/>
            <w:vAlign w:val="bottom"/>
          </w:tcPr>
          <w:p>
            <w:pPr>
              <w:pStyle w:val="TableContents"/>
              <w:spacing w:before="0" w:after="283"/>
              <w:jc w:val="right"/>
              <w:rPr/>
            </w:pPr>
            <w:r>
              <w:rPr/>
              <w:t> </w:t>
            </w:r>
          </w:p>
        </w:tc>
        <w:tc>
          <w:tcPr>
            <w:tcW w:w="177"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860" w:type="dxa"/>
            <w:tcBorders/>
            <w:shd w:fill="auto" w:val="clear"/>
            <w:vAlign w:val="bottom"/>
          </w:tcPr>
          <w:p>
            <w:pPr>
              <w:pStyle w:val="TableContents"/>
              <w:spacing w:before="0" w:after="283"/>
              <w:jc w:val="right"/>
              <w:rPr/>
            </w:pPr>
            <w:r>
              <w:rPr/>
              <w:t> </w:t>
            </w:r>
          </w:p>
        </w:tc>
        <w:tc>
          <w:tcPr>
            <w:tcW w:w="182" w:type="dxa"/>
            <w:tcBorders/>
            <w:shd w:fill="auto" w:val="clear"/>
            <w:vAlign w:val="bottom"/>
          </w:tcPr>
          <w:p>
            <w:pPr>
              <w:pStyle w:val="TableContents"/>
              <w:spacing w:before="0" w:after="283"/>
              <w:rPr/>
            </w:pPr>
            <w:r>
              <w:rPr/>
              <w:t> </w:t>
            </w:r>
          </w:p>
        </w:tc>
      </w:tr>
      <w:tr>
        <w:trPr/>
        <w:tc>
          <w:tcPr>
            <w:tcW w:w="4432" w:type="dxa"/>
            <w:tcBorders/>
            <w:shd w:fill="auto" w:val="clear"/>
            <w:vAlign w:val="bottom"/>
          </w:tcPr>
          <w:p>
            <w:pPr>
              <w:pStyle w:val="TableContents"/>
              <w:spacing w:before="0" w:after="283"/>
              <w:ind w:left="160" w:right="0" w:hanging="160"/>
              <w:rPr>
                <w:rFonts w:ascii="times" w:hAnsi="times"/>
                <w:sz w:val="14"/>
              </w:rPr>
            </w:pPr>
            <w:r>
              <w:rPr>
                <w:rFonts w:ascii="times" w:hAnsi="times"/>
                <w:sz w:val="14"/>
              </w:rPr>
              <w:t>Adjusted EBITDA</w:t>
            </w:r>
            <w:r>
              <w:rPr>
                <w:rFonts w:ascii="times" w:hAnsi="times"/>
                <w:position w:val="5"/>
                <w:sz w:val="11"/>
                <w:sz w:val="14"/>
              </w:rPr>
              <w:t>(5)</w:t>
            </w:r>
          </w:p>
        </w:tc>
        <w:tc>
          <w:tcPr>
            <w:tcW w:w="151"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rFonts w:ascii="times" w:hAnsi="times"/>
                <w:sz w:val="14"/>
              </w:rPr>
            </w:pPr>
            <w:r>
              <w:rPr>
                <w:rFonts w:ascii="times" w:hAnsi="times"/>
                <w:sz w:val="14"/>
              </w:rPr>
              <w:t>$</w:t>
            </w:r>
          </w:p>
        </w:tc>
        <w:tc>
          <w:tcPr>
            <w:tcW w:w="860" w:type="dxa"/>
            <w:tcBorders/>
            <w:shd w:fill="auto" w:val="clear"/>
            <w:vAlign w:val="bottom"/>
          </w:tcPr>
          <w:p>
            <w:pPr>
              <w:pStyle w:val="TableContents"/>
              <w:spacing w:before="0" w:after="283"/>
              <w:jc w:val="right"/>
              <w:rPr>
                <w:rFonts w:ascii="times" w:hAnsi="times"/>
                <w:sz w:val="14"/>
              </w:rPr>
            </w:pPr>
            <w:r>
              <w:rPr>
                <w:rFonts w:ascii="times" w:hAnsi="times"/>
                <w:sz w:val="14"/>
              </w:rPr>
              <w:t>148,885</w:t>
            </w:r>
          </w:p>
        </w:tc>
        <w:tc>
          <w:tcPr>
            <w:tcW w:w="163"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rFonts w:ascii="times" w:hAnsi="times"/>
                <w:sz w:val="14"/>
              </w:rPr>
            </w:pPr>
            <w:r>
              <w:rPr>
                <w:rFonts w:ascii="times" w:hAnsi="times"/>
                <w:sz w:val="14"/>
              </w:rPr>
              <w:t>$</w:t>
            </w:r>
          </w:p>
        </w:tc>
        <w:tc>
          <w:tcPr>
            <w:tcW w:w="860" w:type="dxa"/>
            <w:tcBorders/>
            <w:shd w:fill="auto" w:val="clear"/>
            <w:vAlign w:val="bottom"/>
          </w:tcPr>
          <w:p>
            <w:pPr>
              <w:pStyle w:val="TableContents"/>
              <w:spacing w:before="0" w:after="283"/>
              <w:jc w:val="right"/>
              <w:rPr>
                <w:rFonts w:ascii="times" w:hAnsi="times"/>
                <w:sz w:val="14"/>
              </w:rPr>
            </w:pPr>
            <w:r>
              <w:rPr>
                <w:rFonts w:ascii="times" w:hAnsi="times"/>
                <w:sz w:val="14"/>
              </w:rPr>
              <w:t>196,133</w:t>
            </w:r>
          </w:p>
        </w:tc>
        <w:tc>
          <w:tcPr>
            <w:tcW w:w="163"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rFonts w:ascii="times" w:hAnsi="times"/>
                <w:sz w:val="14"/>
              </w:rPr>
            </w:pPr>
            <w:r>
              <w:rPr>
                <w:rFonts w:ascii="times" w:hAnsi="times"/>
                <w:sz w:val="14"/>
              </w:rPr>
              <w:t>$</w:t>
            </w:r>
          </w:p>
        </w:tc>
        <w:tc>
          <w:tcPr>
            <w:tcW w:w="860" w:type="dxa"/>
            <w:tcBorders/>
            <w:shd w:fill="auto" w:val="clear"/>
            <w:vAlign w:val="bottom"/>
          </w:tcPr>
          <w:p>
            <w:pPr>
              <w:pStyle w:val="TableContents"/>
              <w:spacing w:before="0" w:after="283"/>
              <w:jc w:val="right"/>
              <w:rPr>
                <w:rFonts w:ascii="times" w:hAnsi="times"/>
                <w:sz w:val="14"/>
              </w:rPr>
            </w:pPr>
            <w:r>
              <w:rPr>
                <w:rFonts w:ascii="times" w:hAnsi="times"/>
                <w:sz w:val="14"/>
              </w:rPr>
              <w:t>233,656</w:t>
            </w:r>
          </w:p>
        </w:tc>
        <w:tc>
          <w:tcPr>
            <w:tcW w:w="163"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rFonts w:ascii="times" w:hAnsi="times"/>
                <w:sz w:val="14"/>
              </w:rPr>
            </w:pPr>
            <w:r>
              <w:rPr>
                <w:rFonts w:ascii="times" w:hAnsi="times"/>
                <w:sz w:val="14"/>
              </w:rPr>
              <w:t>$</w:t>
            </w:r>
          </w:p>
        </w:tc>
        <w:tc>
          <w:tcPr>
            <w:tcW w:w="859" w:type="dxa"/>
            <w:tcBorders/>
            <w:shd w:fill="auto" w:val="clear"/>
            <w:vAlign w:val="bottom"/>
          </w:tcPr>
          <w:p>
            <w:pPr>
              <w:pStyle w:val="TableContents"/>
              <w:spacing w:before="0" w:after="283"/>
              <w:jc w:val="right"/>
              <w:rPr>
                <w:rFonts w:ascii="times" w:hAnsi="times"/>
                <w:sz w:val="14"/>
              </w:rPr>
            </w:pPr>
            <w:r>
              <w:rPr>
                <w:rFonts w:ascii="times" w:hAnsi="times"/>
                <w:sz w:val="14"/>
              </w:rPr>
              <w:t>270,438</w:t>
            </w:r>
          </w:p>
        </w:tc>
        <w:tc>
          <w:tcPr>
            <w:tcW w:w="177"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rFonts w:ascii="times" w:hAnsi="times"/>
                <w:sz w:val="14"/>
              </w:rPr>
            </w:pPr>
            <w:r>
              <w:rPr>
                <w:rFonts w:ascii="times" w:hAnsi="times"/>
                <w:sz w:val="14"/>
              </w:rPr>
              <w:t>$</w:t>
            </w:r>
          </w:p>
        </w:tc>
        <w:tc>
          <w:tcPr>
            <w:tcW w:w="860" w:type="dxa"/>
            <w:tcBorders/>
            <w:shd w:fill="auto" w:val="clear"/>
            <w:vAlign w:val="bottom"/>
          </w:tcPr>
          <w:p>
            <w:pPr>
              <w:pStyle w:val="TableContents"/>
              <w:spacing w:before="0" w:after="283"/>
              <w:jc w:val="right"/>
              <w:rPr>
                <w:rFonts w:ascii="times" w:hAnsi="times"/>
                <w:sz w:val="14"/>
              </w:rPr>
            </w:pPr>
            <w:r>
              <w:rPr>
                <w:rFonts w:ascii="times" w:hAnsi="times"/>
                <w:sz w:val="14"/>
              </w:rPr>
              <w:t>230,635</w:t>
            </w:r>
          </w:p>
        </w:tc>
        <w:tc>
          <w:tcPr>
            <w:tcW w:w="182" w:type="dxa"/>
            <w:tcBorders/>
            <w:shd w:fill="auto" w:val="clear"/>
            <w:vAlign w:val="bottom"/>
          </w:tcPr>
          <w:p>
            <w:pPr>
              <w:pStyle w:val="TableContents"/>
              <w:spacing w:before="0" w:after="283"/>
              <w:rPr/>
            </w:pPr>
            <w:r>
              <w:rPr/>
              <w:t> </w:t>
            </w:r>
          </w:p>
        </w:tc>
      </w:tr>
      <w:tr>
        <w:trPr/>
        <w:tc>
          <w:tcPr>
            <w:tcW w:w="4432" w:type="dxa"/>
            <w:tcBorders/>
            <w:shd w:fill="auto" w:val="clear"/>
            <w:vAlign w:val="bottom"/>
          </w:tcPr>
          <w:p>
            <w:pPr>
              <w:pStyle w:val="TableContents"/>
              <w:spacing w:before="0" w:after="283"/>
              <w:ind w:left="160" w:right="0" w:hanging="160"/>
              <w:rPr>
                <w:rFonts w:ascii="times" w:hAnsi="times"/>
                <w:sz w:val="14"/>
              </w:rPr>
            </w:pPr>
            <w:r>
              <w:rPr>
                <w:rFonts w:ascii="times" w:hAnsi="times"/>
                <w:sz w:val="14"/>
              </w:rPr>
              <w:t>Distributable cash flow</w:t>
            </w:r>
            <w:r>
              <w:rPr>
                <w:rFonts w:ascii="times" w:hAnsi="times"/>
                <w:position w:val="5"/>
                <w:sz w:val="11"/>
                <w:sz w:val="14"/>
              </w:rPr>
              <w:t>(5)</w:t>
            </w:r>
          </w:p>
        </w:tc>
        <w:tc>
          <w:tcPr>
            <w:tcW w:w="151"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860" w:type="dxa"/>
            <w:tcBorders/>
            <w:shd w:fill="auto" w:val="clear"/>
            <w:vAlign w:val="bottom"/>
          </w:tcPr>
          <w:p>
            <w:pPr>
              <w:pStyle w:val="TableContents"/>
              <w:spacing w:before="0" w:after="283"/>
              <w:jc w:val="right"/>
              <w:rPr>
                <w:rFonts w:ascii="times" w:hAnsi="times"/>
                <w:sz w:val="14"/>
              </w:rPr>
            </w:pPr>
            <w:r>
              <w:rPr>
                <w:rFonts w:ascii="times" w:hAnsi="times"/>
                <w:sz w:val="14"/>
              </w:rPr>
              <w:t>83,660</w:t>
            </w:r>
          </w:p>
        </w:tc>
        <w:tc>
          <w:tcPr>
            <w:tcW w:w="163"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860" w:type="dxa"/>
            <w:tcBorders/>
            <w:shd w:fill="auto" w:val="clear"/>
            <w:vAlign w:val="bottom"/>
          </w:tcPr>
          <w:p>
            <w:pPr>
              <w:pStyle w:val="TableContents"/>
              <w:spacing w:before="0" w:after="283"/>
              <w:jc w:val="right"/>
              <w:rPr>
                <w:rFonts w:ascii="times" w:hAnsi="times"/>
                <w:sz w:val="14"/>
              </w:rPr>
            </w:pPr>
            <w:r>
              <w:rPr>
                <w:rFonts w:ascii="times" w:hAnsi="times"/>
                <w:sz w:val="14"/>
              </w:rPr>
              <w:t>100,551</w:t>
            </w:r>
          </w:p>
        </w:tc>
        <w:tc>
          <w:tcPr>
            <w:tcW w:w="163"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860" w:type="dxa"/>
            <w:tcBorders/>
            <w:shd w:fill="auto" w:val="clear"/>
            <w:vAlign w:val="bottom"/>
          </w:tcPr>
          <w:p>
            <w:pPr>
              <w:pStyle w:val="TableContents"/>
              <w:spacing w:before="0" w:after="283"/>
              <w:jc w:val="right"/>
              <w:rPr>
                <w:rFonts w:ascii="times" w:hAnsi="times"/>
                <w:sz w:val="14"/>
              </w:rPr>
            </w:pPr>
            <w:r>
              <w:rPr>
                <w:rFonts w:ascii="times" w:hAnsi="times"/>
                <w:sz w:val="14"/>
              </w:rPr>
              <w:t>108,945</w:t>
            </w:r>
          </w:p>
        </w:tc>
        <w:tc>
          <w:tcPr>
            <w:tcW w:w="163"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859" w:type="dxa"/>
            <w:tcBorders/>
            <w:shd w:fill="auto" w:val="clear"/>
            <w:vAlign w:val="bottom"/>
          </w:tcPr>
          <w:p>
            <w:pPr>
              <w:pStyle w:val="TableContents"/>
              <w:spacing w:before="0" w:after="283"/>
              <w:jc w:val="right"/>
              <w:rPr>
                <w:rFonts w:ascii="times" w:hAnsi="times"/>
                <w:sz w:val="14"/>
              </w:rPr>
            </w:pPr>
            <w:r>
              <w:rPr>
                <w:rFonts w:ascii="times" w:hAnsi="times"/>
                <w:sz w:val="14"/>
              </w:rPr>
              <w:t>123,108</w:t>
            </w:r>
          </w:p>
        </w:tc>
        <w:tc>
          <w:tcPr>
            <w:tcW w:w="177"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860" w:type="dxa"/>
            <w:tcBorders/>
            <w:shd w:fill="auto" w:val="clear"/>
            <w:vAlign w:val="bottom"/>
          </w:tcPr>
          <w:p>
            <w:pPr>
              <w:pStyle w:val="TableContents"/>
              <w:spacing w:before="0" w:after="283"/>
              <w:jc w:val="right"/>
              <w:rPr>
                <w:rFonts w:ascii="times" w:hAnsi="times"/>
                <w:sz w:val="14"/>
              </w:rPr>
            </w:pPr>
            <w:r>
              <w:rPr>
                <w:rFonts w:ascii="times" w:hAnsi="times"/>
                <w:sz w:val="14"/>
              </w:rPr>
              <w:t>91,241</w:t>
            </w:r>
          </w:p>
        </w:tc>
        <w:tc>
          <w:tcPr>
            <w:tcW w:w="182" w:type="dxa"/>
            <w:tcBorders/>
            <w:shd w:fill="auto" w:val="clear"/>
            <w:vAlign w:val="bottom"/>
          </w:tcPr>
          <w:p>
            <w:pPr>
              <w:pStyle w:val="TableContents"/>
              <w:spacing w:before="0" w:after="283"/>
              <w:rPr/>
            </w:pPr>
            <w:r>
              <w:rPr/>
              <w:t> </w:t>
            </w:r>
          </w:p>
        </w:tc>
      </w:tr>
      <w:tr>
        <w:trPr/>
        <w:tc>
          <w:tcPr>
            <w:tcW w:w="4432" w:type="dxa"/>
            <w:tcBorders/>
            <w:shd w:fill="auto" w:val="clear"/>
            <w:vAlign w:val="bottom"/>
          </w:tcPr>
          <w:p>
            <w:pPr>
              <w:pStyle w:val="TableContents"/>
              <w:spacing w:before="0" w:after="283"/>
              <w:ind w:left="160" w:right="0" w:hanging="160"/>
              <w:rPr>
                <w:rFonts w:ascii="times" w:hAnsi="times"/>
                <w:sz w:val="14"/>
              </w:rPr>
            </w:pPr>
            <w:r>
              <w:rPr>
                <w:rFonts w:ascii="times" w:hAnsi="times"/>
                <w:sz w:val="14"/>
              </w:rPr>
              <w:t>Cash distributions declared and paid (excluding Preference Unit distributions declared and paid)</w:t>
            </w:r>
          </w:p>
        </w:tc>
        <w:tc>
          <w:tcPr>
            <w:tcW w:w="151"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860" w:type="dxa"/>
            <w:tcBorders/>
            <w:shd w:fill="auto" w:val="clear"/>
            <w:vAlign w:val="bottom"/>
          </w:tcPr>
          <w:p>
            <w:pPr>
              <w:pStyle w:val="TableContents"/>
              <w:spacing w:before="0" w:after="283"/>
              <w:jc w:val="right"/>
              <w:rPr>
                <w:rFonts w:ascii="times" w:hAnsi="times"/>
                <w:sz w:val="14"/>
              </w:rPr>
            </w:pPr>
            <w:r>
              <w:rPr>
                <w:rFonts w:ascii="times" w:hAnsi="times"/>
                <w:sz w:val="14"/>
              </w:rPr>
              <w:t>65,577</w:t>
            </w:r>
          </w:p>
        </w:tc>
        <w:tc>
          <w:tcPr>
            <w:tcW w:w="163" w:type="dxa"/>
            <w:tcBorders/>
            <w:shd w:fill="auto" w:val="clear"/>
            <w:vAlign w:val="bottom"/>
          </w:tcPr>
          <w:p>
            <w:pPr>
              <w:pStyle w:val="TableContents"/>
              <w:spacing w:before="0" w:after="283"/>
              <w:rPr>
                <w:rFonts w:ascii="times" w:hAnsi="times"/>
                <w:position w:val="5"/>
                <w:sz w:val="11"/>
                <w:sz w:val="14"/>
              </w:rPr>
            </w:pPr>
            <w:r>
              <w:rPr>
                <w:rFonts w:ascii="times" w:hAnsi="times"/>
                <w:position w:val="5"/>
                <w:sz w:val="11"/>
                <w:sz w:val="14"/>
              </w:rPr>
              <w:t>(6)</w:t>
            </w:r>
          </w:p>
        </w:tc>
        <w:tc>
          <w:tcPr>
            <w:tcW w:w="95" w:type="dxa"/>
            <w:tcBorders/>
            <w:shd w:fill="auto" w:val="clear"/>
            <w:vAlign w:val="bottom"/>
          </w:tcPr>
          <w:p>
            <w:pPr>
              <w:pStyle w:val="TableContents"/>
              <w:spacing w:before="0" w:after="283"/>
              <w:rPr/>
            </w:pPr>
            <w:r>
              <w:rPr/>
              <w:t> </w:t>
            </w:r>
          </w:p>
        </w:tc>
        <w:tc>
          <w:tcPr>
            <w:tcW w:w="860" w:type="dxa"/>
            <w:tcBorders/>
            <w:shd w:fill="auto" w:val="clear"/>
            <w:vAlign w:val="bottom"/>
          </w:tcPr>
          <w:p>
            <w:pPr>
              <w:pStyle w:val="TableContents"/>
              <w:spacing w:before="0" w:after="283"/>
              <w:jc w:val="right"/>
              <w:rPr>
                <w:rFonts w:ascii="times" w:hAnsi="times"/>
                <w:sz w:val="14"/>
              </w:rPr>
            </w:pPr>
            <w:r>
              <w:rPr>
                <w:rFonts w:ascii="times" w:hAnsi="times"/>
                <w:sz w:val="14"/>
              </w:rPr>
              <w:t>83,048</w:t>
            </w:r>
          </w:p>
        </w:tc>
        <w:tc>
          <w:tcPr>
            <w:tcW w:w="163" w:type="dxa"/>
            <w:tcBorders/>
            <w:shd w:fill="auto" w:val="clear"/>
            <w:vAlign w:val="bottom"/>
          </w:tcPr>
          <w:p>
            <w:pPr>
              <w:pStyle w:val="TableContents"/>
              <w:spacing w:before="0" w:after="283"/>
              <w:rPr>
                <w:rFonts w:ascii="times" w:hAnsi="times"/>
                <w:position w:val="5"/>
                <w:sz w:val="11"/>
                <w:sz w:val="14"/>
              </w:rPr>
            </w:pPr>
            <w:r>
              <w:rPr>
                <w:rFonts w:ascii="times" w:hAnsi="times"/>
                <w:position w:val="5"/>
                <w:sz w:val="11"/>
                <w:sz w:val="14"/>
              </w:rPr>
              <w:t>(8)</w:t>
            </w:r>
          </w:p>
        </w:tc>
        <w:tc>
          <w:tcPr>
            <w:tcW w:w="95" w:type="dxa"/>
            <w:tcBorders/>
            <w:shd w:fill="auto" w:val="clear"/>
            <w:vAlign w:val="bottom"/>
          </w:tcPr>
          <w:p>
            <w:pPr>
              <w:pStyle w:val="TableContents"/>
              <w:spacing w:before="0" w:after="283"/>
              <w:rPr/>
            </w:pPr>
            <w:r>
              <w:rPr/>
              <w:t> </w:t>
            </w:r>
          </w:p>
        </w:tc>
        <w:tc>
          <w:tcPr>
            <w:tcW w:w="860" w:type="dxa"/>
            <w:tcBorders/>
            <w:shd w:fill="auto" w:val="clear"/>
            <w:vAlign w:val="bottom"/>
          </w:tcPr>
          <w:p>
            <w:pPr>
              <w:pStyle w:val="TableContents"/>
              <w:spacing w:before="0" w:after="283"/>
              <w:jc w:val="right"/>
              <w:rPr>
                <w:rFonts w:ascii="times" w:hAnsi="times"/>
                <w:sz w:val="14"/>
              </w:rPr>
            </w:pPr>
            <w:r>
              <w:rPr>
                <w:rFonts w:ascii="times" w:hAnsi="times"/>
                <w:sz w:val="14"/>
              </w:rPr>
              <w:t>97,105</w:t>
            </w:r>
          </w:p>
        </w:tc>
        <w:tc>
          <w:tcPr>
            <w:tcW w:w="163" w:type="dxa"/>
            <w:tcBorders/>
            <w:shd w:fill="auto" w:val="clear"/>
            <w:vAlign w:val="bottom"/>
          </w:tcPr>
          <w:p>
            <w:pPr>
              <w:pStyle w:val="TableContents"/>
              <w:spacing w:before="0" w:after="283"/>
              <w:rPr>
                <w:rFonts w:ascii="times" w:hAnsi="times"/>
                <w:position w:val="5"/>
                <w:sz w:val="11"/>
                <w:sz w:val="14"/>
              </w:rPr>
            </w:pPr>
            <w:r>
              <w:rPr>
                <w:rFonts w:ascii="times" w:hAnsi="times"/>
                <w:position w:val="5"/>
                <w:sz w:val="11"/>
                <w:sz w:val="14"/>
              </w:rPr>
              <w:t>(9)</w:t>
            </w:r>
          </w:p>
        </w:tc>
        <w:tc>
          <w:tcPr>
            <w:tcW w:w="95" w:type="dxa"/>
            <w:tcBorders/>
            <w:shd w:fill="auto" w:val="clear"/>
            <w:vAlign w:val="bottom"/>
          </w:tcPr>
          <w:p>
            <w:pPr>
              <w:pStyle w:val="TableContents"/>
              <w:spacing w:before="0" w:after="283"/>
              <w:rPr/>
            </w:pPr>
            <w:r>
              <w:rPr/>
              <w:t> </w:t>
            </w:r>
          </w:p>
        </w:tc>
        <w:tc>
          <w:tcPr>
            <w:tcW w:w="859" w:type="dxa"/>
            <w:tcBorders/>
            <w:shd w:fill="auto" w:val="clear"/>
            <w:vAlign w:val="bottom"/>
          </w:tcPr>
          <w:p>
            <w:pPr>
              <w:pStyle w:val="TableContents"/>
              <w:spacing w:before="0" w:after="283"/>
              <w:jc w:val="right"/>
              <w:rPr>
                <w:rFonts w:ascii="times" w:hAnsi="times"/>
                <w:sz w:val="14"/>
              </w:rPr>
            </w:pPr>
            <w:r>
              <w:rPr>
                <w:rFonts w:ascii="times" w:hAnsi="times"/>
                <w:sz w:val="14"/>
              </w:rPr>
              <w:t>106,917</w:t>
            </w:r>
          </w:p>
        </w:tc>
        <w:tc>
          <w:tcPr>
            <w:tcW w:w="177" w:type="dxa"/>
            <w:tcBorders/>
            <w:shd w:fill="auto" w:val="clear"/>
            <w:vAlign w:val="bottom"/>
          </w:tcPr>
          <w:p>
            <w:pPr>
              <w:pStyle w:val="TableContents"/>
              <w:spacing w:before="0" w:after="283"/>
              <w:rPr>
                <w:rFonts w:ascii="times" w:hAnsi="times"/>
                <w:position w:val="5"/>
                <w:sz w:val="11"/>
                <w:sz w:val="14"/>
              </w:rPr>
            </w:pPr>
            <w:r>
              <w:rPr>
                <w:rFonts w:ascii="times" w:hAnsi="times"/>
                <w:position w:val="5"/>
                <w:sz w:val="11"/>
                <w:sz w:val="14"/>
              </w:rPr>
              <w:t>(10)</w:t>
            </w:r>
          </w:p>
        </w:tc>
        <w:tc>
          <w:tcPr>
            <w:tcW w:w="95" w:type="dxa"/>
            <w:tcBorders/>
            <w:shd w:fill="auto" w:val="clear"/>
            <w:vAlign w:val="bottom"/>
          </w:tcPr>
          <w:p>
            <w:pPr>
              <w:pStyle w:val="TableContents"/>
              <w:spacing w:before="0" w:after="283"/>
              <w:rPr/>
            </w:pPr>
            <w:r>
              <w:rPr/>
              <w:t> </w:t>
            </w:r>
          </w:p>
        </w:tc>
        <w:tc>
          <w:tcPr>
            <w:tcW w:w="860" w:type="dxa"/>
            <w:tcBorders/>
            <w:shd w:fill="auto" w:val="clear"/>
            <w:vAlign w:val="bottom"/>
          </w:tcPr>
          <w:p>
            <w:pPr>
              <w:pStyle w:val="TableContents"/>
              <w:spacing w:before="0" w:after="283"/>
              <w:jc w:val="right"/>
              <w:rPr>
                <w:rFonts w:ascii="times" w:hAnsi="times"/>
                <w:sz w:val="14"/>
              </w:rPr>
            </w:pPr>
            <w:r>
              <w:rPr>
                <w:rFonts w:ascii="times" w:hAnsi="times"/>
                <w:sz w:val="14"/>
              </w:rPr>
              <w:t>39,228</w:t>
            </w:r>
          </w:p>
        </w:tc>
        <w:tc>
          <w:tcPr>
            <w:tcW w:w="182" w:type="dxa"/>
            <w:tcBorders/>
            <w:shd w:fill="auto" w:val="clear"/>
            <w:vAlign w:val="bottom"/>
          </w:tcPr>
          <w:p>
            <w:pPr>
              <w:pStyle w:val="TableContents"/>
              <w:spacing w:before="0" w:after="283"/>
              <w:rPr>
                <w:rFonts w:ascii="times" w:hAnsi="times"/>
                <w:position w:val="5"/>
                <w:sz w:val="11"/>
                <w:sz w:val="14"/>
              </w:rPr>
            </w:pPr>
            <w:r>
              <w:rPr>
                <w:rFonts w:ascii="times" w:hAnsi="times"/>
                <w:position w:val="5"/>
                <w:sz w:val="11"/>
                <w:sz w:val="14"/>
              </w:rPr>
              <w:t>(11)</w:t>
            </w:r>
          </w:p>
        </w:tc>
      </w:tr>
      <w:tr>
        <w:trPr/>
        <w:tc>
          <w:tcPr>
            <w:tcW w:w="4432" w:type="dxa"/>
            <w:tcBorders/>
            <w:shd w:fill="auto" w:val="clear"/>
            <w:vAlign w:val="bottom"/>
          </w:tcPr>
          <w:p>
            <w:pPr>
              <w:pStyle w:val="TableContents"/>
              <w:spacing w:before="0" w:after="283"/>
              <w:ind w:left="160" w:right="0" w:hanging="160"/>
              <w:rPr>
                <w:rFonts w:ascii="times" w:hAnsi="times"/>
                <w:sz w:val="14"/>
              </w:rPr>
            </w:pPr>
            <w:r>
              <w:rPr>
                <w:rFonts w:ascii="times" w:hAnsi="times"/>
                <w:sz w:val="14"/>
              </w:rPr>
              <w:t>Preference Unit distributions declared and paid</w:t>
            </w:r>
          </w:p>
        </w:tc>
        <w:tc>
          <w:tcPr>
            <w:tcW w:w="151"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860" w:type="dxa"/>
            <w:tcBorders/>
            <w:shd w:fill="auto" w:val="clear"/>
            <w:vAlign w:val="bottom"/>
          </w:tcPr>
          <w:p>
            <w:pPr>
              <w:pStyle w:val="TableContents"/>
              <w:spacing w:before="0" w:after="283"/>
              <w:jc w:val="right"/>
              <w:rPr>
                <w:rFonts w:ascii="times" w:hAnsi="times"/>
                <w:sz w:val="14"/>
              </w:rPr>
            </w:pPr>
            <w:r>
              <w:rPr>
                <w:rFonts w:ascii="times" w:hAnsi="times"/>
                <w:sz w:val="14"/>
              </w:rPr>
              <w:t></w:t>
            </w:r>
          </w:p>
        </w:tc>
        <w:tc>
          <w:tcPr>
            <w:tcW w:w="163"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860" w:type="dxa"/>
            <w:tcBorders/>
            <w:shd w:fill="auto" w:val="clear"/>
            <w:vAlign w:val="bottom"/>
          </w:tcPr>
          <w:p>
            <w:pPr>
              <w:pStyle w:val="TableContents"/>
              <w:spacing w:before="0" w:after="283"/>
              <w:jc w:val="right"/>
              <w:rPr>
                <w:rFonts w:ascii="times" w:hAnsi="times"/>
                <w:sz w:val="14"/>
              </w:rPr>
            </w:pPr>
            <w:r>
              <w:rPr>
                <w:rFonts w:ascii="times" w:hAnsi="times"/>
                <w:sz w:val="14"/>
              </w:rPr>
              <w:t>7,232</w:t>
            </w:r>
          </w:p>
        </w:tc>
        <w:tc>
          <w:tcPr>
            <w:tcW w:w="163"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860" w:type="dxa"/>
            <w:tcBorders/>
            <w:shd w:fill="auto" w:val="clear"/>
            <w:vAlign w:val="bottom"/>
          </w:tcPr>
          <w:p>
            <w:pPr>
              <w:pStyle w:val="TableContents"/>
              <w:spacing w:before="0" w:after="283"/>
              <w:jc w:val="right"/>
              <w:rPr>
                <w:rFonts w:ascii="times" w:hAnsi="times"/>
                <w:sz w:val="14"/>
              </w:rPr>
            </w:pPr>
            <w:r>
              <w:rPr>
                <w:rFonts w:ascii="times" w:hAnsi="times"/>
                <w:sz w:val="14"/>
              </w:rPr>
              <w:t>20,989</w:t>
            </w:r>
          </w:p>
        </w:tc>
        <w:tc>
          <w:tcPr>
            <w:tcW w:w="163"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859" w:type="dxa"/>
            <w:tcBorders/>
            <w:shd w:fill="auto" w:val="clear"/>
            <w:vAlign w:val="bottom"/>
          </w:tcPr>
          <w:p>
            <w:pPr>
              <w:pStyle w:val="TableContents"/>
              <w:spacing w:before="0" w:after="283"/>
              <w:jc w:val="right"/>
              <w:rPr>
                <w:rFonts w:ascii="times" w:hAnsi="times"/>
                <w:sz w:val="14"/>
              </w:rPr>
            </w:pPr>
            <w:r>
              <w:rPr>
                <w:rFonts w:ascii="times" w:hAnsi="times"/>
                <w:sz w:val="14"/>
              </w:rPr>
              <w:t>31,036</w:t>
            </w:r>
          </w:p>
        </w:tc>
        <w:tc>
          <w:tcPr>
            <w:tcW w:w="177"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860" w:type="dxa"/>
            <w:tcBorders/>
            <w:shd w:fill="auto" w:val="clear"/>
            <w:vAlign w:val="bottom"/>
          </w:tcPr>
          <w:p>
            <w:pPr>
              <w:pStyle w:val="TableContents"/>
              <w:spacing w:before="0" w:after="283"/>
              <w:jc w:val="right"/>
              <w:rPr>
                <w:rFonts w:ascii="times" w:hAnsi="times"/>
                <w:sz w:val="14"/>
              </w:rPr>
            </w:pPr>
            <w:r>
              <w:rPr>
                <w:rFonts w:ascii="times" w:hAnsi="times"/>
                <w:sz w:val="14"/>
              </w:rPr>
              <w:t>30,328</w:t>
            </w:r>
          </w:p>
        </w:tc>
        <w:tc>
          <w:tcPr>
            <w:tcW w:w="182" w:type="dxa"/>
            <w:tcBorders/>
            <w:shd w:fill="auto" w:val="clear"/>
            <w:vAlign w:val="bottom"/>
          </w:tcPr>
          <w:p>
            <w:pPr>
              <w:pStyle w:val="TableContents"/>
              <w:spacing w:before="0" w:after="283"/>
              <w:rPr/>
            </w:pPr>
            <w:r>
              <w:rPr/>
              <w:t> </w:t>
            </w:r>
          </w:p>
        </w:tc>
      </w:tr>
    </w:tbl>
    <w:p>
      <w:pPr>
        <w:pStyle w:val="HorizontalLine"/>
        <w:pBdr>
          <w:bottom w:val="single" w:sz="6" w:space="0" w:color="000000"/>
        </w:pBdr>
        <w:ind w:left="0" w:right="7042" w:hanging="0"/>
        <w:rPr/>
      </w:pPr>
      <w:r>
        <w:rPr/>
      </w:r>
    </w:p>
    <w:p>
      <w:pPr>
        <w:pStyle w:val="ListHeading"/>
        <w:spacing w:before="0" w:after="0"/>
        <w:jc w:val="left"/>
        <w:rPr>
          <w:rFonts w:ascii="times" w:hAnsi="times"/>
          <w:position w:val="5"/>
          <w:sz w:val="11"/>
          <w:sz w:val="14"/>
        </w:rPr>
      </w:pPr>
      <w:r>
        <w:rPr>
          <w:rFonts w:ascii="times" w:hAnsi="times"/>
          <w:position w:val="5"/>
          <w:sz w:val="11"/>
          <w:sz w:val="14"/>
        </w:rPr>
        <w:t>(1)</w:t>
      </w:r>
    </w:p>
    <w:p>
      <w:pPr>
        <w:pStyle w:val="ListContents"/>
        <w:spacing w:before="0" w:after="283"/>
        <w:jc w:val="left"/>
        <w:rPr>
          <w:rFonts w:ascii="times" w:hAnsi="times"/>
          <w:sz w:val="14"/>
        </w:rPr>
      </w:pPr>
      <w:r>
        <w:rPr>
          <w:rFonts w:ascii="times" w:hAnsi="times"/>
          <w:sz w:val="14"/>
        </w:rPr>
        <w:t xml:space="preserve">See Note 19 to our audited consolidated financial statements included in our Annual Report on Form 20-F. </w:t>
      </w:r>
    </w:p>
    <w:p>
      <w:pPr>
        <w:pStyle w:val="ListHeading"/>
        <w:spacing w:before="0" w:after="0"/>
        <w:jc w:val="left"/>
        <w:rPr>
          <w:rFonts w:ascii="times" w:hAnsi="times"/>
          <w:position w:val="5"/>
          <w:sz w:val="11"/>
          <w:sz w:val="14"/>
        </w:rPr>
      </w:pPr>
      <w:r>
        <w:rPr>
          <w:rFonts w:ascii="times" w:hAnsi="times"/>
          <w:position w:val="5"/>
          <w:sz w:val="11"/>
          <w:sz w:val="14"/>
        </w:rPr>
        <w:t>(2)</w:t>
      </w:r>
    </w:p>
    <w:p>
      <w:pPr>
        <w:pStyle w:val="ListContents"/>
        <w:spacing w:before="0" w:after="283"/>
        <w:jc w:val="left"/>
        <w:rPr>
          <w:rFonts w:ascii="times" w:hAnsi="times"/>
          <w:sz w:val="14"/>
        </w:rPr>
      </w:pPr>
      <w:r>
        <w:rPr>
          <w:rFonts w:ascii="times" w:hAnsi="times"/>
          <w:sz w:val="14"/>
        </w:rPr>
        <w:t xml:space="preserve">On August 5, 2016, the Partnership completed an equity offering of 2,750,000 common units. In connection with the offering, the Partnership issued 56,122 general partner units to its general partner in order for GasLog to retain its 2.0% general partner interest. On January 27, 2017, the Partnership completed an equity offering of 3,750,000 common units. In addition, the option to purchase additional units was partially exercised by the underwriter on February 24, 2017, resulting in 120,000 additional units being sold at the same price. In connection with the offering, the Partnership issued 78,980 general partner units to its general partner in order for GasLog to retain its 2.0% general partner interest. Earnings per </w:t>
      </w:r>
    </w:p>
    <w:p>
      <w:pPr>
        <w:pStyle w:val="TextBody"/>
        <w:jc w:val="center"/>
        <w:rPr>
          <w:rFonts w:ascii="times" w:hAnsi="times"/>
          <w:sz w:val="20"/>
        </w:rPr>
      </w:pPr>
      <w:r>
        <w:rPr>
          <w:rFonts w:ascii="times" w:hAnsi="times"/>
          <w:sz w:val="20"/>
        </w:rPr>
        <w:t>S-15</w:t>
      </w:r>
    </w:p>
    <w:p>
      <w:pPr>
        <w:pStyle w:val="HorizontalLine"/>
        <w:pBdr>
          <w:bottom w:val="single" w:sz="20" w:space="0" w:color="808080"/>
        </w:pBdr>
        <w:rPr/>
      </w:pPr>
      <w:r>
        <w:rPr/>
      </w:r>
      <w:r>
        <w:br w:type="page"/>
      </w:r>
    </w:p>
    <w:p>
      <w:pPr>
        <w:pStyle w:val="TextBody"/>
        <w:rPr/>
      </w:pPr>
      <w:hyperlink w:anchor="bE43504A_main_toc">
        <w:bookmarkStart w:id="52" w:name="page_bm43504_1_16"/>
        <w:bookmarkEnd w:id="52"/>
        <w:r>
          <w:rPr>
            <w:rStyle w:val="InternetLink"/>
            <w:rFonts w:ascii="times" w:hAnsi="times"/>
            <w:sz w:val="20"/>
          </w:rPr>
          <w:t>Table of Contents</w:t>
        </w:r>
      </w:hyperlink>
    </w:p>
    <w:p>
      <w:pPr>
        <w:pStyle w:val="TextBody"/>
        <w:numPr>
          <w:ilvl w:val="0"/>
          <w:numId w:val="0"/>
        </w:numPr>
        <w:ind w:left="707" w:hanging="0"/>
        <w:jc w:val="left"/>
        <w:rPr>
          <w:rFonts w:ascii="times" w:hAnsi="times"/>
          <w:sz w:val="14"/>
        </w:rPr>
      </w:pPr>
      <w:r>
        <w:rPr>
          <w:rFonts w:ascii="times" w:hAnsi="times"/>
          <w:sz w:val="14"/>
        </w:rPr>
        <w:t xml:space="preserve">unit is presented for the periods in which the units were outstanding. On May 15, 2017, the Partnership completed an equity offering of 5,750,000 Series A Preference Units. </w:t>
      </w:r>
    </w:p>
    <w:p>
      <w:pPr>
        <w:pStyle w:val="TextBody"/>
        <w:numPr>
          <w:ilvl w:val="0"/>
          <w:numId w:val="0"/>
        </w:numPr>
        <w:ind w:left="707" w:hanging="0"/>
        <w:jc w:val="left"/>
        <w:rPr>
          <w:rFonts w:ascii="times" w:hAnsi="times"/>
          <w:sz w:val="14"/>
        </w:rPr>
      </w:pPr>
      <w:r>
        <w:rPr>
          <w:rFonts w:ascii="times" w:hAnsi="times"/>
          <w:sz w:val="14"/>
        </w:rPr>
        <w:t xml:space="preserve">On May 16, 2017, the subordination period expired, and the 9,822,358 subordinated units held by GasLog converted on a one-for-one basis into common units and now participate pro rata with other common units in distributions for available cash. </w:t>
      </w:r>
    </w:p>
    <w:p>
      <w:pPr>
        <w:pStyle w:val="TextBody"/>
        <w:numPr>
          <w:ilvl w:val="0"/>
          <w:numId w:val="0"/>
        </w:numPr>
        <w:ind w:left="707" w:hanging="0"/>
        <w:jc w:val="left"/>
        <w:rPr>
          <w:rFonts w:ascii="times" w:hAnsi="times"/>
          <w:sz w:val="14"/>
        </w:rPr>
      </w:pPr>
      <w:r>
        <w:rPr>
          <w:rFonts w:ascii="times" w:hAnsi="times"/>
          <w:sz w:val="14"/>
        </w:rPr>
        <w:t xml:space="preserve">Also, on May 16, 2017, GasLog Partners entered into an Equity Distribution Agreement (the "Equity Distribution Agreement") under which the Partnership may, from time to time, raise equity through the ATM Programme having an aggregate offering price of up to $100.0 million. On November 3, 2017, the Partnership entered into the Amended and Restated Equity Distribution Agreement to increase the size of the ATM Programme from $100.0 million to $144.0 million. On January 17, 2018, the Partnership completed an equity offering of 4,600,000 Series B Preference Units. On July 26, 2018, the Partnership entered into the Second Amended and Restated Equity Distribution Agreement to register its ATM Programme, which had previously been registered under a shelf registration statement that expired in June 2018, under a shelf registration statement declared effective by the SEC on October 10, 2017. On November 15, 2018, the Partnership completed an equity offering of 4,000,000 Series C Preference Units. On February 26, 2019, the Partnership entered into the Third Amended and Restated Equity Distribution Agreement to increase the size of the ATM Programme from $144.0 million to $250.0 million. Since the commencement of the ATM Programme through December 31, 2020, GasLog Partners has issued and received payment for a total of 5,291,304 common units. In connection with the issuance of common units under the Equity Distribution Agreement during this period, the Partnership also issued 107,987 general partner units to its general partner in order for GasLog to retain its 2.0% general partner interest. </w:t>
      </w:r>
    </w:p>
    <w:p>
      <w:pPr>
        <w:pStyle w:val="TextBody"/>
        <w:numPr>
          <w:ilvl w:val="0"/>
          <w:numId w:val="0"/>
        </w:numPr>
        <w:ind w:left="707" w:hanging="0"/>
        <w:jc w:val="left"/>
        <w:rPr>
          <w:rFonts w:ascii="times" w:hAnsi="times"/>
          <w:sz w:val="14"/>
        </w:rPr>
      </w:pPr>
      <w:r>
        <w:rPr>
          <w:rFonts w:ascii="times" w:hAnsi="times"/>
          <w:sz w:val="14"/>
        </w:rPr>
        <w:t xml:space="preserve">On January 29, 2019, the board of directors of GasLog Partners authorized a unit repurchase programme of up to $25.0 million covering the period from January 31, 2019 to December 31, 2021. Under the terms of the repurchase programme, GasLog Partners may repurchase common units from time to time, at its discretion, on the open market or in privately negotiated transactions. On February 5, 2020, the board of directors of GasLog Partners authorized a renewal of the unit repurchase programme taking the total authority outstanding under the programme to $25.0 million, to be utilized from February 10, 2020 to December 31, 2021. Since the authorization of the unit repurchase programme and through December 31, 2020, GasLog Partners has repurchased and cancelled a total of 1,363,062 common units at a weighted average price of $17.50 per common unit for a total amount of $23.9 million, including commissions. </w:t>
      </w:r>
    </w:p>
    <w:p>
      <w:pPr>
        <w:pStyle w:val="TextBody"/>
        <w:numPr>
          <w:ilvl w:val="0"/>
          <w:numId w:val="0"/>
        </w:numPr>
        <w:ind w:left="707" w:hanging="0"/>
        <w:jc w:val="left"/>
        <w:rPr>
          <w:rFonts w:ascii="times" w:hAnsi="times"/>
          <w:sz w:val="14"/>
        </w:rPr>
      </w:pPr>
      <w:r>
        <w:rPr>
          <w:rFonts w:ascii="times" w:hAnsi="times"/>
          <w:sz w:val="14"/>
        </w:rPr>
        <w:t xml:space="preserve">On June 24, 2019, the Partnership Agreement was amended to eliminate the IDRs, effective as of June 30, 2019, in exchange for the issuance by the Partnership to GasLog of 2,532,911 common units and 2,490,000 Class B units (of which 415,000 are Class B-1 units, 415,000 are Class B-2 units, 415,000 are Class B-3 units, 415,000 are Class B-4 units, 415,000 are Class B-5 units and 415,000 are Class B-6 units), issued on June 30, 2019. In the year ended December 31, 2019, the Partnership also issued 93,804 general partner units to its general partner in order for GasLog to retain its 2.0% general partner interest. On July 1, 2020, GasLog Partners issued 415,000 common units in connection with GasLog's option to convert the first tranche of its Class B units. The remaining Class B units will become eligible for conversion on a one-for-one basis into common units at GasLog's option on July 1, 2021, July 1, 2022, July 1, 2023, July 1, 2024 and July 1, 2025 for the Class B-2 units, Class B-3 units, Class B-4 units, Class B-5 units and Class B-6 units, respectively. Class B units are not included in the calculation of Diluted EPU for the year ended December 31, 2019, because their effect would be anti-dilutive. </w:t>
      </w:r>
    </w:p>
    <w:p>
      <w:pPr>
        <w:pStyle w:val="ListHeading"/>
        <w:spacing w:before="0" w:after="0"/>
        <w:jc w:val="left"/>
        <w:rPr>
          <w:rFonts w:ascii="times" w:hAnsi="times"/>
          <w:position w:val="5"/>
          <w:sz w:val="11"/>
          <w:sz w:val="14"/>
        </w:rPr>
      </w:pPr>
      <w:r>
        <w:rPr>
          <w:rFonts w:ascii="times" w:hAnsi="times"/>
          <w:position w:val="5"/>
          <w:sz w:val="11"/>
          <w:sz w:val="14"/>
        </w:rPr>
        <w:t>(3)</w:t>
      </w:r>
    </w:p>
    <w:p>
      <w:pPr>
        <w:pStyle w:val="ListContents"/>
        <w:spacing w:before="0" w:after="283"/>
        <w:jc w:val="left"/>
        <w:rPr>
          <w:rFonts w:ascii="times" w:hAnsi="times"/>
          <w:sz w:val="14"/>
        </w:rPr>
      </w:pPr>
      <w:r>
        <w:rPr>
          <w:rFonts w:ascii="times" w:hAnsi="times"/>
          <w:sz w:val="14"/>
        </w:rPr>
        <w:t xml:space="preserve">Upon the expiration of the subordination period, which occurred on May 16, 2017, the 9,822,358 subordinated units held by GasLog converted on a one-for-one basis into common units and now participate pro rata with other common units in distributions of available cash. Consequently, earnings have been allocated to subordinated units and the weighted average number of subordinated units has been calculated only for the applicable period in 2017 during which they were entitled to distributions based on the Partnership Agreement, i.e., for the three months ended March 31, 2017. </w:t>
      </w:r>
    </w:p>
    <w:p>
      <w:pPr>
        <w:pStyle w:val="ListHeading"/>
        <w:spacing w:before="0" w:after="0"/>
        <w:jc w:val="left"/>
        <w:rPr>
          <w:rFonts w:ascii="times" w:hAnsi="times"/>
          <w:position w:val="5"/>
          <w:sz w:val="11"/>
          <w:sz w:val="14"/>
        </w:rPr>
      </w:pPr>
      <w:r>
        <w:rPr>
          <w:rFonts w:ascii="times" w:hAnsi="times"/>
          <w:position w:val="5"/>
          <w:sz w:val="11"/>
          <w:sz w:val="14"/>
        </w:rPr>
        <w:t>(4)</w:t>
      </w:r>
    </w:p>
    <w:p>
      <w:pPr>
        <w:pStyle w:val="ListContents"/>
        <w:spacing w:before="0" w:after="283"/>
        <w:jc w:val="left"/>
        <w:rPr>
          <w:rFonts w:ascii="times" w:hAnsi="times"/>
          <w:sz w:val="14"/>
        </w:rPr>
      </w:pPr>
      <w:r>
        <w:rPr>
          <w:rFonts w:ascii="times" w:hAnsi="times"/>
          <w:sz w:val="14"/>
        </w:rPr>
        <w:t xml:space="preserve">The revenue operating days for our fleet are the total available days after deducting unchartered days. Available days represent the total number of days in a given period that the vessels were in our possession after deducting the total number of days off-hire not recoverable from the insurers and unavailable days (i.e. periods of commercial waiting time during which we do not earn charter hire, such as days before and after a dry-docking where the vessel has limited ability for chartering opportunities). We define days off-hire as days lost to, among other things, operational deficiencies, dry-docking for repairs, maintenance or inspection, equipment breakdowns, special surveys and vessel upgrades, delays due to accidents, crew strikes, certain vessel detentions or similar problems, or our failure to maintain the vessel in compliance with its specifications and contractual standards or to provide the required crew. </w:t>
      </w:r>
    </w:p>
    <w:p>
      <w:pPr>
        <w:pStyle w:val="ListHeading"/>
        <w:spacing w:before="0" w:after="0"/>
        <w:jc w:val="left"/>
        <w:rPr>
          <w:rFonts w:ascii="times" w:hAnsi="times"/>
          <w:b/>
          <w:position w:val="5"/>
          <w:sz w:val="11"/>
          <w:sz w:val="14"/>
        </w:rPr>
      </w:pPr>
      <w:r>
        <w:rPr>
          <w:rFonts w:ascii="times" w:hAnsi="times"/>
          <w:b/>
          <w:position w:val="5"/>
          <w:sz w:val="11"/>
          <w:sz w:val="14"/>
        </w:rPr>
        <w:t>(5)</w:t>
      </w:r>
    </w:p>
    <w:p>
      <w:pPr>
        <w:pStyle w:val="ListContents"/>
        <w:spacing w:before="0" w:after="283"/>
        <w:jc w:val="left"/>
        <w:rPr>
          <w:rFonts w:ascii="times" w:hAnsi="times"/>
        </w:rPr>
      </w:pPr>
      <w:r>
        <w:rPr>
          <w:rFonts w:ascii="times" w:hAnsi="times"/>
          <w:b/>
          <w:sz w:val="14"/>
        </w:rPr>
        <w:t>Non-GAAP Financial Measures</w:t>
      </w:r>
      <w:r>
        <w:rPr>
          <w:rFonts w:ascii="times" w:hAnsi="times"/>
        </w:rPr>
        <w:t xml:space="preserve"> </w:t>
      </w:r>
    </w:p>
    <w:p>
      <w:pPr>
        <w:pStyle w:val="ListContents"/>
        <w:spacing w:before="0" w:after="283"/>
        <w:jc w:val="left"/>
        <w:rPr>
          <w:rFonts w:ascii="times" w:hAnsi="times"/>
        </w:rPr>
      </w:pPr>
      <w:r>
        <w:rPr>
          <w:rFonts w:ascii="times" w:hAnsi="times"/>
          <w:b/>
          <w:i/>
          <w:sz w:val="14"/>
        </w:rPr>
        <w:t>Partnership Performance Results.</w:t>
      </w:r>
      <w:r>
        <w:rPr>
          <w:rFonts w:ascii="times" w:hAnsi="times"/>
        </w:rPr>
        <w:t xml:space="preserve"> </w:t>
      </w:r>
      <w:r>
        <w:rPr>
          <w:rFonts w:ascii="times" w:hAnsi="times"/>
          <w:sz w:val="14"/>
        </w:rPr>
        <w:t xml:space="preserve">As described above, our IFRS Common Control Reported Results are derived from the consolidated financial statements of the Partnership. </w:t>
      </w:r>
    </w:p>
    <w:p>
      <w:pPr>
        <w:pStyle w:val="ListContents"/>
        <w:spacing w:before="0" w:after="283"/>
        <w:jc w:val="left"/>
        <w:rPr>
          <w:rFonts w:ascii="times" w:hAnsi="times"/>
        </w:rPr>
      </w:pPr>
      <w:r>
        <w:rPr>
          <w:rFonts w:ascii="times" w:hAnsi="times"/>
          <w:sz w:val="14"/>
        </w:rPr>
        <w:t xml:space="preserve">Our Partnership Performance Results presented above and below are non-GAAP measures and exclude amounts related to GAS-seven Ltd., (the owner of the </w:t>
      </w:r>
      <w:r>
        <w:rPr>
          <w:rFonts w:ascii="times" w:hAnsi="times"/>
          <w:i/>
          <w:sz w:val="14"/>
        </w:rPr>
        <w:t>GasLog Seattle</w:t>
      </w:r>
      <w:r>
        <w:rPr>
          <w:rFonts w:ascii="times" w:hAnsi="times"/>
          <w:sz w:val="14"/>
        </w:rPr>
        <w:t xml:space="preserve">) for the period prior to its transfer to the Partnership on November 1, 2016, the amounts related to GAS-eleven Ltd., (the owner of the </w:t>
      </w:r>
      <w:r>
        <w:rPr>
          <w:rFonts w:ascii="times" w:hAnsi="times"/>
          <w:i/>
          <w:sz w:val="14"/>
        </w:rPr>
        <w:t>GasLog Greece</w:t>
      </w:r>
      <w:r>
        <w:rPr>
          <w:rFonts w:ascii="times" w:hAnsi="times"/>
          <w:sz w:val="14"/>
        </w:rPr>
        <w:t xml:space="preserve">) for the period prior to its transfer to the </w:t>
      </w:r>
    </w:p>
    <w:p>
      <w:pPr>
        <w:pStyle w:val="TextBody"/>
        <w:jc w:val="center"/>
        <w:rPr>
          <w:rFonts w:ascii="times" w:hAnsi="times"/>
          <w:sz w:val="20"/>
        </w:rPr>
      </w:pPr>
      <w:r>
        <w:rPr>
          <w:rFonts w:ascii="times" w:hAnsi="times"/>
          <w:sz w:val="20"/>
        </w:rPr>
        <w:t>S-16</w:t>
      </w:r>
    </w:p>
    <w:p>
      <w:pPr>
        <w:pStyle w:val="HorizontalLine"/>
        <w:pBdr>
          <w:bottom w:val="single" w:sz="20" w:space="0" w:color="808080"/>
        </w:pBdr>
        <w:rPr/>
      </w:pPr>
      <w:r>
        <w:rPr/>
      </w:r>
      <w:r>
        <w:br w:type="page"/>
      </w:r>
    </w:p>
    <w:p>
      <w:pPr>
        <w:pStyle w:val="TextBody"/>
        <w:rPr/>
      </w:pPr>
      <w:hyperlink w:anchor="bE43504A_main_toc">
        <w:bookmarkStart w:id="53" w:name="page_bm43504_1_17"/>
        <w:bookmarkEnd w:id="53"/>
        <w:r>
          <w:rPr>
            <w:rStyle w:val="InternetLink"/>
            <w:rFonts w:ascii="times" w:hAnsi="times"/>
            <w:sz w:val="20"/>
          </w:rPr>
          <w:t>Table of Contents</w:t>
        </w:r>
      </w:hyperlink>
    </w:p>
    <w:p>
      <w:pPr>
        <w:pStyle w:val="TextBody"/>
        <w:numPr>
          <w:ilvl w:val="0"/>
          <w:numId w:val="0"/>
        </w:numPr>
        <w:ind w:left="707" w:hanging="0"/>
        <w:jc w:val="left"/>
        <w:rPr>
          <w:rFonts w:ascii="times" w:hAnsi="times"/>
        </w:rPr>
      </w:pPr>
      <w:r>
        <w:rPr>
          <w:rFonts w:ascii="times" w:hAnsi="times"/>
          <w:sz w:val="14"/>
        </w:rPr>
        <w:t xml:space="preserve">Partnership on May 3, 2017, the amounts related to GAS-thirteen Ltd., (the owner of the </w:t>
      </w:r>
      <w:r>
        <w:rPr>
          <w:rFonts w:ascii="times" w:hAnsi="times"/>
          <w:i/>
          <w:sz w:val="14"/>
        </w:rPr>
        <w:t>GasLog Geneva</w:t>
      </w:r>
      <w:r>
        <w:rPr>
          <w:rFonts w:ascii="times" w:hAnsi="times"/>
          <w:sz w:val="14"/>
        </w:rPr>
        <w:t xml:space="preserve">) for the period prior to its transfer to the Partnership on July 3, 2017, the amounts related to GAS-eight Ltd., (the owner of the </w:t>
      </w:r>
      <w:r>
        <w:rPr>
          <w:rFonts w:ascii="times" w:hAnsi="times"/>
          <w:i/>
          <w:sz w:val="14"/>
        </w:rPr>
        <w:t>Solaris</w:t>
      </w:r>
      <w:r>
        <w:rPr>
          <w:rFonts w:ascii="times" w:hAnsi="times"/>
          <w:sz w:val="14"/>
        </w:rPr>
        <w:t xml:space="preserve">) for the period prior to its transfer to the Partnership on October 20, 2017, the amounts related to GAS-fourteen Ltd., (the owner of the </w:t>
      </w:r>
      <w:r>
        <w:rPr>
          <w:rFonts w:ascii="times" w:hAnsi="times"/>
          <w:i/>
          <w:sz w:val="14"/>
        </w:rPr>
        <w:t>GasLog Gibraltar</w:t>
      </w:r>
      <w:r>
        <w:rPr>
          <w:rFonts w:ascii="times" w:hAnsi="times"/>
          <w:sz w:val="14"/>
        </w:rPr>
        <w:t xml:space="preserve">) for the period prior to its transfer to the Partnership on April 26, 2018, the amounts related to GAS-twenty seven Ltd., (the owner of the </w:t>
      </w:r>
      <w:r>
        <w:rPr>
          <w:rFonts w:ascii="times" w:hAnsi="times"/>
          <w:i/>
          <w:sz w:val="14"/>
        </w:rPr>
        <w:t>Methane Becki Anne</w:t>
      </w:r>
      <w:r>
        <w:rPr>
          <w:rFonts w:ascii="times" w:hAnsi="times"/>
          <w:sz w:val="14"/>
        </w:rPr>
        <w:t xml:space="preserve">) for the period prior to its transfer on November 14, 2018 and the amounts related to GAS-twelve Ltd., (the owner of the </w:t>
      </w:r>
      <w:r>
        <w:rPr>
          <w:rFonts w:ascii="times" w:hAnsi="times"/>
          <w:i/>
          <w:sz w:val="14"/>
        </w:rPr>
        <w:t>GasLog Glasgow</w:t>
      </w:r>
      <w:r>
        <w:rPr>
          <w:rFonts w:ascii="times" w:hAnsi="times"/>
          <w:sz w:val="14"/>
        </w:rPr>
        <w:t xml:space="preserve">) for the period prior to its transfer to the Partnership on April 1, 2019. While such amounts are reflected in the Partnership's reported financial statements because the transfers to the Partnership were accounted for as a reorganization of entities under common control under IFRS, the above mentioned entities were not owned by the Partnership prior to their transfers to the Partnership on the respective dates, and accordingly the Partnership was not entitled to the cash or results generated in the period prior to such transfers. </w:t>
      </w:r>
    </w:p>
    <w:p>
      <w:pPr>
        <w:pStyle w:val="TextBody"/>
        <w:numPr>
          <w:ilvl w:val="0"/>
          <w:numId w:val="0"/>
        </w:numPr>
        <w:ind w:left="707" w:hanging="0"/>
        <w:jc w:val="left"/>
        <w:rPr>
          <w:rFonts w:ascii="times" w:hAnsi="times"/>
          <w:sz w:val="14"/>
        </w:rPr>
      </w:pPr>
      <w:r>
        <w:rPr>
          <w:rFonts w:ascii="times" w:hAnsi="times"/>
          <w:sz w:val="14"/>
        </w:rPr>
        <w:t xml:space="preserve">Amounts reflected in the Partnership's consolidated financial statements for the year ended December 31, 2020 are fully attributable to the Partnership. The Partnership Performance Results reported for the year ended December 31, 2020 are the same as the IFRS Common Control Reported Results for the year, since there were no vessel acquisitions from GasLog during the period, which would have resulted in retrospective adjustment of the historical financial statements. The Partnership Performance Results are non-GAAP financial measures. GasLog Partners believes that these financial measures provide meaningful supplemental information to both management and investors regarding the financial and operating performance of the Partnership because such presentation is consistent with the calculation of the quarterly distribution and the earnings per unit, which similarly exclude the results of vessels prior to their transfer to the Partnership. These non-GAAP financial measures should not be viewed in isolation or as substitutes for the equivalent GAAP measures presented in accordance with IFRS, but should be used in conjunction with the most directly comparable IFRS Common Control Reported Results. </w:t>
      </w:r>
    </w:p>
    <w:p>
      <w:pPr>
        <w:pStyle w:val="TextBody"/>
        <w:jc w:val="left"/>
        <w:rPr>
          <w:rFonts w:ascii="times" w:hAnsi="times"/>
          <w:b/>
          <w:sz w:val="20"/>
        </w:rPr>
      </w:pPr>
      <w:r>
        <w:rPr>
          <w:rFonts w:ascii="times" w:hAnsi="times"/>
          <w:b/>
          <w:sz w:val="20"/>
        </w:rPr>
        <w:t>Reconciliation of Partnership Performance Results to IFRS Common Control Reported Results in our Financial Statements:</w:t>
      </w:r>
    </w:p>
    <w:tbl>
      <w:tblPr>
        <w:tblW w:w="5000" w:type="pct"/>
        <w:jc w:val="center"/>
        <w:tblInd w:w="0" w:type="dxa"/>
        <w:tblCellMar>
          <w:top w:w="0" w:type="dxa"/>
          <w:left w:w="0" w:type="dxa"/>
          <w:bottom w:w="0" w:type="dxa"/>
          <w:right w:w="0" w:type="dxa"/>
        </w:tblCellMar>
      </w:tblPr>
      <w:tblGrid>
        <w:gridCol w:w="1753"/>
        <w:gridCol w:w="145"/>
        <w:gridCol w:w="95"/>
        <w:gridCol w:w="723"/>
        <w:gridCol w:w="146"/>
        <w:gridCol w:w="95"/>
        <w:gridCol w:w="760"/>
        <w:gridCol w:w="146"/>
        <w:gridCol w:w="95"/>
        <w:gridCol w:w="560"/>
        <w:gridCol w:w="146"/>
        <w:gridCol w:w="95"/>
        <w:gridCol w:w="723"/>
        <w:gridCol w:w="145"/>
        <w:gridCol w:w="95"/>
        <w:gridCol w:w="760"/>
        <w:gridCol w:w="146"/>
        <w:gridCol w:w="95"/>
        <w:gridCol w:w="560"/>
        <w:gridCol w:w="146"/>
        <w:gridCol w:w="95"/>
        <w:gridCol w:w="723"/>
        <w:gridCol w:w="146"/>
        <w:gridCol w:w="95"/>
        <w:gridCol w:w="760"/>
        <w:gridCol w:w="146"/>
        <w:gridCol w:w="95"/>
        <w:gridCol w:w="560"/>
        <w:gridCol w:w="156"/>
      </w:tblGrid>
      <w:tr>
        <w:trPr/>
        <w:tc>
          <w:tcPr>
            <w:tcW w:w="1753" w:type="dxa"/>
            <w:tcBorders/>
            <w:shd w:fill="auto" w:val="clear"/>
            <w:vAlign w:val="center"/>
          </w:tcPr>
          <w:p>
            <w:pPr>
              <w:pStyle w:val="TableContents"/>
              <w:spacing w:before="0" w:after="283"/>
              <w:rPr>
                <w:sz w:val="4"/>
                <w:szCs w:val="4"/>
              </w:rPr>
            </w:pPr>
            <w:r>
              <w:rPr>
                <w:sz w:val="4"/>
                <w:szCs w:val="4"/>
              </w:rPr>
            </w:r>
          </w:p>
        </w:tc>
        <w:tc>
          <w:tcPr>
            <w:tcW w:w="145" w:type="dxa"/>
            <w:tcBorders/>
            <w:shd w:fill="auto" w:val="clear"/>
            <w:vAlign w:val="center"/>
          </w:tcPr>
          <w:p>
            <w:pPr>
              <w:pStyle w:val="TableContents"/>
              <w:spacing w:before="0" w:after="283"/>
              <w:rPr>
                <w:sz w:val="4"/>
                <w:szCs w:val="4"/>
              </w:rPr>
            </w:pPr>
            <w:r>
              <w:rPr>
                <w:sz w:val="4"/>
                <w:szCs w:val="4"/>
              </w:rPr>
            </w:r>
          </w:p>
        </w:tc>
        <w:tc>
          <w:tcPr>
            <w:tcW w:w="95" w:type="dxa"/>
            <w:tcBorders/>
            <w:shd w:fill="auto" w:val="clear"/>
            <w:vAlign w:val="center"/>
          </w:tcPr>
          <w:p>
            <w:pPr>
              <w:pStyle w:val="TableContents"/>
              <w:spacing w:before="0" w:after="283"/>
              <w:rPr>
                <w:sz w:val="4"/>
                <w:szCs w:val="4"/>
              </w:rPr>
            </w:pPr>
            <w:r>
              <w:rPr>
                <w:sz w:val="4"/>
                <w:szCs w:val="4"/>
              </w:rPr>
            </w:r>
          </w:p>
        </w:tc>
        <w:tc>
          <w:tcPr>
            <w:tcW w:w="723"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95" w:type="dxa"/>
            <w:tcBorders/>
            <w:shd w:fill="auto" w:val="clear"/>
            <w:vAlign w:val="center"/>
          </w:tcPr>
          <w:p>
            <w:pPr>
              <w:pStyle w:val="TableContents"/>
              <w:spacing w:before="0" w:after="283"/>
              <w:rPr>
                <w:sz w:val="4"/>
                <w:szCs w:val="4"/>
              </w:rPr>
            </w:pPr>
            <w:r>
              <w:rPr>
                <w:sz w:val="4"/>
                <w:szCs w:val="4"/>
              </w:rPr>
            </w:r>
          </w:p>
        </w:tc>
        <w:tc>
          <w:tcPr>
            <w:tcW w:w="760"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95" w:type="dxa"/>
            <w:tcBorders/>
            <w:shd w:fill="auto" w:val="clear"/>
            <w:vAlign w:val="center"/>
          </w:tcPr>
          <w:p>
            <w:pPr>
              <w:pStyle w:val="TableContents"/>
              <w:spacing w:before="0" w:after="283"/>
              <w:rPr>
                <w:sz w:val="4"/>
                <w:szCs w:val="4"/>
              </w:rPr>
            </w:pPr>
            <w:r>
              <w:rPr>
                <w:sz w:val="4"/>
                <w:szCs w:val="4"/>
              </w:rPr>
            </w:r>
          </w:p>
        </w:tc>
        <w:tc>
          <w:tcPr>
            <w:tcW w:w="560"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95" w:type="dxa"/>
            <w:tcBorders/>
            <w:shd w:fill="auto" w:val="clear"/>
            <w:vAlign w:val="center"/>
          </w:tcPr>
          <w:p>
            <w:pPr>
              <w:pStyle w:val="TableContents"/>
              <w:spacing w:before="0" w:after="283"/>
              <w:rPr>
                <w:sz w:val="4"/>
                <w:szCs w:val="4"/>
              </w:rPr>
            </w:pPr>
            <w:r>
              <w:rPr>
                <w:sz w:val="4"/>
                <w:szCs w:val="4"/>
              </w:rPr>
            </w:r>
          </w:p>
        </w:tc>
        <w:tc>
          <w:tcPr>
            <w:tcW w:w="723" w:type="dxa"/>
            <w:tcBorders/>
            <w:shd w:fill="auto" w:val="clear"/>
            <w:vAlign w:val="center"/>
          </w:tcPr>
          <w:p>
            <w:pPr>
              <w:pStyle w:val="TableContents"/>
              <w:spacing w:before="0" w:after="283"/>
              <w:rPr>
                <w:sz w:val="4"/>
                <w:szCs w:val="4"/>
              </w:rPr>
            </w:pPr>
            <w:r>
              <w:rPr>
                <w:sz w:val="4"/>
                <w:szCs w:val="4"/>
              </w:rPr>
            </w:r>
          </w:p>
        </w:tc>
        <w:tc>
          <w:tcPr>
            <w:tcW w:w="145" w:type="dxa"/>
            <w:tcBorders/>
            <w:shd w:fill="auto" w:val="clear"/>
            <w:vAlign w:val="center"/>
          </w:tcPr>
          <w:p>
            <w:pPr>
              <w:pStyle w:val="TableContents"/>
              <w:spacing w:before="0" w:after="283"/>
              <w:rPr>
                <w:sz w:val="4"/>
                <w:szCs w:val="4"/>
              </w:rPr>
            </w:pPr>
            <w:r>
              <w:rPr>
                <w:sz w:val="4"/>
                <w:szCs w:val="4"/>
              </w:rPr>
            </w:r>
          </w:p>
        </w:tc>
        <w:tc>
          <w:tcPr>
            <w:tcW w:w="95" w:type="dxa"/>
            <w:tcBorders/>
            <w:shd w:fill="auto" w:val="clear"/>
            <w:vAlign w:val="center"/>
          </w:tcPr>
          <w:p>
            <w:pPr>
              <w:pStyle w:val="TableContents"/>
              <w:spacing w:before="0" w:after="283"/>
              <w:rPr>
                <w:sz w:val="4"/>
                <w:szCs w:val="4"/>
              </w:rPr>
            </w:pPr>
            <w:r>
              <w:rPr>
                <w:sz w:val="4"/>
                <w:szCs w:val="4"/>
              </w:rPr>
            </w:r>
          </w:p>
        </w:tc>
        <w:tc>
          <w:tcPr>
            <w:tcW w:w="760"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95" w:type="dxa"/>
            <w:tcBorders/>
            <w:shd w:fill="auto" w:val="clear"/>
            <w:vAlign w:val="center"/>
          </w:tcPr>
          <w:p>
            <w:pPr>
              <w:pStyle w:val="TableContents"/>
              <w:spacing w:before="0" w:after="283"/>
              <w:rPr>
                <w:sz w:val="4"/>
                <w:szCs w:val="4"/>
              </w:rPr>
            </w:pPr>
            <w:r>
              <w:rPr>
                <w:sz w:val="4"/>
                <w:szCs w:val="4"/>
              </w:rPr>
            </w:r>
          </w:p>
        </w:tc>
        <w:tc>
          <w:tcPr>
            <w:tcW w:w="560"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95" w:type="dxa"/>
            <w:tcBorders/>
            <w:shd w:fill="auto" w:val="clear"/>
            <w:vAlign w:val="center"/>
          </w:tcPr>
          <w:p>
            <w:pPr>
              <w:pStyle w:val="TableContents"/>
              <w:spacing w:before="0" w:after="283"/>
              <w:rPr>
                <w:sz w:val="4"/>
                <w:szCs w:val="4"/>
              </w:rPr>
            </w:pPr>
            <w:r>
              <w:rPr>
                <w:sz w:val="4"/>
                <w:szCs w:val="4"/>
              </w:rPr>
            </w:r>
          </w:p>
        </w:tc>
        <w:tc>
          <w:tcPr>
            <w:tcW w:w="723"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95" w:type="dxa"/>
            <w:tcBorders/>
            <w:shd w:fill="auto" w:val="clear"/>
            <w:vAlign w:val="center"/>
          </w:tcPr>
          <w:p>
            <w:pPr>
              <w:pStyle w:val="TableContents"/>
              <w:spacing w:before="0" w:after="283"/>
              <w:rPr>
                <w:sz w:val="4"/>
                <w:szCs w:val="4"/>
              </w:rPr>
            </w:pPr>
            <w:r>
              <w:rPr>
                <w:sz w:val="4"/>
                <w:szCs w:val="4"/>
              </w:rPr>
            </w:r>
          </w:p>
        </w:tc>
        <w:tc>
          <w:tcPr>
            <w:tcW w:w="760"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95" w:type="dxa"/>
            <w:tcBorders/>
            <w:shd w:fill="auto" w:val="clear"/>
            <w:vAlign w:val="center"/>
          </w:tcPr>
          <w:p>
            <w:pPr>
              <w:pStyle w:val="TableContents"/>
              <w:spacing w:before="0" w:after="283"/>
              <w:rPr>
                <w:sz w:val="4"/>
                <w:szCs w:val="4"/>
              </w:rPr>
            </w:pPr>
            <w:r>
              <w:rPr>
                <w:sz w:val="4"/>
                <w:szCs w:val="4"/>
              </w:rPr>
            </w:r>
          </w:p>
        </w:tc>
        <w:tc>
          <w:tcPr>
            <w:tcW w:w="560"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1753" w:type="dxa"/>
            <w:tcBorders/>
            <w:shd w:fill="auto" w:val="clear"/>
            <w:vAlign w:val="bottom"/>
          </w:tcPr>
          <w:p>
            <w:pPr>
              <w:pStyle w:val="TableHeading"/>
              <w:spacing w:before="0" w:after="283"/>
              <w:jc w:val="left"/>
              <w:rPr/>
            </w:pPr>
            <w:r>
              <w:rPr/>
              <w:t> </w:t>
            </w:r>
          </w:p>
        </w:tc>
        <w:tc>
          <w:tcPr>
            <w:tcW w:w="145" w:type="dxa"/>
            <w:tcBorders/>
            <w:shd w:fill="auto" w:val="clear"/>
            <w:vAlign w:val="bottom"/>
          </w:tcPr>
          <w:p>
            <w:pPr>
              <w:pStyle w:val="TableHeading"/>
              <w:suppressLineNumbers/>
              <w:spacing w:before="0" w:after="283"/>
              <w:jc w:val="center"/>
              <w:rPr/>
            </w:pPr>
            <w:r>
              <w:rPr/>
              <w:t> </w:t>
            </w:r>
          </w:p>
        </w:tc>
        <w:tc>
          <w:tcPr>
            <w:tcW w:w="2620" w:type="dxa"/>
            <w:gridSpan w:val="8"/>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Year ended December 31, 2016 </w:t>
            </w:r>
          </w:p>
        </w:tc>
        <w:tc>
          <w:tcPr>
            <w:tcW w:w="146" w:type="dxa"/>
            <w:tcBorders/>
            <w:shd w:fill="auto" w:val="clear"/>
            <w:vAlign w:val="bottom"/>
          </w:tcPr>
          <w:p>
            <w:pPr>
              <w:pStyle w:val="TableHeading"/>
              <w:suppressLineNumbers/>
              <w:spacing w:before="0" w:after="283"/>
              <w:jc w:val="center"/>
              <w:rPr/>
            </w:pPr>
            <w:r>
              <w:rPr/>
              <w:t> </w:t>
            </w:r>
          </w:p>
        </w:tc>
        <w:tc>
          <w:tcPr>
            <w:tcW w:w="2619" w:type="dxa"/>
            <w:gridSpan w:val="8"/>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Year ended December 31, 2017 </w:t>
            </w:r>
          </w:p>
        </w:tc>
        <w:tc>
          <w:tcPr>
            <w:tcW w:w="146" w:type="dxa"/>
            <w:tcBorders/>
            <w:shd w:fill="auto" w:val="clear"/>
            <w:vAlign w:val="bottom"/>
          </w:tcPr>
          <w:p>
            <w:pPr>
              <w:pStyle w:val="TableHeading"/>
              <w:suppressLineNumbers/>
              <w:spacing w:before="0" w:after="283"/>
              <w:jc w:val="center"/>
              <w:rPr/>
            </w:pPr>
            <w:r>
              <w:rPr/>
              <w:t> </w:t>
            </w:r>
          </w:p>
        </w:tc>
        <w:tc>
          <w:tcPr>
            <w:tcW w:w="2620" w:type="dxa"/>
            <w:gridSpan w:val="8"/>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Year ended December 31, 2018 </w:t>
            </w:r>
          </w:p>
        </w:tc>
        <w:tc>
          <w:tcPr>
            <w:tcW w:w="156" w:type="dxa"/>
            <w:tcBorders/>
            <w:shd w:fill="auto" w:val="clear"/>
            <w:vAlign w:val="bottom"/>
          </w:tcPr>
          <w:p>
            <w:pPr>
              <w:pStyle w:val="TableHeading"/>
              <w:suppressLineNumbers/>
              <w:spacing w:before="0" w:after="283"/>
              <w:jc w:val="center"/>
              <w:rPr/>
            </w:pPr>
            <w:r>
              <w:rPr/>
              <w:t> </w:t>
            </w:r>
          </w:p>
        </w:tc>
      </w:tr>
      <w:tr>
        <w:trPr/>
        <w:tc>
          <w:tcPr>
            <w:tcW w:w="1753" w:type="dxa"/>
            <w:tcBorders/>
            <w:shd w:fill="auto" w:val="clear"/>
            <w:vAlign w:val="bottom"/>
          </w:tcPr>
          <w:p>
            <w:pPr>
              <w:pStyle w:val="TableHeading"/>
              <w:spacing w:before="0" w:after="283"/>
              <w:jc w:val="left"/>
              <w:rPr/>
            </w:pPr>
            <w:r>
              <w:rPr/>
              <w:t> </w:t>
            </w:r>
          </w:p>
        </w:tc>
        <w:tc>
          <w:tcPr>
            <w:tcW w:w="145" w:type="dxa"/>
            <w:tcBorders/>
            <w:shd w:fill="auto" w:val="clear"/>
            <w:vAlign w:val="bottom"/>
          </w:tcPr>
          <w:p>
            <w:pPr>
              <w:pStyle w:val="TableHeading"/>
              <w:suppressLineNumbers/>
              <w:spacing w:before="0" w:after="283"/>
              <w:jc w:val="center"/>
              <w:rPr/>
            </w:pPr>
            <w:r>
              <w:rPr/>
              <w:t> </w:t>
            </w:r>
          </w:p>
        </w:tc>
        <w:tc>
          <w:tcPr>
            <w:tcW w:w="818" w:type="dxa"/>
            <w:gridSpan w:val="2"/>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Results</w:t>
              <w:br/>
              <w:t>Attributable</w:t>
              <w:br/>
              <w:t xml:space="preserve">to GasLog </w:t>
            </w:r>
          </w:p>
        </w:tc>
        <w:tc>
          <w:tcPr>
            <w:tcW w:w="146" w:type="dxa"/>
            <w:tcBorders/>
            <w:shd w:fill="auto" w:val="clear"/>
            <w:vAlign w:val="bottom"/>
          </w:tcPr>
          <w:p>
            <w:pPr>
              <w:pStyle w:val="TableHeading"/>
              <w:suppressLineNumbers/>
              <w:spacing w:before="0" w:after="283"/>
              <w:jc w:val="center"/>
              <w:rPr/>
            </w:pPr>
            <w:r>
              <w:rPr/>
              <w:t> </w:t>
            </w:r>
          </w:p>
        </w:tc>
        <w:tc>
          <w:tcPr>
            <w:tcW w:w="855" w:type="dxa"/>
            <w:gridSpan w:val="2"/>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Partnership</w:t>
              <w:br/>
              <w:t>Performance</w:t>
              <w:br/>
              <w:t xml:space="preserve">Results </w:t>
            </w:r>
          </w:p>
        </w:tc>
        <w:tc>
          <w:tcPr>
            <w:tcW w:w="146" w:type="dxa"/>
            <w:tcBorders/>
            <w:shd w:fill="auto" w:val="clear"/>
            <w:vAlign w:val="bottom"/>
          </w:tcPr>
          <w:p>
            <w:pPr>
              <w:pStyle w:val="TableHeading"/>
              <w:suppressLineNumbers/>
              <w:spacing w:before="0" w:after="283"/>
              <w:jc w:val="center"/>
              <w:rPr/>
            </w:pPr>
            <w:r>
              <w:rPr/>
              <w:t> </w:t>
            </w:r>
          </w:p>
        </w:tc>
        <w:tc>
          <w:tcPr>
            <w:tcW w:w="655" w:type="dxa"/>
            <w:gridSpan w:val="2"/>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IFRS</w:t>
              <w:br/>
              <w:t>Common</w:t>
              <w:br/>
              <w:t>Control</w:t>
              <w:br/>
              <w:t>Reported</w:t>
              <w:br/>
              <w:t xml:space="preserve">Results </w:t>
            </w:r>
          </w:p>
        </w:tc>
        <w:tc>
          <w:tcPr>
            <w:tcW w:w="146" w:type="dxa"/>
            <w:tcBorders/>
            <w:shd w:fill="auto" w:val="clear"/>
            <w:vAlign w:val="bottom"/>
          </w:tcPr>
          <w:p>
            <w:pPr>
              <w:pStyle w:val="TableHeading"/>
              <w:suppressLineNumbers/>
              <w:spacing w:before="0" w:after="283"/>
              <w:jc w:val="center"/>
              <w:rPr/>
            </w:pPr>
            <w:r>
              <w:rPr/>
              <w:t> </w:t>
            </w:r>
          </w:p>
        </w:tc>
        <w:tc>
          <w:tcPr>
            <w:tcW w:w="818" w:type="dxa"/>
            <w:gridSpan w:val="2"/>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Results</w:t>
              <w:br/>
              <w:t>Attributable</w:t>
              <w:br/>
              <w:t xml:space="preserve">to GasLog </w:t>
            </w:r>
          </w:p>
        </w:tc>
        <w:tc>
          <w:tcPr>
            <w:tcW w:w="145" w:type="dxa"/>
            <w:tcBorders/>
            <w:shd w:fill="auto" w:val="clear"/>
            <w:vAlign w:val="bottom"/>
          </w:tcPr>
          <w:p>
            <w:pPr>
              <w:pStyle w:val="TableHeading"/>
              <w:suppressLineNumbers/>
              <w:spacing w:before="0" w:after="283"/>
              <w:jc w:val="center"/>
              <w:rPr/>
            </w:pPr>
            <w:r>
              <w:rPr/>
              <w:t> </w:t>
            </w:r>
          </w:p>
        </w:tc>
        <w:tc>
          <w:tcPr>
            <w:tcW w:w="855" w:type="dxa"/>
            <w:gridSpan w:val="2"/>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Partnership</w:t>
              <w:br/>
              <w:t>Performance</w:t>
              <w:br/>
              <w:t xml:space="preserve">Results </w:t>
            </w:r>
          </w:p>
        </w:tc>
        <w:tc>
          <w:tcPr>
            <w:tcW w:w="146" w:type="dxa"/>
            <w:tcBorders/>
            <w:shd w:fill="auto" w:val="clear"/>
            <w:vAlign w:val="bottom"/>
          </w:tcPr>
          <w:p>
            <w:pPr>
              <w:pStyle w:val="TableHeading"/>
              <w:suppressLineNumbers/>
              <w:spacing w:before="0" w:after="283"/>
              <w:jc w:val="center"/>
              <w:rPr/>
            </w:pPr>
            <w:r>
              <w:rPr/>
              <w:t> </w:t>
            </w:r>
          </w:p>
        </w:tc>
        <w:tc>
          <w:tcPr>
            <w:tcW w:w="655" w:type="dxa"/>
            <w:gridSpan w:val="2"/>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IFRS</w:t>
              <w:br/>
              <w:t>Common</w:t>
              <w:br/>
              <w:t>Control</w:t>
              <w:br/>
              <w:t>Reported</w:t>
              <w:br/>
              <w:t xml:space="preserve">Results </w:t>
            </w:r>
          </w:p>
        </w:tc>
        <w:tc>
          <w:tcPr>
            <w:tcW w:w="146" w:type="dxa"/>
            <w:tcBorders/>
            <w:shd w:fill="auto" w:val="clear"/>
            <w:vAlign w:val="bottom"/>
          </w:tcPr>
          <w:p>
            <w:pPr>
              <w:pStyle w:val="TableHeading"/>
              <w:suppressLineNumbers/>
              <w:spacing w:before="0" w:after="283"/>
              <w:jc w:val="center"/>
              <w:rPr/>
            </w:pPr>
            <w:r>
              <w:rPr/>
              <w:t> </w:t>
            </w:r>
          </w:p>
        </w:tc>
        <w:tc>
          <w:tcPr>
            <w:tcW w:w="818" w:type="dxa"/>
            <w:gridSpan w:val="2"/>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Results</w:t>
              <w:br/>
              <w:t>Attributable</w:t>
              <w:br/>
              <w:t xml:space="preserve">to GasLog </w:t>
            </w:r>
          </w:p>
        </w:tc>
        <w:tc>
          <w:tcPr>
            <w:tcW w:w="146" w:type="dxa"/>
            <w:tcBorders/>
            <w:shd w:fill="auto" w:val="clear"/>
            <w:vAlign w:val="bottom"/>
          </w:tcPr>
          <w:p>
            <w:pPr>
              <w:pStyle w:val="TableHeading"/>
              <w:suppressLineNumbers/>
              <w:spacing w:before="0" w:after="283"/>
              <w:jc w:val="center"/>
              <w:rPr/>
            </w:pPr>
            <w:r>
              <w:rPr/>
              <w:t> </w:t>
            </w:r>
          </w:p>
        </w:tc>
        <w:tc>
          <w:tcPr>
            <w:tcW w:w="855" w:type="dxa"/>
            <w:gridSpan w:val="2"/>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Partnership</w:t>
              <w:br/>
              <w:t>Performance</w:t>
              <w:br/>
              <w:t xml:space="preserve">Results </w:t>
            </w:r>
          </w:p>
        </w:tc>
        <w:tc>
          <w:tcPr>
            <w:tcW w:w="146" w:type="dxa"/>
            <w:tcBorders/>
            <w:shd w:fill="auto" w:val="clear"/>
            <w:vAlign w:val="bottom"/>
          </w:tcPr>
          <w:p>
            <w:pPr>
              <w:pStyle w:val="TableHeading"/>
              <w:suppressLineNumbers/>
              <w:spacing w:before="0" w:after="283"/>
              <w:jc w:val="center"/>
              <w:rPr/>
            </w:pPr>
            <w:r>
              <w:rPr/>
              <w:t> </w:t>
            </w:r>
          </w:p>
        </w:tc>
        <w:tc>
          <w:tcPr>
            <w:tcW w:w="655" w:type="dxa"/>
            <w:gridSpan w:val="2"/>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IFRS</w:t>
              <w:br/>
              <w:t>Common</w:t>
              <w:br/>
              <w:t>Control</w:t>
              <w:br/>
              <w:t>Reported</w:t>
              <w:br/>
              <w:t xml:space="preserve">Results </w:t>
            </w:r>
          </w:p>
        </w:tc>
        <w:tc>
          <w:tcPr>
            <w:tcW w:w="156" w:type="dxa"/>
            <w:tcBorders/>
            <w:shd w:fill="auto" w:val="clear"/>
            <w:vAlign w:val="bottom"/>
          </w:tcPr>
          <w:p>
            <w:pPr>
              <w:pStyle w:val="TableHeading"/>
              <w:suppressLineNumbers/>
              <w:spacing w:before="0" w:after="283"/>
              <w:jc w:val="center"/>
              <w:rPr/>
            </w:pPr>
            <w:r>
              <w:rPr/>
              <w:t> </w:t>
            </w:r>
          </w:p>
        </w:tc>
      </w:tr>
      <w:tr>
        <w:trPr/>
        <w:tc>
          <w:tcPr>
            <w:tcW w:w="1753" w:type="dxa"/>
            <w:tcBorders/>
            <w:shd w:fill="auto" w:val="clear"/>
            <w:vAlign w:val="bottom"/>
          </w:tcPr>
          <w:p>
            <w:pPr>
              <w:pStyle w:val="TableHeading"/>
              <w:spacing w:before="0" w:after="283"/>
              <w:jc w:val="left"/>
              <w:rPr/>
            </w:pPr>
            <w:r>
              <w:rPr/>
              <w:t> </w:t>
            </w:r>
          </w:p>
        </w:tc>
        <w:tc>
          <w:tcPr>
            <w:tcW w:w="145" w:type="dxa"/>
            <w:tcBorders/>
            <w:shd w:fill="auto" w:val="clear"/>
            <w:vAlign w:val="bottom"/>
          </w:tcPr>
          <w:p>
            <w:pPr>
              <w:pStyle w:val="TableHeading"/>
              <w:suppressLineNumbers/>
              <w:spacing w:before="0" w:after="283"/>
              <w:jc w:val="center"/>
              <w:rPr/>
            </w:pPr>
            <w:r>
              <w:rPr/>
              <w:t> </w:t>
            </w:r>
          </w:p>
        </w:tc>
        <w:tc>
          <w:tcPr>
            <w:tcW w:w="818" w:type="dxa"/>
            <w:gridSpan w:val="2"/>
            <w:tcBorders/>
            <w:shd w:fill="auto" w:val="clear"/>
            <w:vAlign w:val="bottom"/>
          </w:tcPr>
          <w:p>
            <w:pPr>
              <w:pStyle w:val="TableHeading"/>
              <w:spacing w:before="0" w:after="283"/>
              <w:jc w:val="left"/>
              <w:rPr/>
            </w:pPr>
            <w:r>
              <w:rPr/>
              <w:t> </w:t>
            </w:r>
          </w:p>
        </w:tc>
        <w:tc>
          <w:tcPr>
            <w:tcW w:w="146" w:type="dxa"/>
            <w:tcBorders/>
            <w:shd w:fill="auto" w:val="clear"/>
            <w:vAlign w:val="bottom"/>
          </w:tcPr>
          <w:p>
            <w:pPr>
              <w:pStyle w:val="TableHeading"/>
              <w:suppressLineNumbers/>
              <w:spacing w:before="0" w:after="283"/>
              <w:jc w:val="center"/>
              <w:rPr/>
            </w:pPr>
            <w:r>
              <w:rPr/>
              <w:t> </w:t>
            </w:r>
          </w:p>
        </w:tc>
        <w:tc>
          <w:tcPr>
            <w:tcW w:w="855" w:type="dxa"/>
            <w:gridSpan w:val="2"/>
            <w:tcBorders/>
            <w:shd w:fill="auto" w:val="clear"/>
            <w:vAlign w:val="bottom"/>
          </w:tcPr>
          <w:p>
            <w:pPr>
              <w:pStyle w:val="TableHeading"/>
              <w:spacing w:before="0" w:after="283"/>
              <w:jc w:val="left"/>
              <w:rPr/>
            </w:pPr>
            <w:r>
              <w:rPr/>
              <w:t> </w:t>
            </w:r>
          </w:p>
        </w:tc>
        <w:tc>
          <w:tcPr>
            <w:tcW w:w="146" w:type="dxa"/>
            <w:tcBorders/>
            <w:shd w:fill="auto" w:val="clear"/>
            <w:vAlign w:val="bottom"/>
          </w:tcPr>
          <w:p>
            <w:pPr>
              <w:pStyle w:val="TableHeading"/>
              <w:suppressLineNumbers/>
              <w:spacing w:before="0" w:after="283"/>
              <w:jc w:val="center"/>
              <w:rPr/>
            </w:pPr>
            <w:r>
              <w:rPr/>
              <w:t> </w:t>
            </w:r>
          </w:p>
        </w:tc>
        <w:tc>
          <w:tcPr>
            <w:tcW w:w="655" w:type="dxa"/>
            <w:gridSpan w:val="2"/>
            <w:tcBorders/>
            <w:shd w:fill="auto" w:val="clear"/>
            <w:vAlign w:val="bottom"/>
          </w:tcPr>
          <w:p>
            <w:pPr>
              <w:pStyle w:val="TableHeading"/>
              <w:spacing w:before="0" w:after="283"/>
              <w:jc w:val="left"/>
              <w:rPr/>
            </w:pPr>
            <w:r>
              <w:rPr/>
              <w:t> </w:t>
            </w:r>
          </w:p>
        </w:tc>
        <w:tc>
          <w:tcPr>
            <w:tcW w:w="146" w:type="dxa"/>
            <w:tcBorders/>
            <w:shd w:fill="auto" w:val="clear"/>
            <w:vAlign w:val="bottom"/>
          </w:tcPr>
          <w:p>
            <w:pPr>
              <w:pStyle w:val="TableHeading"/>
              <w:suppressLineNumbers/>
              <w:spacing w:before="0" w:after="283"/>
              <w:jc w:val="center"/>
              <w:rPr/>
            </w:pPr>
            <w:r>
              <w:rPr/>
              <w:t> </w:t>
            </w:r>
          </w:p>
        </w:tc>
        <w:tc>
          <w:tcPr>
            <w:tcW w:w="1818" w:type="dxa"/>
            <w:gridSpan w:val="5"/>
            <w:tcBorders/>
            <w:shd w:fill="auto" w:val="clear"/>
            <w:vAlign w:val="bottom"/>
          </w:tcPr>
          <w:p>
            <w:pPr>
              <w:pStyle w:val="TableHeading"/>
              <w:spacing w:before="0" w:after="283"/>
              <w:jc w:val="center"/>
              <w:rPr>
                <w:rFonts w:ascii="times" w:hAnsi="times"/>
                <w:b/>
                <w:sz w:val="14"/>
              </w:rPr>
            </w:pPr>
            <w:r>
              <w:rPr>
                <w:rFonts w:ascii="times" w:hAnsi="times"/>
                <w:b/>
                <w:sz w:val="14"/>
              </w:rPr>
              <w:t>(In thousands of</w:t>
              <w:br/>
              <w:t>U.S. dollars)</w:t>
            </w:r>
          </w:p>
        </w:tc>
        <w:tc>
          <w:tcPr>
            <w:tcW w:w="146" w:type="dxa"/>
            <w:tcBorders/>
            <w:shd w:fill="auto" w:val="clear"/>
            <w:vAlign w:val="bottom"/>
          </w:tcPr>
          <w:p>
            <w:pPr>
              <w:pStyle w:val="TableHeading"/>
              <w:suppressLineNumbers/>
              <w:spacing w:before="0" w:after="283"/>
              <w:jc w:val="center"/>
              <w:rPr/>
            </w:pPr>
            <w:r>
              <w:rPr/>
              <w:t> </w:t>
            </w:r>
          </w:p>
        </w:tc>
        <w:tc>
          <w:tcPr>
            <w:tcW w:w="655" w:type="dxa"/>
            <w:gridSpan w:val="2"/>
            <w:tcBorders/>
            <w:shd w:fill="auto" w:val="clear"/>
            <w:vAlign w:val="bottom"/>
          </w:tcPr>
          <w:p>
            <w:pPr>
              <w:pStyle w:val="TableHeading"/>
              <w:spacing w:before="0" w:after="283"/>
              <w:jc w:val="left"/>
              <w:rPr/>
            </w:pPr>
            <w:r>
              <w:rPr/>
              <w:t> </w:t>
            </w:r>
          </w:p>
        </w:tc>
        <w:tc>
          <w:tcPr>
            <w:tcW w:w="146" w:type="dxa"/>
            <w:tcBorders/>
            <w:shd w:fill="auto" w:val="clear"/>
            <w:vAlign w:val="bottom"/>
          </w:tcPr>
          <w:p>
            <w:pPr>
              <w:pStyle w:val="TableHeading"/>
              <w:suppressLineNumbers/>
              <w:spacing w:before="0" w:after="283"/>
              <w:jc w:val="center"/>
              <w:rPr/>
            </w:pPr>
            <w:r>
              <w:rPr/>
              <w:t> </w:t>
            </w:r>
          </w:p>
        </w:tc>
        <w:tc>
          <w:tcPr>
            <w:tcW w:w="818" w:type="dxa"/>
            <w:gridSpan w:val="2"/>
            <w:tcBorders/>
            <w:shd w:fill="auto" w:val="clear"/>
            <w:vAlign w:val="bottom"/>
          </w:tcPr>
          <w:p>
            <w:pPr>
              <w:pStyle w:val="TableHeading"/>
              <w:spacing w:before="0" w:after="283"/>
              <w:jc w:val="left"/>
              <w:rPr/>
            </w:pPr>
            <w:r>
              <w:rPr/>
              <w:t> </w:t>
            </w:r>
          </w:p>
        </w:tc>
        <w:tc>
          <w:tcPr>
            <w:tcW w:w="146" w:type="dxa"/>
            <w:tcBorders/>
            <w:shd w:fill="auto" w:val="clear"/>
            <w:vAlign w:val="bottom"/>
          </w:tcPr>
          <w:p>
            <w:pPr>
              <w:pStyle w:val="TableHeading"/>
              <w:suppressLineNumbers/>
              <w:spacing w:before="0" w:after="283"/>
              <w:jc w:val="center"/>
              <w:rPr/>
            </w:pPr>
            <w:r>
              <w:rPr/>
              <w:t> </w:t>
            </w:r>
          </w:p>
        </w:tc>
        <w:tc>
          <w:tcPr>
            <w:tcW w:w="855" w:type="dxa"/>
            <w:gridSpan w:val="2"/>
            <w:tcBorders/>
            <w:shd w:fill="auto" w:val="clear"/>
            <w:vAlign w:val="bottom"/>
          </w:tcPr>
          <w:p>
            <w:pPr>
              <w:pStyle w:val="TableHeading"/>
              <w:spacing w:before="0" w:after="283"/>
              <w:jc w:val="left"/>
              <w:rPr/>
            </w:pPr>
            <w:r>
              <w:rPr/>
              <w:t> </w:t>
            </w:r>
          </w:p>
        </w:tc>
        <w:tc>
          <w:tcPr>
            <w:tcW w:w="146" w:type="dxa"/>
            <w:tcBorders/>
            <w:shd w:fill="auto" w:val="clear"/>
            <w:vAlign w:val="bottom"/>
          </w:tcPr>
          <w:p>
            <w:pPr>
              <w:pStyle w:val="TableHeading"/>
              <w:suppressLineNumbers/>
              <w:spacing w:before="0" w:after="283"/>
              <w:jc w:val="center"/>
              <w:rPr/>
            </w:pPr>
            <w:r>
              <w:rPr/>
              <w:t> </w:t>
            </w:r>
          </w:p>
        </w:tc>
        <w:tc>
          <w:tcPr>
            <w:tcW w:w="655" w:type="dxa"/>
            <w:gridSpan w:val="2"/>
            <w:tcBorders/>
            <w:shd w:fill="auto" w:val="clear"/>
            <w:vAlign w:val="bottom"/>
          </w:tcPr>
          <w:p>
            <w:pPr>
              <w:pStyle w:val="TableHeading"/>
              <w:spacing w:before="0" w:after="283"/>
              <w:jc w:val="left"/>
              <w:rPr/>
            </w:pPr>
            <w:r>
              <w:rPr/>
              <w:t> </w:t>
            </w:r>
          </w:p>
        </w:tc>
        <w:tc>
          <w:tcPr>
            <w:tcW w:w="156" w:type="dxa"/>
            <w:tcBorders/>
            <w:shd w:fill="auto" w:val="clear"/>
            <w:vAlign w:val="bottom"/>
          </w:tcPr>
          <w:p>
            <w:pPr>
              <w:pStyle w:val="TableHeading"/>
              <w:suppressLineNumbers/>
              <w:spacing w:before="0" w:after="283"/>
              <w:jc w:val="center"/>
              <w:rPr/>
            </w:pPr>
            <w:r>
              <w:rPr/>
              <w:t> </w:t>
            </w:r>
          </w:p>
        </w:tc>
      </w:tr>
      <w:tr>
        <w:trPr/>
        <w:tc>
          <w:tcPr>
            <w:tcW w:w="1753" w:type="dxa"/>
            <w:tcBorders/>
            <w:shd w:fill="auto" w:val="clear"/>
            <w:vAlign w:val="bottom"/>
          </w:tcPr>
          <w:p>
            <w:pPr>
              <w:pStyle w:val="TableContents"/>
              <w:spacing w:before="0" w:after="283"/>
              <w:ind w:left="140" w:right="0" w:hanging="140"/>
              <w:rPr>
                <w:rFonts w:ascii="times" w:hAnsi="times"/>
                <w:b/>
                <w:sz w:val="14"/>
              </w:rPr>
            </w:pPr>
            <w:r>
              <w:rPr>
                <w:rFonts w:ascii="times" w:hAnsi="times"/>
                <w:b/>
                <w:sz w:val="14"/>
              </w:rPr>
              <w:t>STATEMENT OF PROFIT OR LOSS</w:t>
            </w:r>
          </w:p>
        </w:tc>
        <w:tc>
          <w:tcPr>
            <w:tcW w:w="145"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723" w:type="dxa"/>
            <w:tcBorders/>
            <w:shd w:fill="auto" w:val="clear"/>
            <w:vAlign w:val="bottom"/>
          </w:tcPr>
          <w:p>
            <w:pPr>
              <w:pStyle w:val="TableContents"/>
              <w:spacing w:before="0" w:after="283"/>
              <w:jc w:val="right"/>
              <w:rPr/>
            </w:pPr>
            <w:r>
              <w:rPr/>
              <w:t> </w:t>
            </w:r>
          </w:p>
        </w:tc>
        <w:tc>
          <w:tcPr>
            <w:tcW w:w="146"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760" w:type="dxa"/>
            <w:tcBorders/>
            <w:shd w:fill="auto" w:val="clear"/>
            <w:vAlign w:val="bottom"/>
          </w:tcPr>
          <w:p>
            <w:pPr>
              <w:pStyle w:val="TableContents"/>
              <w:spacing w:before="0" w:after="283"/>
              <w:jc w:val="right"/>
              <w:rPr/>
            </w:pPr>
            <w:r>
              <w:rPr/>
              <w:t> </w:t>
            </w:r>
          </w:p>
        </w:tc>
        <w:tc>
          <w:tcPr>
            <w:tcW w:w="146"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560" w:type="dxa"/>
            <w:tcBorders/>
            <w:shd w:fill="auto" w:val="clear"/>
            <w:vAlign w:val="bottom"/>
          </w:tcPr>
          <w:p>
            <w:pPr>
              <w:pStyle w:val="TableContents"/>
              <w:spacing w:before="0" w:after="283"/>
              <w:jc w:val="right"/>
              <w:rPr/>
            </w:pPr>
            <w:r>
              <w:rPr/>
              <w:t> </w:t>
            </w:r>
          </w:p>
        </w:tc>
        <w:tc>
          <w:tcPr>
            <w:tcW w:w="146"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723" w:type="dxa"/>
            <w:tcBorders/>
            <w:shd w:fill="auto" w:val="clear"/>
            <w:vAlign w:val="bottom"/>
          </w:tcPr>
          <w:p>
            <w:pPr>
              <w:pStyle w:val="TableContents"/>
              <w:spacing w:before="0" w:after="283"/>
              <w:jc w:val="right"/>
              <w:rPr/>
            </w:pPr>
            <w:r>
              <w:rPr/>
              <w:t> </w:t>
            </w:r>
          </w:p>
        </w:tc>
        <w:tc>
          <w:tcPr>
            <w:tcW w:w="145"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760" w:type="dxa"/>
            <w:tcBorders/>
            <w:shd w:fill="auto" w:val="clear"/>
            <w:vAlign w:val="bottom"/>
          </w:tcPr>
          <w:p>
            <w:pPr>
              <w:pStyle w:val="TableContents"/>
              <w:spacing w:before="0" w:after="283"/>
              <w:jc w:val="right"/>
              <w:rPr/>
            </w:pPr>
            <w:r>
              <w:rPr/>
              <w:t> </w:t>
            </w:r>
          </w:p>
        </w:tc>
        <w:tc>
          <w:tcPr>
            <w:tcW w:w="146"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560" w:type="dxa"/>
            <w:tcBorders/>
            <w:shd w:fill="auto" w:val="clear"/>
            <w:vAlign w:val="bottom"/>
          </w:tcPr>
          <w:p>
            <w:pPr>
              <w:pStyle w:val="TableContents"/>
              <w:spacing w:before="0" w:after="283"/>
              <w:jc w:val="right"/>
              <w:rPr/>
            </w:pPr>
            <w:r>
              <w:rPr/>
              <w:t> </w:t>
            </w:r>
          </w:p>
        </w:tc>
        <w:tc>
          <w:tcPr>
            <w:tcW w:w="146"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723" w:type="dxa"/>
            <w:tcBorders/>
            <w:shd w:fill="auto" w:val="clear"/>
            <w:vAlign w:val="bottom"/>
          </w:tcPr>
          <w:p>
            <w:pPr>
              <w:pStyle w:val="TableContents"/>
              <w:spacing w:before="0" w:after="283"/>
              <w:jc w:val="right"/>
              <w:rPr/>
            </w:pPr>
            <w:r>
              <w:rPr/>
              <w:t> </w:t>
            </w:r>
          </w:p>
        </w:tc>
        <w:tc>
          <w:tcPr>
            <w:tcW w:w="146"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760" w:type="dxa"/>
            <w:tcBorders/>
            <w:shd w:fill="auto" w:val="clear"/>
            <w:vAlign w:val="bottom"/>
          </w:tcPr>
          <w:p>
            <w:pPr>
              <w:pStyle w:val="TableContents"/>
              <w:spacing w:before="0" w:after="283"/>
              <w:jc w:val="right"/>
              <w:rPr/>
            </w:pPr>
            <w:r>
              <w:rPr/>
              <w:t> </w:t>
            </w:r>
          </w:p>
        </w:tc>
        <w:tc>
          <w:tcPr>
            <w:tcW w:w="146"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560" w:type="dxa"/>
            <w:tcBorders/>
            <w:shd w:fill="auto" w:val="clear"/>
            <w:vAlign w:val="bottom"/>
          </w:tcPr>
          <w:p>
            <w:pPr>
              <w:pStyle w:val="TableContents"/>
              <w:spacing w:before="0" w:after="283"/>
              <w:jc w:val="right"/>
              <w:rPr/>
            </w:pPr>
            <w:r>
              <w:rPr/>
              <w:t> </w:t>
            </w:r>
          </w:p>
        </w:tc>
        <w:tc>
          <w:tcPr>
            <w:tcW w:w="156" w:type="dxa"/>
            <w:tcBorders/>
            <w:shd w:fill="auto" w:val="clear"/>
            <w:vAlign w:val="bottom"/>
          </w:tcPr>
          <w:p>
            <w:pPr>
              <w:pStyle w:val="TableContents"/>
              <w:spacing w:before="0" w:after="283"/>
              <w:rPr/>
            </w:pPr>
            <w:r>
              <w:rPr/>
              <w:t> </w:t>
            </w:r>
          </w:p>
        </w:tc>
      </w:tr>
      <w:tr>
        <w:trPr/>
        <w:tc>
          <w:tcPr>
            <w:tcW w:w="1753" w:type="dxa"/>
            <w:tcBorders/>
            <w:shd w:fill="auto" w:val="clear"/>
            <w:vAlign w:val="bottom"/>
          </w:tcPr>
          <w:p>
            <w:pPr>
              <w:pStyle w:val="TableContents"/>
              <w:spacing w:before="0" w:after="283"/>
              <w:ind w:left="140" w:right="0" w:hanging="140"/>
              <w:rPr>
                <w:rFonts w:ascii="times" w:hAnsi="times"/>
                <w:sz w:val="14"/>
              </w:rPr>
            </w:pPr>
            <w:r>
              <w:rPr>
                <w:rFonts w:ascii="times" w:hAnsi="times"/>
                <w:sz w:val="14"/>
              </w:rPr>
              <w:t>Revenues</w:t>
            </w:r>
          </w:p>
        </w:tc>
        <w:tc>
          <w:tcPr>
            <w:tcW w:w="145"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rFonts w:ascii="times" w:hAnsi="times"/>
                <w:sz w:val="14"/>
              </w:rPr>
            </w:pPr>
            <w:r>
              <w:rPr>
                <w:rFonts w:ascii="times" w:hAnsi="times"/>
                <w:sz w:val="14"/>
              </w:rPr>
              <w:t>$</w:t>
            </w:r>
          </w:p>
        </w:tc>
        <w:tc>
          <w:tcPr>
            <w:tcW w:w="723" w:type="dxa"/>
            <w:tcBorders/>
            <w:shd w:fill="auto" w:val="clear"/>
            <w:vAlign w:val="bottom"/>
          </w:tcPr>
          <w:p>
            <w:pPr>
              <w:pStyle w:val="TableContents"/>
              <w:spacing w:before="0" w:after="283"/>
              <w:jc w:val="right"/>
              <w:rPr>
                <w:rFonts w:ascii="times" w:hAnsi="times"/>
                <w:sz w:val="14"/>
              </w:rPr>
            </w:pPr>
            <w:r>
              <w:rPr>
                <w:rFonts w:ascii="times" w:hAnsi="times"/>
                <w:sz w:val="14"/>
              </w:rPr>
              <w:t>126,531</w:t>
            </w:r>
          </w:p>
        </w:tc>
        <w:tc>
          <w:tcPr>
            <w:tcW w:w="146"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rFonts w:ascii="times" w:hAnsi="times"/>
                <w:sz w:val="14"/>
              </w:rPr>
            </w:pPr>
            <w:r>
              <w:rPr>
                <w:rFonts w:ascii="times" w:hAnsi="times"/>
                <w:sz w:val="14"/>
              </w:rPr>
              <w:t>$</w:t>
            </w:r>
          </w:p>
        </w:tc>
        <w:tc>
          <w:tcPr>
            <w:tcW w:w="760" w:type="dxa"/>
            <w:tcBorders/>
            <w:shd w:fill="auto" w:val="clear"/>
            <w:vAlign w:val="bottom"/>
          </w:tcPr>
          <w:p>
            <w:pPr>
              <w:pStyle w:val="TableContents"/>
              <w:spacing w:before="0" w:after="283"/>
              <w:jc w:val="right"/>
              <w:rPr>
                <w:rFonts w:ascii="times" w:hAnsi="times"/>
                <w:sz w:val="14"/>
              </w:rPr>
            </w:pPr>
            <w:r>
              <w:rPr>
                <w:rFonts w:ascii="times" w:hAnsi="times"/>
                <w:sz w:val="14"/>
              </w:rPr>
              <w:t>206,424</w:t>
            </w:r>
          </w:p>
        </w:tc>
        <w:tc>
          <w:tcPr>
            <w:tcW w:w="146"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rFonts w:ascii="times" w:hAnsi="times"/>
                <w:sz w:val="14"/>
              </w:rPr>
            </w:pPr>
            <w:r>
              <w:rPr>
                <w:rFonts w:ascii="times" w:hAnsi="times"/>
                <w:sz w:val="14"/>
              </w:rPr>
              <w:t>$</w:t>
            </w:r>
          </w:p>
        </w:tc>
        <w:tc>
          <w:tcPr>
            <w:tcW w:w="560" w:type="dxa"/>
            <w:tcBorders/>
            <w:shd w:fill="auto" w:val="clear"/>
            <w:vAlign w:val="bottom"/>
          </w:tcPr>
          <w:p>
            <w:pPr>
              <w:pStyle w:val="TableContents"/>
              <w:spacing w:before="0" w:after="283"/>
              <w:jc w:val="right"/>
              <w:rPr>
                <w:rFonts w:ascii="times" w:hAnsi="times"/>
                <w:sz w:val="14"/>
              </w:rPr>
            </w:pPr>
            <w:r>
              <w:rPr>
                <w:rFonts w:ascii="times" w:hAnsi="times"/>
                <w:sz w:val="14"/>
              </w:rPr>
              <w:t>332,955</w:t>
            </w:r>
          </w:p>
        </w:tc>
        <w:tc>
          <w:tcPr>
            <w:tcW w:w="146"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rFonts w:ascii="times" w:hAnsi="times"/>
                <w:sz w:val="14"/>
              </w:rPr>
            </w:pPr>
            <w:r>
              <w:rPr>
                <w:rFonts w:ascii="times" w:hAnsi="times"/>
                <w:sz w:val="14"/>
              </w:rPr>
              <w:t>$</w:t>
            </w:r>
          </w:p>
        </w:tc>
        <w:tc>
          <w:tcPr>
            <w:tcW w:w="723" w:type="dxa"/>
            <w:tcBorders/>
            <w:shd w:fill="auto" w:val="clear"/>
            <w:vAlign w:val="bottom"/>
          </w:tcPr>
          <w:p>
            <w:pPr>
              <w:pStyle w:val="TableContents"/>
              <w:spacing w:before="0" w:after="283"/>
              <w:jc w:val="right"/>
              <w:rPr>
                <w:rFonts w:ascii="times" w:hAnsi="times"/>
                <w:sz w:val="14"/>
              </w:rPr>
            </w:pPr>
            <w:r>
              <w:rPr>
                <w:rFonts w:ascii="times" w:hAnsi="times"/>
                <w:sz w:val="14"/>
              </w:rPr>
              <w:t>132,735</w:t>
            </w:r>
          </w:p>
        </w:tc>
        <w:tc>
          <w:tcPr>
            <w:tcW w:w="145"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rFonts w:ascii="times" w:hAnsi="times"/>
                <w:sz w:val="14"/>
              </w:rPr>
            </w:pPr>
            <w:r>
              <w:rPr>
                <w:rFonts w:ascii="times" w:hAnsi="times"/>
                <w:sz w:val="14"/>
              </w:rPr>
              <w:t>$</w:t>
            </w:r>
          </w:p>
        </w:tc>
        <w:tc>
          <w:tcPr>
            <w:tcW w:w="760" w:type="dxa"/>
            <w:tcBorders/>
            <w:shd w:fill="auto" w:val="clear"/>
            <w:vAlign w:val="bottom"/>
          </w:tcPr>
          <w:p>
            <w:pPr>
              <w:pStyle w:val="TableContents"/>
              <w:spacing w:before="0" w:after="283"/>
              <w:jc w:val="right"/>
              <w:rPr>
                <w:rFonts w:ascii="times" w:hAnsi="times"/>
                <w:sz w:val="14"/>
              </w:rPr>
            </w:pPr>
            <w:r>
              <w:rPr>
                <w:rFonts w:ascii="times" w:hAnsi="times"/>
                <w:sz w:val="14"/>
              </w:rPr>
              <w:t>269,071</w:t>
            </w:r>
          </w:p>
        </w:tc>
        <w:tc>
          <w:tcPr>
            <w:tcW w:w="146"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rFonts w:ascii="times" w:hAnsi="times"/>
                <w:sz w:val="14"/>
              </w:rPr>
            </w:pPr>
            <w:r>
              <w:rPr>
                <w:rFonts w:ascii="times" w:hAnsi="times"/>
                <w:sz w:val="14"/>
              </w:rPr>
              <w:t>$</w:t>
            </w:r>
          </w:p>
        </w:tc>
        <w:tc>
          <w:tcPr>
            <w:tcW w:w="560" w:type="dxa"/>
            <w:tcBorders/>
            <w:shd w:fill="auto" w:val="clear"/>
            <w:vAlign w:val="bottom"/>
          </w:tcPr>
          <w:p>
            <w:pPr>
              <w:pStyle w:val="TableContents"/>
              <w:spacing w:before="0" w:after="283"/>
              <w:jc w:val="right"/>
              <w:rPr>
                <w:rFonts w:ascii="times" w:hAnsi="times"/>
                <w:sz w:val="14"/>
              </w:rPr>
            </w:pPr>
            <w:r>
              <w:rPr>
                <w:rFonts w:ascii="times" w:hAnsi="times"/>
                <w:sz w:val="14"/>
              </w:rPr>
              <w:t>401,806</w:t>
            </w:r>
          </w:p>
        </w:tc>
        <w:tc>
          <w:tcPr>
            <w:tcW w:w="146"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rFonts w:ascii="times" w:hAnsi="times"/>
                <w:sz w:val="14"/>
              </w:rPr>
            </w:pPr>
            <w:r>
              <w:rPr>
                <w:rFonts w:ascii="times" w:hAnsi="times"/>
                <w:sz w:val="14"/>
              </w:rPr>
              <w:t>$</w:t>
            </w:r>
          </w:p>
        </w:tc>
        <w:tc>
          <w:tcPr>
            <w:tcW w:w="723" w:type="dxa"/>
            <w:tcBorders/>
            <w:shd w:fill="auto" w:val="clear"/>
            <w:vAlign w:val="bottom"/>
          </w:tcPr>
          <w:p>
            <w:pPr>
              <w:pStyle w:val="TableContents"/>
              <w:spacing w:before="0" w:after="283"/>
              <w:jc w:val="right"/>
              <w:rPr>
                <w:rFonts w:ascii="times" w:hAnsi="times"/>
                <w:sz w:val="14"/>
              </w:rPr>
            </w:pPr>
            <w:r>
              <w:rPr>
                <w:rFonts w:ascii="times" w:hAnsi="times"/>
                <w:sz w:val="14"/>
              </w:rPr>
              <w:t>66,210</w:t>
            </w:r>
          </w:p>
        </w:tc>
        <w:tc>
          <w:tcPr>
            <w:tcW w:w="146"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rFonts w:ascii="times" w:hAnsi="times"/>
                <w:sz w:val="14"/>
              </w:rPr>
            </w:pPr>
            <w:r>
              <w:rPr>
                <w:rFonts w:ascii="times" w:hAnsi="times"/>
                <w:sz w:val="14"/>
              </w:rPr>
              <w:t>$</w:t>
            </w:r>
          </w:p>
        </w:tc>
        <w:tc>
          <w:tcPr>
            <w:tcW w:w="760" w:type="dxa"/>
            <w:tcBorders/>
            <w:shd w:fill="auto" w:val="clear"/>
            <w:vAlign w:val="bottom"/>
          </w:tcPr>
          <w:p>
            <w:pPr>
              <w:pStyle w:val="TableContents"/>
              <w:spacing w:before="0" w:after="283"/>
              <w:jc w:val="right"/>
              <w:rPr>
                <w:rFonts w:ascii="times" w:hAnsi="times"/>
                <w:sz w:val="14"/>
              </w:rPr>
            </w:pPr>
            <w:r>
              <w:rPr>
                <w:rFonts w:ascii="times" w:hAnsi="times"/>
                <w:sz w:val="14"/>
              </w:rPr>
              <w:t>316,991</w:t>
            </w:r>
          </w:p>
        </w:tc>
        <w:tc>
          <w:tcPr>
            <w:tcW w:w="146"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rFonts w:ascii="times" w:hAnsi="times"/>
                <w:sz w:val="14"/>
              </w:rPr>
            </w:pPr>
            <w:r>
              <w:rPr>
                <w:rFonts w:ascii="times" w:hAnsi="times"/>
                <w:sz w:val="14"/>
              </w:rPr>
              <w:t>$</w:t>
            </w:r>
          </w:p>
        </w:tc>
        <w:tc>
          <w:tcPr>
            <w:tcW w:w="560" w:type="dxa"/>
            <w:tcBorders/>
            <w:shd w:fill="auto" w:val="clear"/>
            <w:vAlign w:val="bottom"/>
          </w:tcPr>
          <w:p>
            <w:pPr>
              <w:pStyle w:val="TableContents"/>
              <w:spacing w:before="0" w:after="283"/>
              <w:jc w:val="right"/>
              <w:rPr>
                <w:rFonts w:ascii="times" w:hAnsi="times"/>
                <w:sz w:val="14"/>
              </w:rPr>
            </w:pPr>
            <w:r>
              <w:rPr>
                <w:rFonts w:ascii="times" w:hAnsi="times"/>
                <w:sz w:val="14"/>
              </w:rPr>
              <w:t>383,201</w:t>
            </w:r>
          </w:p>
        </w:tc>
        <w:tc>
          <w:tcPr>
            <w:tcW w:w="156" w:type="dxa"/>
            <w:tcBorders/>
            <w:shd w:fill="auto" w:val="clear"/>
            <w:vAlign w:val="bottom"/>
          </w:tcPr>
          <w:p>
            <w:pPr>
              <w:pStyle w:val="TableContents"/>
              <w:spacing w:before="0" w:after="283"/>
              <w:rPr/>
            </w:pPr>
            <w:r>
              <w:rPr/>
              <w:t> </w:t>
            </w:r>
          </w:p>
        </w:tc>
      </w:tr>
      <w:tr>
        <w:trPr/>
        <w:tc>
          <w:tcPr>
            <w:tcW w:w="1753" w:type="dxa"/>
            <w:tcBorders/>
            <w:shd w:fill="auto" w:val="clear"/>
            <w:vAlign w:val="bottom"/>
          </w:tcPr>
          <w:p>
            <w:pPr>
              <w:pStyle w:val="TableContents"/>
              <w:spacing w:before="0" w:after="283"/>
              <w:ind w:left="140" w:right="0" w:hanging="140"/>
              <w:rPr>
                <w:rFonts w:ascii="times" w:hAnsi="times"/>
                <w:sz w:val="14"/>
              </w:rPr>
            </w:pPr>
            <w:r>
              <w:rPr>
                <w:rFonts w:ascii="times" w:hAnsi="times"/>
                <w:sz w:val="14"/>
              </w:rPr>
              <w:t>Net pool allocation</w:t>
            </w:r>
          </w:p>
        </w:tc>
        <w:tc>
          <w:tcPr>
            <w:tcW w:w="145"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723" w:type="dxa"/>
            <w:tcBorders/>
            <w:shd w:fill="auto" w:val="clear"/>
            <w:vAlign w:val="bottom"/>
          </w:tcPr>
          <w:p>
            <w:pPr>
              <w:pStyle w:val="TableContents"/>
              <w:spacing w:before="0" w:after="283"/>
              <w:jc w:val="right"/>
              <w:rPr>
                <w:rFonts w:ascii="times" w:hAnsi="times"/>
                <w:sz w:val="14"/>
              </w:rPr>
            </w:pPr>
            <w:r>
              <w:rPr>
                <w:rFonts w:ascii="times" w:hAnsi="times"/>
                <w:sz w:val="14"/>
              </w:rPr>
              <w:t></w:t>
            </w:r>
          </w:p>
        </w:tc>
        <w:tc>
          <w:tcPr>
            <w:tcW w:w="146"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760" w:type="dxa"/>
            <w:tcBorders/>
            <w:shd w:fill="auto" w:val="clear"/>
            <w:vAlign w:val="bottom"/>
          </w:tcPr>
          <w:p>
            <w:pPr>
              <w:pStyle w:val="TableContents"/>
              <w:spacing w:before="0" w:after="283"/>
              <w:jc w:val="right"/>
              <w:rPr>
                <w:rFonts w:ascii="times" w:hAnsi="times"/>
                <w:sz w:val="14"/>
              </w:rPr>
            </w:pPr>
            <w:r>
              <w:rPr>
                <w:rFonts w:ascii="times" w:hAnsi="times"/>
                <w:sz w:val="14"/>
              </w:rPr>
              <w:t></w:t>
            </w:r>
          </w:p>
        </w:tc>
        <w:tc>
          <w:tcPr>
            <w:tcW w:w="146"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560" w:type="dxa"/>
            <w:tcBorders/>
            <w:shd w:fill="auto" w:val="clear"/>
            <w:vAlign w:val="bottom"/>
          </w:tcPr>
          <w:p>
            <w:pPr>
              <w:pStyle w:val="TableContents"/>
              <w:spacing w:before="0" w:after="283"/>
              <w:jc w:val="right"/>
              <w:rPr>
                <w:rFonts w:ascii="times" w:hAnsi="times"/>
                <w:sz w:val="14"/>
              </w:rPr>
            </w:pPr>
            <w:r>
              <w:rPr>
                <w:rFonts w:ascii="times" w:hAnsi="times"/>
                <w:sz w:val="14"/>
              </w:rPr>
              <w:t></w:t>
            </w:r>
          </w:p>
        </w:tc>
        <w:tc>
          <w:tcPr>
            <w:tcW w:w="146"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723" w:type="dxa"/>
            <w:tcBorders/>
            <w:shd w:fill="auto" w:val="clear"/>
            <w:vAlign w:val="bottom"/>
          </w:tcPr>
          <w:p>
            <w:pPr>
              <w:pStyle w:val="TableContents"/>
              <w:spacing w:before="0" w:after="283"/>
              <w:jc w:val="right"/>
              <w:rPr>
                <w:rFonts w:ascii="times" w:hAnsi="times"/>
                <w:sz w:val="14"/>
              </w:rPr>
            </w:pPr>
            <w:r>
              <w:rPr>
                <w:rFonts w:ascii="times" w:hAnsi="times"/>
                <w:sz w:val="14"/>
              </w:rPr>
              <w:t></w:t>
            </w:r>
          </w:p>
        </w:tc>
        <w:tc>
          <w:tcPr>
            <w:tcW w:w="145"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760" w:type="dxa"/>
            <w:tcBorders/>
            <w:shd w:fill="auto" w:val="clear"/>
            <w:vAlign w:val="bottom"/>
          </w:tcPr>
          <w:p>
            <w:pPr>
              <w:pStyle w:val="TableContents"/>
              <w:spacing w:before="0" w:after="283"/>
              <w:jc w:val="right"/>
              <w:rPr>
                <w:rFonts w:ascii="times" w:hAnsi="times"/>
                <w:sz w:val="14"/>
              </w:rPr>
            </w:pPr>
            <w:r>
              <w:rPr>
                <w:rFonts w:ascii="times" w:hAnsi="times"/>
                <w:sz w:val="14"/>
              </w:rPr>
              <w:t></w:t>
            </w:r>
          </w:p>
        </w:tc>
        <w:tc>
          <w:tcPr>
            <w:tcW w:w="146"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560" w:type="dxa"/>
            <w:tcBorders/>
            <w:shd w:fill="auto" w:val="clear"/>
            <w:vAlign w:val="bottom"/>
          </w:tcPr>
          <w:p>
            <w:pPr>
              <w:pStyle w:val="TableContents"/>
              <w:spacing w:before="0" w:after="283"/>
              <w:jc w:val="right"/>
              <w:rPr>
                <w:rFonts w:ascii="times" w:hAnsi="times"/>
                <w:sz w:val="14"/>
              </w:rPr>
            </w:pPr>
            <w:r>
              <w:rPr>
                <w:rFonts w:ascii="times" w:hAnsi="times"/>
                <w:sz w:val="14"/>
              </w:rPr>
              <w:t></w:t>
            </w:r>
          </w:p>
        </w:tc>
        <w:tc>
          <w:tcPr>
            <w:tcW w:w="146"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723" w:type="dxa"/>
            <w:tcBorders/>
            <w:shd w:fill="auto" w:val="clear"/>
            <w:vAlign w:val="bottom"/>
          </w:tcPr>
          <w:p>
            <w:pPr>
              <w:pStyle w:val="TableContents"/>
              <w:spacing w:before="0" w:after="283"/>
              <w:jc w:val="right"/>
              <w:rPr>
                <w:rFonts w:ascii="times" w:hAnsi="times"/>
                <w:sz w:val="14"/>
              </w:rPr>
            </w:pPr>
            <w:r>
              <w:rPr>
                <w:rFonts w:ascii="times" w:hAnsi="times"/>
                <w:sz w:val="14"/>
              </w:rPr>
              <w:t></w:t>
            </w:r>
          </w:p>
        </w:tc>
        <w:tc>
          <w:tcPr>
            <w:tcW w:w="146"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760" w:type="dxa"/>
            <w:tcBorders/>
            <w:shd w:fill="auto" w:val="clear"/>
            <w:vAlign w:val="bottom"/>
          </w:tcPr>
          <w:p>
            <w:pPr>
              <w:pStyle w:val="TableContents"/>
              <w:spacing w:before="0" w:after="283"/>
              <w:jc w:val="right"/>
              <w:rPr>
                <w:rFonts w:ascii="times" w:hAnsi="times"/>
                <w:sz w:val="14"/>
              </w:rPr>
            </w:pPr>
            <w:r>
              <w:rPr>
                <w:rFonts w:ascii="times" w:hAnsi="times"/>
                <w:sz w:val="14"/>
              </w:rPr>
              <w:t>3,700</w:t>
            </w:r>
          </w:p>
        </w:tc>
        <w:tc>
          <w:tcPr>
            <w:tcW w:w="146"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560" w:type="dxa"/>
            <w:tcBorders/>
            <w:shd w:fill="auto" w:val="clear"/>
            <w:vAlign w:val="bottom"/>
          </w:tcPr>
          <w:p>
            <w:pPr>
              <w:pStyle w:val="TableContents"/>
              <w:spacing w:before="0" w:after="283"/>
              <w:jc w:val="right"/>
              <w:rPr>
                <w:rFonts w:ascii="times" w:hAnsi="times"/>
                <w:sz w:val="14"/>
              </w:rPr>
            </w:pPr>
            <w:r>
              <w:rPr>
                <w:rFonts w:ascii="times" w:hAnsi="times"/>
                <w:sz w:val="14"/>
              </w:rPr>
              <w:t>3,700</w:t>
            </w:r>
          </w:p>
        </w:tc>
        <w:tc>
          <w:tcPr>
            <w:tcW w:w="156" w:type="dxa"/>
            <w:tcBorders/>
            <w:shd w:fill="auto" w:val="clear"/>
            <w:vAlign w:val="bottom"/>
          </w:tcPr>
          <w:p>
            <w:pPr>
              <w:pStyle w:val="TableContents"/>
              <w:spacing w:before="0" w:after="283"/>
              <w:rPr/>
            </w:pPr>
            <w:r>
              <w:rPr/>
              <w:t> </w:t>
            </w:r>
          </w:p>
        </w:tc>
      </w:tr>
      <w:tr>
        <w:trPr/>
        <w:tc>
          <w:tcPr>
            <w:tcW w:w="1753" w:type="dxa"/>
            <w:tcBorders/>
            <w:shd w:fill="auto" w:val="clear"/>
            <w:vAlign w:val="bottom"/>
          </w:tcPr>
          <w:p>
            <w:pPr>
              <w:pStyle w:val="TableContents"/>
              <w:spacing w:before="0" w:after="283"/>
              <w:ind w:left="140" w:right="0" w:hanging="140"/>
              <w:rPr>
                <w:rFonts w:ascii="times" w:hAnsi="times"/>
                <w:sz w:val="14"/>
              </w:rPr>
            </w:pPr>
            <w:r>
              <w:rPr>
                <w:rFonts w:ascii="times" w:hAnsi="times"/>
                <w:sz w:val="14"/>
              </w:rPr>
              <w:t>Voyage expenses and commissions</w:t>
            </w:r>
          </w:p>
        </w:tc>
        <w:tc>
          <w:tcPr>
            <w:tcW w:w="145"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723" w:type="dxa"/>
            <w:tcBorders/>
            <w:shd w:fill="auto" w:val="clear"/>
            <w:vAlign w:val="bottom"/>
          </w:tcPr>
          <w:p>
            <w:pPr>
              <w:pStyle w:val="TableContents"/>
              <w:spacing w:before="0" w:after="283"/>
              <w:jc w:val="right"/>
              <w:rPr>
                <w:rFonts w:ascii="times" w:hAnsi="times"/>
                <w:sz w:val="14"/>
              </w:rPr>
            </w:pPr>
            <w:r>
              <w:rPr>
                <w:rFonts w:ascii="times" w:hAnsi="times"/>
                <w:sz w:val="14"/>
              </w:rPr>
              <w:t>(1,716</w:t>
            </w:r>
          </w:p>
        </w:tc>
        <w:tc>
          <w:tcPr>
            <w:tcW w:w="146" w:type="dxa"/>
            <w:tcBorders/>
            <w:shd w:fill="auto" w:val="clear"/>
            <w:vAlign w:val="bottom"/>
          </w:tcPr>
          <w:p>
            <w:pPr>
              <w:pStyle w:val="TableContents"/>
              <w:spacing w:before="0" w:after="283"/>
              <w:rPr>
                <w:rFonts w:ascii="times" w:hAnsi="times"/>
                <w:sz w:val="14"/>
              </w:rPr>
            </w:pPr>
            <w:r>
              <w:rPr>
                <w:rFonts w:ascii="times" w:hAnsi="times"/>
                <w:sz w:val="14"/>
              </w:rPr>
              <w:t>)</w:t>
            </w:r>
          </w:p>
        </w:tc>
        <w:tc>
          <w:tcPr>
            <w:tcW w:w="95" w:type="dxa"/>
            <w:tcBorders/>
            <w:shd w:fill="auto" w:val="clear"/>
            <w:vAlign w:val="bottom"/>
          </w:tcPr>
          <w:p>
            <w:pPr>
              <w:pStyle w:val="TableContents"/>
              <w:spacing w:before="0" w:after="283"/>
              <w:rPr/>
            </w:pPr>
            <w:r>
              <w:rPr/>
              <w:t> </w:t>
            </w:r>
          </w:p>
        </w:tc>
        <w:tc>
          <w:tcPr>
            <w:tcW w:w="760" w:type="dxa"/>
            <w:tcBorders/>
            <w:shd w:fill="auto" w:val="clear"/>
            <w:vAlign w:val="bottom"/>
          </w:tcPr>
          <w:p>
            <w:pPr>
              <w:pStyle w:val="TableContents"/>
              <w:spacing w:before="0" w:after="283"/>
              <w:jc w:val="right"/>
              <w:rPr>
                <w:rFonts w:ascii="times" w:hAnsi="times"/>
                <w:sz w:val="14"/>
              </w:rPr>
            </w:pPr>
            <w:r>
              <w:rPr>
                <w:rFonts w:ascii="times" w:hAnsi="times"/>
                <w:sz w:val="14"/>
              </w:rPr>
              <w:t>(2,841</w:t>
            </w:r>
          </w:p>
        </w:tc>
        <w:tc>
          <w:tcPr>
            <w:tcW w:w="146" w:type="dxa"/>
            <w:tcBorders/>
            <w:shd w:fill="auto" w:val="clear"/>
            <w:vAlign w:val="bottom"/>
          </w:tcPr>
          <w:p>
            <w:pPr>
              <w:pStyle w:val="TableContents"/>
              <w:spacing w:before="0" w:after="283"/>
              <w:rPr>
                <w:rFonts w:ascii="times" w:hAnsi="times"/>
                <w:sz w:val="14"/>
              </w:rPr>
            </w:pPr>
            <w:r>
              <w:rPr>
                <w:rFonts w:ascii="times" w:hAnsi="times"/>
                <w:sz w:val="14"/>
              </w:rPr>
              <w:t>)</w:t>
            </w:r>
          </w:p>
        </w:tc>
        <w:tc>
          <w:tcPr>
            <w:tcW w:w="95" w:type="dxa"/>
            <w:tcBorders/>
            <w:shd w:fill="auto" w:val="clear"/>
            <w:vAlign w:val="bottom"/>
          </w:tcPr>
          <w:p>
            <w:pPr>
              <w:pStyle w:val="TableContents"/>
              <w:spacing w:before="0" w:after="283"/>
              <w:rPr/>
            </w:pPr>
            <w:r>
              <w:rPr/>
              <w:t> </w:t>
            </w:r>
          </w:p>
        </w:tc>
        <w:tc>
          <w:tcPr>
            <w:tcW w:w="560" w:type="dxa"/>
            <w:tcBorders/>
            <w:shd w:fill="auto" w:val="clear"/>
            <w:vAlign w:val="bottom"/>
          </w:tcPr>
          <w:p>
            <w:pPr>
              <w:pStyle w:val="TableContents"/>
              <w:spacing w:before="0" w:after="283"/>
              <w:jc w:val="right"/>
              <w:rPr>
                <w:rFonts w:ascii="times" w:hAnsi="times"/>
                <w:sz w:val="14"/>
              </w:rPr>
            </w:pPr>
            <w:r>
              <w:rPr>
                <w:rFonts w:ascii="times" w:hAnsi="times"/>
                <w:sz w:val="14"/>
              </w:rPr>
              <w:t>(4,557</w:t>
            </w:r>
          </w:p>
        </w:tc>
        <w:tc>
          <w:tcPr>
            <w:tcW w:w="146" w:type="dxa"/>
            <w:tcBorders/>
            <w:shd w:fill="auto" w:val="clear"/>
            <w:vAlign w:val="bottom"/>
          </w:tcPr>
          <w:p>
            <w:pPr>
              <w:pStyle w:val="TableContents"/>
              <w:spacing w:before="0" w:after="283"/>
              <w:rPr>
                <w:rFonts w:ascii="times" w:hAnsi="times"/>
                <w:sz w:val="14"/>
              </w:rPr>
            </w:pPr>
            <w:r>
              <w:rPr>
                <w:rFonts w:ascii="times" w:hAnsi="times"/>
                <w:sz w:val="14"/>
              </w:rPr>
              <w:t>)</w:t>
            </w:r>
          </w:p>
        </w:tc>
        <w:tc>
          <w:tcPr>
            <w:tcW w:w="95" w:type="dxa"/>
            <w:tcBorders/>
            <w:shd w:fill="auto" w:val="clear"/>
            <w:vAlign w:val="bottom"/>
          </w:tcPr>
          <w:p>
            <w:pPr>
              <w:pStyle w:val="TableContents"/>
              <w:spacing w:before="0" w:after="283"/>
              <w:rPr/>
            </w:pPr>
            <w:r>
              <w:rPr/>
              <w:t> </w:t>
            </w:r>
          </w:p>
        </w:tc>
        <w:tc>
          <w:tcPr>
            <w:tcW w:w="723" w:type="dxa"/>
            <w:tcBorders/>
            <w:shd w:fill="auto" w:val="clear"/>
            <w:vAlign w:val="bottom"/>
          </w:tcPr>
          <w:p>
            <w:pPr>
              <w:pStyle w:val="TableContents"/>
              <w:spacing w:before="0" w:after="283"/>
              <w:jc w:val="right"/>
              <w:rPr>
                <w:rFonts w:ascii="times" w:hAnsi="times"/>
                <w:sz w:val="14"/>
              </w:rPr>
            </w:pPr>
            <w:r>
              <w:rPr>
                <w:rFonts w:ascii="times" w:hAnsi="times"/>
                <w:sz w:val="14"/>
              </w:rPr>
              <w:t>(1,656</w:t>
            </w:r>
          </w:p>
        </w:tc>
        <w:tc>
          <w:tcPr>
            <w:tcW w:w="145" w:type="dxa"/>
            <w:tcBorders/>
            <w:shd w:fill="auto" w:val="clear"/>
            <w:vAlign w:val="bottom"/>
          </w:tcPr>
          <w:p>
            <w:pPr>
              <w:pStyle w:val="TableContents"/>
              <w:spacing w:before="0" w:after="283"/>
              <w:rPr>
                <w:rFonts w:ascii="times" w:hAnsi="times"/>
                <w:sz w:val="14"/>
              </w:rPr>
            </w:pPr>
            <w:r>
              <w:rPr>
                <w:rFonts w:ascii="times" w:hAnsi="times"/>
                <w:sz w:val="14"/>
              </w:rPr>
              <w:t>)</w:t>
            </w:r>
          </w:p>
        </w:tc>
        <w:tc>
          <w:tcPr>
            <w:tcW w:w="95" w:type="dxa"/>
            <w:tcBorders/>
            <w:shd w:fill="auto" w:val="clear"/>
            <w:vAlign w:val="bottom"/>
          </w:tcPr>
          <w:p>
            <w:pPr>
              <w:pStyle w:val="TableContents"/>
              <w:spacing w:before="0" w:after="283"/>
              <w:rPr/>
            </w:pPr>
            <w:r>
              <w:rPr/>
              <w:t> </w:t>
            </w:r>
          </w:p>
        </w:tc>
        <w:tc>
          <w:tcPr>
            <w:tcW w:w="760" w:type="dxa"/>
            <w:tcBorders/>
            <w:shd w:fill="auto" w:val="clear"/>
            <w:vAlign w:val="bottom"/>
          </w:tcPr>
          <w:p>
            <w:pPr>
              <w:pStyle w:val="TableContents"/>
              <w:spacing w:before="0" w:after="283"/>
              <w:jc w:val="right"/>
              <w:rPr>
                <w:rFonts w:ascii="times" w:hAnsi="times"/>
                <w:sz w:val="14"/>
              </w:rPr>
            </w:pPr>
            <w:r>
              <w:rPr>
                <w:rFonts w:ascii="times" w:hAnsi="times"/>
                <w:sz w:val="14"/>
              </w:rPr>
              <w:t>(3,377</w:t>
            </w:r>
          </w:p>
        </w:tc>
        <w:tc>
          <w:tcPr>
            <w:tcW w:w="146" w:type="dxa"/>
            <w:tcBorders/>
            <w:shd w:fill="auto" w:val="clear"/>
            <w:vAlign w:val="bottom"/>
          </w:tcPr>
          <w:p>
            <w:pPr>
              <w:pStyle w:val="TableContents"/>
              <w:spacing w:before="0" w:after="283"/>
              <w:rPr>
                <w:rFonts w:ascii="times" w:hAnsi="times"/>
                <w:sz w:val="14"/>
              </w:rPr>
            </w:pPr>
            <w:r>
              <w:rPr>
                <w:rFonts w:ascii="times" w:hAnsi="times"/>
                <w:sz w:val="14"/>
              </w:rPr>
              <w:t>)</w:t>
            </w:r>
          </w:p>
        </w:tc>
        <w:tc>
          <w:tcPr>
            <w:tcW w:w="95" w:type="dxa"/>
            <w:tcBorders/>
            <w:shd w:fill="auto" w:val="clear"/>
            <w:vAlign w:val="bottom"/>
          </w:tcPr>
          <w:p>
            <w:pPr>
              <w:pStyle w:val="TableContents"/>
              <w:spacing w:before="0" w:after="283"/>
              <w:rPr/>
            </w:pPr>
            <w:r>
              <w:rPr/>
              <w:t> </w:t>
            </w:r>
          </w:p>
        </w:tc>
        <w:tc>
          <w:tcPr>
            <w:tcW w:w="560" w:type="dxa"/>
            <w:tcBorders/>
            <w:shd w:fill="auto" w:val="clear"/>
            <w:vAlign w:val="bottom"/>
          </w:tcPr>
          <w:p>
            <w:pPr>
              <w:pStyle w:val="TableContents"/>
              <w:spacing w:before="0" w:after="283"/>
              <w:jc w:val="right"/>
              <w:rPr>
                <w:rFonts w:ascii="times" w:hAnsi="times"/>
                <w:sz w:val="14"/>
              </w:rPr>
            </w:pPr>
            <w:r>
              <w:rPr>
                <w:rFonts w:ascii="times" w:hAnsi="times"/>
                <w:sz w:val="14"/>
              </w:rPr>
              <w:t>(5,033</w:t>
            </w:r>
          </w:p>
        </w:tc>
        <w:tc>
          <w:tcPr>
            <w:tcW w:w="146" w:type="dxa"/>
            <w:tcBorders/>
            <w:shd w:fill="auto" w:val="clear"/>
            <w:vAlign w:val="bottom"/>
          </w:tcPr>
          <w:p>
            <w:pPr>
              <w:pStyle w:val="TableContents"/>
              <w:spacing w:before="0" w:after="283"/>
              <w:rPr>
                <w:rFonts w:ascii="times" w:hAnsi="times"/>
                <w:sz w:val="14"/>
              </w:rPr>
            </w:pPr>
            <w:r>
              <w:rPr>
                <w:rFonts w:ascii="times" w:hAnsi="times"/>
                <w:sz w:val="14"/>
              </w:rPr>
              <w:t>)</w:t>
            </w:r>
          </w:p>
        </w:tc>
        <w:tc>
          <w:tcPr>
            <w:tcW w:w="95" w:type="dxa"/>
            <w:tcBorders/>
            <w:shd w:fill="auto" w:val="clear"/>
            <w:vAlign w:val="bottom"/>
          </w:tcPr>
          <w:p>
            <w:pPr>
              <w:pStyle w:val="TableContents"/>
              <w:spacing w:before="0" w:after="283"/>
              <w:rPr/>
            </w:pPr>
            <w:r>
              <w:rPr/>
              <w:t> </w:t>
            </w:r>
          </w:p>
        </w:tc>
        <w:tc>
          <w:tcPr>
            <w:tcW w:w="723" w:type="dxa"/>
            <w:tcBorders/>
            <w:shd w:fill="auto" w:val="clear"/>
            <w:vAlign w:val="bottom"/>
          </w:tcPr>
          <w:p>
            <w:pPr>
              <w:pStyle w:val="TableContents"/>
              <w:spacing w:before="0" w:after="283"/>
              <w:jc w:val="right"/>
              <w:rPr>
                <w:rFonts w:ascii="times" w:hAnsi="times"/>
                <w:sz w:val="14"/>
              </w:rPr>
            </w:pPr>
            <w:r>
              <w:rPr>
                <w:rFonts w:ascii="times" w:hAnsi="times"/>
                <w:sz w:val="14"/>
              </w:rPr>
              <w:t>(828</w:t>
            </w:r>
          </w:p>
        </w:tc>
        <w:tc>
          <w:tcPr>
            <w:tcW w:w="146" w:type="dxa"/>
            <w:tcBorders/>
            <w:shd w:fill="auto" w:val="clear"/>
            <w:vAlign w:val="bottom"/>
          </w:tcPr>
          <w:p>
            <w:pPr>
              <w:pStyle w:val="TableContents"/>
              <w:spacing w:before="0" w:after="283"/>
              <w:rPr>
                <w:rFonts w:ascii="times" w:hAnsi="times"/>
                <w:sz w:val="14"/>
              </w:rPr>
            </w:pPr>
            <w:r>
              <w:rPr>
                <w:rFonts w:ascii="times" w:hAnsi="times"/>
                <w:sz w:val="14"/>
              </w:rPr>
              <w:t>)</w:t>
            </w:r>
          </w:p>
        </w:tc>
        <w:tc>
          <w:tcPr>
            <w:tcW w:w="95" w:type="dxa"/>
            <w:tcBorders/>
            <w:shd w:fill="auto" w:val="clear"/>
            <w:vAlign w:val="bottom"/>
          </w:tcPr>
          <w:p>
            <w:pPr>
              <w:pStyle w:val="TableContents"/>
              <w:spacing w:before="0" w:after="283"/>
              <w:rPr/>
            </w:pPr>
            <w:r>
              <w:rPr/>
              <w:t> </w:t>
            </w:r>
          </w:p>
        </w:tc>
        <w:tc>
          <w:tcPr>
            <w:tcW w:w="760" w:type="dxa"/>
            <w:tcBorders/>
            <w:shd w:fill="auto" w:val="clear"/>
            <w:vAlign w:val="bottom"/>
          </w:tcPr>
          <w:p>
            <w:pPr>
              <w:pStyle w:val="TableContents"/>
              <w:spacing w:before="0" w:after="283"/>
              <w:jc w:val="right"/>
              <w:rPr>
                <w:rFonts w:ascii="times" w:hAnsi="times"/>
                <w:sz w:val="14"/>
              </w:rPr>
            </w:pPr>
            <w:r>
              <w:rPr>
                <w:rFonts w:ascii="times" w:hAnsi="times"/>
                <w:sz w:val="14"/>
              </w:rPr>
              <w:t>(6,678</w:t>
            </w:r>
          </w:p>
        </w:tc>
        <w:tc>
          <w:tcPr>
            <w:tcW w:w="146" w:type="dxa"/>
            <w:tcBorders/>
            <w:shd w:fill="auto" w:val="clear"/>
            <w:vAlign w:val="bottom"/>
          </w:tcPr>
          <w:p>
            <w:pPr>
              <w:pStyle w:val="TableContents"/>
              <w:spacing w:before="0" w:after="283"/>
              <w:rPr>
                <w:rFonts w:ascii="times" w:hAnsi="times"/>
                <w:sz w:val="14"/>
              </w:rPr>
            </w:pPr>
            <w:r>
              <w:rPr>
                <w:rFonts w:ascii="times" w:hAnsi="times"/>
                <w:sz w:val="14"/>
              </w:rPr>
              <w:t>)</w:t>
            </w:r>
          </w:p>
        </w:tc>
        <w:tc>
          <w:tcPr>
            <w:tcW w:w="95" w:type="dxa"/>
            <w:tcBorders/>
            <w:shd w:fill="auto" w:val="clear"/>
            <w:vAlign w:val="bottom"/>
          </w:tcPr>
          <w:p>
            <w:pPr>
              <w:pStyle w:val="TableContents"/>
              <w:spacing w:before="0" w:after="283"/>
              <w:rPr/>
            </w:pPr>
            <w:r>
              <w:rPr/>
              <w:t> </w:t>
            </w:r>
          </w:p>
        </w:tc>
        <w:tc>
          <w:tcPr>
            <w:tcW w:w="560" w:type="dxa"/>
            <w:tcBorders/>
            <w:shd w:fill="auto" w:val="clear"/>
            <w:vAlign w:val="bottom"/>
          </w:tcPr>
          <w:p>
            <w:pPr>
              <w:pStyle w:val="TableContents"/>
              <w:spacing w:before="0" w:after="283"/>
              <w:jc w:val="right"/>
              <w:rPr>
                <w:rFonts w:ascii="times" w:hAnsi="times"/>
                <w:sz w:val="14"/>
              </w:rPr>
            </w:pPr>
            <w:r>
              <w:rPr>
                <w:rFonts w:ascii="times" w:hAnsi="times"/>
                <w:sz w:val="14"/>
              </w:rPr>
              <w:t>(7,506</w:t>
            </w:r>
          </w:p>
        </w:tc>
        <w:tc>
          <w:tcPr>
            <w:tcW w:w="156" w:type="dxa"/>
            <w:tcBorders/>
            <w:shd w:fill="auto" w:val="clear"/>
            <w:vAlign w:val="bottom"/>
          </w:tcPr>
          <w:p>
            <w:pPr>
              <w:pStyle w:val="TableContents"/>
              <w:spacing w:before="0" w:after="283"/>
              <w:rPr>
                <w:rFonts w:ascii="times" w:hAnsi="times"/>
                <w:sz w:val="14"/>
              </w:rPr>
            </w:pPr>
            <w:r>
              <w:rPr>
                <w:rFonts w:ascii="times" w:hAnsi="times"/>
                <w:sz w:val="14"/>
              </w:rPr>
              <w:t>)</w:t>
            </w:r>
          </w:p>
        </w:tc>
      </w:tr>
      <w:tr>
        <w:trPr/>
        <w:tc>
          <w:tcPr>
            <w:tcW w:w="1753" w:type="dxa"/>
            <w:tcBorders/>
            <w:shd w:fill="auto" w:val="clear"/>
            <w:vAlign w:val="bottom"/>
          </w:tcPr>
          <w:p>
            <w:pPr>
              <w:pStyle w:val="TableContents"/>
              <w:spacing w:before="0" w:after="283"/>
              <w:ind w:left="140" w:right="0" w:hanging="140"/>
              <w:rPr>
                <w:rFonts w:ascii="times" w:hAnsi="times"/>
                <w:sz w:val="14"/>
              </w:rPr>
            </w:pPr>
            <w:r>
              <w:rPr>
                <w:rFonts w:ascii="times" w:hAnsi="times"/>
                <w:sz w:val="14"/>
              </w:rPr>
              <w:t>Vessel operating costs</w:t>
            </w:r>
          </w:p>
        </w:tc>
        <w:tc>
          <w:tcPr>
            <w:tcW w:w="145"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723" w:type="dxa"/>
            <w:tcBorders/>
            <w:shd w:fill="auto" w:val="clear"/>
            <w:vAlign w:val="bottom"/>
          </w:tcPr>
          <w:p>
            <w:pPr>
              <w:pStyle w:val="TableContents"/>
              <w:spacing w:before="0" w:after="283"/>
              <w:jc w:val="right"/>
              <w:rPr>
                <w:rFonts w:ascii="times" w:hAnsi="times"/>
                <w:sz w:val="14"/>
              </w:rPr>
            </w:pPr>
            <w:r>
              <w:rPr>
                <w:rFonts w:ascii="times" w:hAnsi="times"/>
                <w:sz w:val="14"/>
              </w:rPr>
              <w:t>(22,207</w:t>
            </w:r>
          </w:p>
        </w:tc>
        <w:tc>
          <w:tcPr>
            <w:tcW w:w="146" w:type="dxa"/>
            <w:tcBorders/>
            <w:shd w:fill="auto" w:val="clear"/>
            <w:vAlign w:val="bottom"/>
          </w:tcPr>
          <w:p>
            <w:pPr>
              <w:pStyle w:val="TableContents"/>
              <w:spacing w:before="0" w:after="283"/>
              <w:rPr>
                <w:rFonts w:ascii="times" w:hAnsi="times"/>
                <w:sz w:val="14"/>
              </w:rPr>
            </w:pPr>
            <w:r>
              <w:rPr>
                <w:rFonts w:ascii="times" w:hAnsi="times"/>
                <w:sz w:val="14"/>
              </w:rPr>
              <w:t>)</w:t>
            </w:r>
          </w:p>
        </w:tc>
        <w:tc>
          <w:tcPr>
            <w:tcW w:w="95" w:type="dxa"/>
            <w:tcBorders/>
            <w:shd w:fill="auto" w:val="clear"/>
            <w:vAlign w:val="bottom"/>
          </w:tcPr>
          <w:p>
            <w:pPr>
              <w:pStyle w:val="TableContents"/>
              <w:spacing w:before="0" w:after="283"/>
              <w:rPr/>
            </w:pPr>
            <w:r>
              <w:rPr/>
              <w:t> </w:t>
            </w:r>
          </w:p>
        </w:tc>
        <w:tc>
          <w:tcPr>
            <w:tcW w:w="760" w:type="dxa"/>
            <w:tcBorders/>
            <w:shd w:fill="auto" w:val="clear"/>
            <w:vAlign w:val="bottom"/>
          </w:tcPr>
          <w:p>
            <w:pPr>
              <w:pStyle w:val="TableContents"/>
              <w:spacing w:before="0" w:after="283"/>
              <w:jc w:val="right"/>
              <w:rPr>
                <w:rFonts w:ascii="times" w:hAnsi="times"/>
                <w:sz w:val="14"/>
              </w:rPr>
            </w:pPr>
            <w:r>
              <w:rPr>
                <w:rFonts w:ascii="times" w:hAnsi="times"/>
                <w:sz w:val="14"/>
              </w:rPr>
              <w:t>(43,479</w:t>
            </w:r>
          </w:p>
        </w:tc>
        <w:tc>
          <w:tcPr>
            <w:tcW w:w="146" w:type="dxa"/>
            <w:tcBorders/>
            <w:shd w:fill="auto" w:val="clear"/>
            <w:vAlign w:val="bottom"/>
          </w:tcPr>
          <w:p>
            <w:pPr>
              <w:pStyle w:val="TableContents"/>
              <w:spacing w:before="0" w:after="283"/>
              <w:rPr>
                <w:rFonts w:ascii="times" w:hAnsi="times"/>
                <w:sz w:val="14"/>
              </w:rPr>
            </w:pPr>
            <w:r>
              <w:rPr>
                <w:rFonts w:ascii="times" w:hAnsi="times"/>
                <w:sz w:val="14"/>
              </w:rPr>
              <w:t>)</w:t>
            </w:r>
          </w:p>
        </w:tc>
        <w:tc>
          <w:tcPr>
            <w:tcW w:w="95" w:type="dxa"/>
            <w:tcBorders/>
            <w:shd w:fill="auto" w:val="clear"/>
            <w:vAlign w:val="bottom"/>
          </w:tcPr>
          <w:p>
            <w:pPr>
              <w:pStyle w:val="TableContents"/>
              <w:spacing w:before="0" w:after="283"/>
              <w:rPr/>
            </w:pPr>
            <w:r>
              <w:rPr/>
              <w:t> </w:t>
            </w:r>
          </w:p>
        </w:tc>
        <w:tc>
          <w:tcPr>
            <w:tcW w:w="560" w:type="dxa"/>
            <w:tcBorders/>
            <w:shd w:fill="auto" w:val="clear"/>
            <w:vAlign w:val="bottom"/>
          </w:tcPr>
          <w:p>
            <w:pPr>
              <w:pStyle w:val="TableContents"/>
              <w:spacing w:before="0" w:after="283"/>
              <w:jc w:val="right"/>
              <w:rPr>
                <w:rFonts w:ascii="times" w:hAnsi="times"/>
                <w:sz w:val="14"/>
              </w:rPr>
            </w:pPr>
            <w:r>
              <w:rPr>
                <w:rFonts w:ascii="times" w:hAnsi="times"/>
                <w:sz w:val="14"/>
              </w:rPr>
              <w:t>(65,686</w:t>
            </w:r>
          </w:p>
        </w:tc>
        <w:tc>
          <w:tcPr>
            <w:tcW w:w="146" w:type="dxa"/>
            <w:tcBorders/>
            <w:shd w:fill="auto" w:val="clear"/>
            <w:vAlign w:val="bottom"/>
          </w:tcPr>
          <w:p>
            <w:pPr>
              <w:pStyle w:val="TableContents"/>
              <w:spacing w:before="0" w:after="283"/>
              <w:rPr>
                <w:rFonts w:ascii="times" w:hAnsi="times"/>
                <w:sz w:val="14"/>
              </w:rPr>
            </w:pPr>
            <w:r>
              <w:rPr>
                <w:rFonts w:ascii="times" w:hAnsi="times"/>
                <w:sz w:val="14"/>
              </w:rPr>
              <w:t>)</w:t>
            </w:r>
          </w:p>
        </w:tc>
        <w:tc>
          <w:tcPr>
            <w:tcW w:w="95" w:type="dxa"/>
            <w:tcBorders/>
            <w:shd w:fill="auto" w:val="clear"/>
            <w:vAlign w:val="bottom"/>
          </w:tcPr>
          <w:p>
            <w:pPr>
              <w:pStyle w:val="TableContents"/>
              <w:spacing w:before="0" w:after="283"/>
              <w:rPr/>
            </w:pPr>
            <w:r>
              <w:rPr/>
              <w:t> </w:t>
            </w:r>
          </w:p>
        </w:tc>
        <w:tc>
          <w:tcPr>
            <w:tcW w:w="723" w:type="dxa"/>
            <w:tcBorders/>
            <w:shd w:fill="auto" w:val="clear"/>
            <w:vAlign w:val="bottom"/>
          </w:tcPr>
          <w:p>
            <w:pPr>
              <w:pStyle w:val="TableContents"/>
              <w:spacing w:before="0" w:after="283"/>
              <w:jc w:val="right"/>
              <w:rPr>
                <w:rFonts w:ascii="times" w:hAnsi="times"/>
                <w:sz w:val="14"/>
              </w:rPr>
            </w:pPr>
            <w:r>
              <w:rPr>
                <w:rFonts w:ascii="times" w:hAnsi="times"/>
                <w:sz w:val="14"/>
              </w:rPr>
              <w:t>(20,580</w:t>
            </w:r>
          </w:p>
        </w:tc>
        <w:tc>
          <w:tcPr>
            <w:tcW w:w="145" w:type="dxa"/>
            <w:tcBorders/>
            <w:shd w:fill="auto" w:val="clear"/>
            <w:vAlign w:val="bottom"/>
          </w:tcPr>
          <w:p>
            <w:pPr>
              <w:pStyle w:val="TableContents"/>
              <w:spacing w:before="0" w:after="283"/>
              <w:rPr>
                <w:rFonts w:ascii="times" w:hAnsi="times"/>
                <w:sz w:val="14"/>
              </w:rPr>
            </w:pPr>
            <w:r>
              <w:rPr>
                <w:rFonts w:ascii="times" w:hAnsi="times"/>
                <w:sz w:val="14"/>
              </w:rPr>
              <w:t>)</w:t>
            </w:r>
          </w:p>
        </w:tc>
        <w:tc>
          <w:tcPr>
            <w:tcW w:w="95" w:type="dxa"/>
            <w:tcBorders/>
            <w:shd w:fill="auto" w:val="clear"/>
            <w:vAlign w:val="bottom"/>
          </w:tcPr>
          <w:p>
            <w:pPr>
              <w:pStyle w:val="TableContents"/>
              <w:spacing w:before="0" w:after="283"/>
              <w:rPr/>
            </w:pPr>
            <w:r>
              <w:rPr/>
              <w:t> </w:t>
            </w:r>
          </w:p>
        </w:tc>
        <w:tc>
          <w:tcPr>
            <w:tcW w:w="760" w:type="dxa"/>
            <w:tcBorders/>
            <w:shd w:fill="auto" w:val="clear"/>
            <w:vAlign w:val="bottom"/>
          </w:tcPr>
          <w:p>
            <w:pPr>
              <w:pStyle w:val="TableContents"/>
              <w:spacing w:before="0" w:after="283"/>
              <w:jc w:val="right"/>
              <w:rPr>
                <w:rFonts w:ascii="times" w:hAnsi="times"/>
                <w:sz w:val="14"/>
              </w:rPr>
            </w:pPr>
            <w:r>
              <w:rPr>
                <w:rFonts w:ascii="times" w:hAnsi="times"/>
                <w:sz w:val="14"/>
              </w:rPr>
              <w:t>(55,692</w:t>
            </w:r>
          </w:p>
        </w:tc>
        <w:tc>
          <w:tcPr>
            <w:tcW w:w="146" w:type="dxa"/>
            <w:tcBorders/>
            <w:shd w:fill="auto" w:val="clear"/>
            <w:vAlign w:val="bottom"/>
          </w:tcPr>
          <w:p>
            <w:pPr>
              <w:pStyle w:val="TableContents"/>
              <w:spacing w:before="0" w:after="283"/>
              <w:rPr>
                <w:rFonts w:ascii="times" w:hAnsi="times"/>
                <w:sz w:val="14"/>
              </w:rPr>
            </w:pPr>
            <w:r>
              <w:rPr>
                <w:rFonts w:ascii="times" w:hAnsi="times"/>
                <w:sz w:val="14"/>
              </w:rPr>
              <w:t>)</w:t>
            </w:r>
          </w:p>
        </w:tc>
        <w:tc>
          <w:tcPr>
            <w:tcW w:w="95" w:type="dxa"/>
            <w:tcBorders/>
            <w:shd w:fill="auto" w:val="clear"/>
            <w:vAlign w:val="bottom"/>
          </w:tcPr>
          <w:p>
            <w:pPr>
              <w:pStyle w:val="TableContents"/>
              <w:spacing w:before="0" w:after="283"/>
              <w:rPr/>
            </w:pPr>
            <w:r>
              <w:rPr/>
              <w:t> </w:t>
            </w:r>
          </w:p>
        </w:tc>
        <w:tc>
          <w:tcPr>
            <w:tcW w:w="560" w:type="dxa"/>
            <w:tcBorders/>
            <w:shd w:fill="auto" w:val="clear"/>
            <w:vAlign w:val="bottom"/>
          </w:tcPr>
          <w:p>
            <w:pPr>
              <w:pStyle w:val="TableContents"/>
              <w:spacing w:before="0" w:after="283"/>
              <w:jc w:val="right"/>
              <w:rPr>
                <w:rFonts w:ascii="times" w:hAnsi="times"/>
                <w:sz w:val="14"/>
              </w:rPr>
            </w:pPr>
            <w:r>
              <w:rPr>
                <w:rFonts w:ascii="times" w:hAnsi="times"/>
                <w:sz w:val="14"/>
              </w:rPr>
              <w:t>(76,272</w:t>
            </w:r>
          </w:p>
        </w:tc>
        <w:tc>
          <w:tcPr>
            <w:tcW w:w="146" w:type="dxa"/>
            <w:tcBorders/>
            <w:shd w:fill="auto" w:val="clear"/>
            <w:vAlign w:val="bottom"/>
          </w:tcPr>
          <w:p>
            <w:pPr>
              <w:pStyle w:val="TableContents"/>
              <w:spacing w:before="0" w:after="283"/>
              <w:rPr>
                <w:rFonts w:ascii="times" w:hAnsi="times"/>
                <w:sz w:val="14"/>
              </w:rPr>
            </w:pPr>
            <w:r>
              <w:rPr>
                <w:rFonts w:ascii="times" w:hAnsi="times"/>
                <w:sz w:val="14"/>
              </w:rPr>
              <w:t>)</w:t>
            </w:r>
          </w:p>
        </w:tc>
        <w:tc>
          <w:tcPr>
            <w:tcW w:w="95" w:type="dxa"/>
            <w:tcBorders/>
            <w:shd w:fill="auto" w:val="clear"/>
            <w:vAlign w:val="bottom"/>
          </w:tcPr>
          <w:p>
            <w:pPr>
              <w:pStyle w:val="TableContents"/>
              <w:spacing w:before="0" w:after="283"/>
              <w:rPr/>
            </w:pPr>
            <w:r>
              <w:rPr/>
              <w:t> </w:t>
            </w:r>
          </w:p>
        </w:tc>
        <w:tc>
          <w:tcPr>
            <w:tcW w:w="723" w:type="dxa"/>
            <w:tcBorders/>
            <w:shd w:fill="auto" w:val="clear"/>
            <w:vAlign w:val="bottom"/>
          </w:tcPr>
          <w:p>
            <w:pPr>
              <w:pStyle w:val="TableContents"/>
              <w:spacing w:before="0" w:after="283"/>
              <w:jc w:val="right"/>
              <w:rPr>
                <w:rFonts w:ascii="times" w:hAnsi="times"/>
                <w:sz w:val="14"/>
              </w:rPr>
            </w:pPr>
            <w:r>
              <w:rPr>
                <w:rFonts w:ascii="times" w:hAnsi="times"/>
                <w:sz w:val="14"/>
              </w:rPr>
              <w:t>(12,245</w:t>
            </w:r>
          </w:p>
        </w:tc>
        <w:tc>
          <w:tcPr>
            <w:tcW w:w="146" w:type="dxa"/>
            <w:tcBorders/>
            <w:shd w:fill="auto" w:val="clear"/>
            <w:vAlign w:val="bottom"/>
          </w:tcPr>
          <w:p>
            <w:pPr>
              <w:pStyle w:val="TableContents"/>
              <w:spacing w:before="0" w:after="283"/>
              <w:rPr>
                <w:rFonts w:ascii="times" w:hAnsi="times"/>
                <w:sz w:val="14"/>
              </w:rPr>
            </w:pPr>
            <w:r>
              <w:rPr>
                <w:rFonts w:ascii="times" w:hAnsi="times"/>
                <w:sz w:val="14"/>
              </w:rPr>
              <w:t>)</w:t>
            </w:r>
          </w:p>
        </w:tc>
        <w:tc>
          <w:tcPr>
            <w:tcW w:w="95" w:type="dxa"/>
            <w:tcBorders/>
            <w:shd w:fill="auto" w:val="clear"/>
            <w:vAlign w:val="bottom"/>
          </w:tcPr>
          <w:p>
            <w:pPr>
              <w:pStyle w:val="TableContents"/>
              <w:spacing w:before="0" w:after="283"/>
              <w:rPr/>
            </w:pPr>
            <w:r>
              <w:rPr/>
              <w:t> </w:t>
            </w:r>
          </w:p>
        </w:tc>
        <w:tc>
          <w:tcPr>
            <w:tcW w:w="760" w:type="dxa"/>
            <w:tcBorders/>
            <w:shd w:fill="auto" w:val="clear"/>
            <w:vAlign w:val="bottom"/>
          </w:tcPr>
          <w:p>
            <w:pPr>
              <w:pStyle w:val="TableContents"/>
              <w:spacing w:before="0" w:after="283"/>
              <w:jc w:val="right"/>
              <w:rPr>
                <w:rFonts w:ascii="times" w:hAnsi="times"/>
                <w:sz w:val="14"/>
              </w:rPr>
            </w:pPr>
            <w:r>
              <w:rPr>
                <w:rFonts w:ascii="times" w:hAnsi="times"/>
                <w:sz w:val="14"/>
              </w:rPr>
              <w:t>(61,452</w:t>
            </w:r>
          </w:p>
        </w:tc>
        <w:tc>
          <w:tcPr>
            <w:tcW w:w="146" w:type="dxa"/>
            <w:tcBorders/>
            <w:shd w:fill="auto" w:val="clear"/>
            <w:vAlign w:val="bottom"/>
          </w:tcPr>
          <w:p>
            <w:pPr>
              <w:pStyle w:val="TableContents"/>
              <w:spacing w:before="0" w:after="283"/>
              <w:rPr>
                <w:rFonts w:ascii="times" w:hAnsi="times"/>
                <w:sz w:val="14"/>
              </w:rPr>
            </w:pPr>
            <w:r>
              <w:rPr>
                <w:rFonts w:ascii="times" w:hAnsi="times"/>
                <w:sz w:val="14"/>
              </w:rPr>
              <w:t>)</w:t>
            </w:r>
          </w:p>
        </w:tc>
        <w:tc>
          <w:tcPr>
            <w:tcW w:w="95" w:type="dxa"/>
            <w:tcBorders/>
            <w:shd w:fill="auto" w:val="clear"/>
            <w:vAlign w:val="bottom"/>
          </w:tcPr>
          <w:p>
            <w:pPr>
              <w:pStyle w:val="TableContents"/>
              <w:spacing w:before="0" w:after="283"/>
              <w:rPr/>
            </w:pPr>
            <w:r>
              <w:rPr/>
              <w:t> </w:t>
            </w:r>
          </w:p>
        </w:tc>
        <w:tc>
          <w:tcPr>
            <w:tcW w:w="560" w:type="dxa"/>
            <w:tcBorders/>
            <w:shd w:fill="auto" w:val="clear"/>
            <w:vAlign w:val="bottom"/>
          </w:tcPr>
          <w:p>
            <w:pPr>
              <w:pStyle w:val="TableContents"/>
              <w:spacing w:before="0" w:after="283"/>
              <w:jc w:val="right"/>
              <w:rPr>
                <w:rFonts w:ascii="times" w:hAnsi="times"/>
                <w:sz w:val="14"/>
              </w:rPr>
            </w:pPr>
            <w:r>
              <w:rPr>
                <w:rFonts w:ascii="times" w:hAnsi="times"/>
                <w:sz w:val="14"/>
              </w:rPr>
              <w:t>(73,697</w:t>
            </w:r>
          </w:p>
        </w:tc>
        <w:tc>
          <w:tcPr>
            <w:tcW w:w="156" w:type="dxa"/>
            <w:tcBorders/>
            <w:shd w:fill="auto" w:val="clear"/>
            <w:vAlign w:val="bottom"/>
          </w:tcPr>
          <w:p>
            <w:pPr>
              <w:pStyle w:val="TableContents"/>
              <w:spacing w:before="0" w:after="283"/>
              <w:rPr>
                <w:rFonts w:ascii="times" w:hAnsi="times"/>
                <w:sz w:val="14"/>
              </w:rPr>
            </w:pPr>
            <w:r>
              <w:rPr>
                <w:rFonts w:ascii="times" w:hAnsi="times"/>
                <w:sz w:val="14"/>
              </w:rPr>
              <w:t>)</w:t>
            </w:r>
          </w:p>
        </w:tc>
      </w:tr>
      <w:tr>
        <w:trPr/>
        <w:tc>
          <w:tcPr>
            <w:tcW w:w="1753" w:type="dxa"/>
            <w:tcBorders/>
            <w:shd w:fill="auto" w:val="clear"/>
            <w:vAlign w:val="bottom"/>
          </w:tcPr>
          <w:p>
            <w:pPr>
              <w:pStyle w:val="TableContents"/>
              <w:spacing w:before="0" w:after="283"/>
              <w:ind w:left="140" w:right="0" w:hanging="140"/>
              <w:rPr>
                <w:rFonts w:ascii="times" w:hAnsi="times"/>
                <w:sz w:val="14"/>
              </w:rPr>
            </w:pPr>
            <w:r>
              <w:rPr>
                <w:rFonts w:ascii="times" w:hAnsi="times"/>
                <w:sz w:val="14"/>
              </w:rPr>
              <w:t>Depreciation</w:t>
            </w:r>
          </w:p>
        </w:tc>
        <w:tc>
          <w:tcPr>
            <w:tcW w:w="145"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723" w:type="dxa"/>
            <w:tcBorders/>
            <w:shd w:fill="auto" w:val="clear"/>
            <w:vAlign w:val="bottom"/>
          </w:tcPr>
          <w:p>
            <w:pPr>
              <w:pStyle w:val="TableContents"/>
              <w:spacing w:before="0" w:after="283"/>
              <w:jc w:val="right"/>
              <w:rPr>
                <w:rFonts w:ascii="times" w:hAnsi="times"/>
                <w:sz w:val="14"/>
              </w:rPr>
            </w:pPr>
            <w:r>
              <w:rPr>
                <w:rFonts w:ascii="times" w:hAnsi="times"/>
                <w:sz w:val="14"/>
              </w:rPr>
              <w:t>(28,067</w:t>
            </w:r>
          </w:p>
        </w:tc>
        <w:tc>
          <w:tcPr>
            <w:tcW w:w="146" w:type="dxa"/>
            <w:tcBorders/>
            <w:shd w:fill="auto" w:val="clear"/>
            <w:vAlign w:val="bottom"/>
          </w:tcPr>
          <w:p>
            <w:pPr>
              <w:pStyle w:val="TableContents"/>
              <w:spacing w:before="0" w:after="283"/>
              <w:rPr>
                <w:rFonts w:ascii="times" w:hAnsi="times"/>
                <w:sz w:val="14"/>
              </w:rPr>
            </w:pPr>
            <w:r>
              <w:rPr>
                <w:rFonts w:ascii="times" w:hAnsi="times"/>
                <w:sz w:val="14"/>
              </w:rPr>
              <w:t>)</w:t>
            </w:r>
          </w:p>
        </w:tc>
        <w:tc>
          <w:tcPr>
            <w:tcW w:w="95" w:type="dxa"/>
            <w:tcBorders/>
            <w:shd w:fill="auto" w:val="clear"/>
            <w:vAlign w:val="bottom"/>
          </w:tcPr>
          <w:p>
            <w:pPr>
              <w:pStyle w:val="TableContents"/>
              <w:spacing w:before="0" w:after="283"/>
              <w:rPr/>
            </w:pPr>
            <w:r>
              <w:rPr/>
              <w:t> </w:t>
            </w:r>
          </w:p>
        </w:tc>
        <w:tc>
          <w:tcPr>
            <w:tcW w:w="760" w:type="dxa"/>
            <w:tcBorders/>
            <w:shd w:fill="auto" w:val="clear"/>
            <w:vAlign w:val="bottom"/>
          </w:tcPr>
          <w:p>
            <w:pPr>
              <w:pStyle w:val="TableContents"/>
              <w:spacing w:before="0" w:after="283"/>
              <w:jc w:val="right"/>
              <w:rPr>
                <w:rFonts w:ascii="times" w:hAnsi="times"/>
                <w:sz w:val="14"/>
              </w:rPr>
            </w:pPr>
            <w:r>
              <w:rPr>
                <w:rFonts w:ascii="times" w:hAnsi="times"/>
                <w:sz w:val="14"/>
              </w:rPr>
              <w:t>(45,230</w:t>
            </w:r>
          </w:p>
        </w:tc>
        <w:tc>
          <w:tcPr>
            <w:tcW w:w="146" w:type="dxa"/>
            <w:tcBorders/>
            <w:shd w:fill="auto" w:val="clear"/>
            <w:vAlign w:val="bottom"/>
          </w:tcPr>
          <w:p>
            <w:pPr>
              <w:pStyle w:val="TableContents"/>
              <w:spacing w:before="0" w:after="283"/>
              <w:rPr>
                <w:rFonts w:ascii="times" w:hAnsi="times"/>
                <w:sz w:val="14"/>
              </w:rPr>
            </w:pPr>
            <w:r>
              <w:rPr>
                <w:rFonts w:ascii="times" w:hAnsi="times"/>
                <w:sz w:val="14"/>
              </w:rPr>
              <w:t>)</w:t>
            </w:r>
          </w:p>
        </w:tc>
        <w:tc>
          <w:tcPr>
            <w:tcW w:w="95" w:type="dxa"/>
            <w:tcBorders/>
            <w:shd w:fill="auto" w:val="clear"/>
            <w:vAlign w:val="bottom"/>
          </w:tcPr>
          <w:p>
            <w:pPr>
              <w:pStyle w:val="TableContents"/>
              <w:spacing w:before="0" w:after="283"/>
              <w:rPr/>
            </w:pPr>
            <w:r>
              <w:rPr/>
              <w:t> </w:t>
            </w:r>
          </w:p>
        </w:tc>
        <w:tc>
          <w:tcPr>
            <w:tcW w:w="560" w:type="dxa"/>
            <w:tcBorders/>
            <w:shd w:fill="auto" w:val="clear"/>
            <w:vAlign w:val="bottom"/>
          </w:tcPr>
          <w:p>
            <w:pPr>
              <w:pStyle w:val="TableContents"/>
              <w:spacing w:before="0" w:after="283"/>
              <w:jc w:val="right"/>
              <w:rPr>
                <w:rFonts w:ascii="times" w:hAnsi="times"/>
                <w:sz w:val="14"/>
              </w:rPr>
            </w:pPr>
            <w:r>
              <w:rPr>
                <w:rFonts w:ascii="times" w:hAnsi="times"/>
                <w:sz w:val="14"/>
              </w:rPr>
              <w:t>(73,297</w:t>
            </w:r>
          </w:p>
        </w:tc>
        <w:tc>
          <w:tcPr>
            <w:tcW w:w="146" w:type="dxa"/>
            <w:tcBorders/>
            <w:shd w:fill="auto" w:val="clear"/>
            <w:vAlign w:val="bottom"/>
          </w:tcPr>
          <w:p>
            <w:pPr>
              <w:pStyle w:val="TableContents"/>
              <w:spacing w:before="0" w:after="283"/>
              <w:rPr>
                <w:rFonts w:ascii="times" w:hAnsi="times"/>
                <w:sz w:val="14"/>
              </w:rPr>
            </w:pPr>
            <w:r>
              <w:rPr>
                <w:rFonts w:ascii="times" w:hAnsi="times"/>
                <w:sz w:val="14"/>
              </w:rPr>
              <w:t>)</w:t>
            </w:r>
          </w:p>
        </w:tc>
        <w:tc>
          <w:tcPr>
            <w:tcW w:w="95" w:type="dxa"/>
            <w:tcBorders/>
            <w:shd w:fill="auto" w:val="clear"/>
            <w:vAlign w:val="bottom"/>
          </w:tcPr>
          <w:p>
            <w:pPr>
              <w:pStyle w:val="TableContents"/>
              <w:spacing w:before="0" w:after="283"/>
              <w:rPr/>
            </w:pPr>
            <w:r>
              <w:rPr/>
              <w:t> </w:t>
            </w:r>
          </w:p>
        </w:tc>
        <w:tc>
          <w:tcPr>
            <w:tcW w:w="723" w:type="dxa"/>
            <w:tcBorders/>
            <w:shd w:fill="auto" w:val="clear"/>
            <w:vAlign w:val="bottom"/>
          </w:tcPr>
          <w:p>
            <w:pPr>
              <w:pStyle w:val="TableContents"/>
              <w:spacing w:before="0" w:after="283"/>
              <w:jc w:val="right"/>
              <w:rPr>
                <w:rFonts w:ascii="times" w:hAnsi="times"/>
                <w:sz w:val="14"/>
              </w:rPr>
            </w:pPr>
            <w:r>
              <w:rPr>
                <w:rFonts w:ascii="times" w:hAnsi="times"/>
                <w:sz w:val="14"/>
              </w:rPr>
              <w:t>(28,855</w:t>
            </w:r>
          </w:p>
        </w:tc>
        <w:tc>
          <w:tcPr>
            <w:tcW w:w="145" w:type="dxa"/>
            <w:tcBorders/>
            <w:shd w:fill="auto" w:val="clear"/>
            <w:vAlign w:val="bottom"/>
          </w:tcPr>
          <w:p>
            <w:pPr>
              <w:pStyle w:val="TableContents"/>
              <w:spacing w:before="0" w:after="283"/>
              <w:rPr>
                <w:rFonts w:ascii="times" w:hAnsi="times"/>
                <w:sz w:val="14"/>
              </w:rPr>
            </w:pPr>
            <w:r>
              <w:rPr>
                <w:rFonts w:ascii="times" w:hAnsi="times"/>
                <w:sz w:val="14"/>
              </w:rPr>
              <w:t>)</w:t>
            </w:r>
          </w:p>
        </w:tc>
        <w:tc>
          <w:tcPr>
            <w:tcW w:w="95" w:type="dxa"/>
            <w:tcBorders/>
            <w:shd w:fill="auto" w:val="clear"/>
            <w:vAlign w:val="bottom"/>
          </w:tcPr>
          <w:p>
            <w:pPr>
              <w:pStyle w:val="TableContents"/>
              <w:spacing w:before="0" w:after="283"/>
              <w:rPr/>
            </w:pPr>
            <w:r>
              <w:rPr/>
              <w:t> </w:t>
            </w:r>
          </w:p>
        </w:tc>
        <w:tc>
          <w:tcPr>
            <w:tcW w:w="760" w:type="dxa"/>
            <w:tcBorders/>
            <w:shd w:fill="auto" w:val="clear"/>
            <w:vAlign w:val="bottom"/>
          </w:tcPr>
          <w:p>
            <w:pPr>
              <w:pStyle w:val="TableContents"/>
              <w:spacing w:before="0" w:after="283"/>
              <w:jc w:val="right"/>
              <w:rPr>
                <w:rFonts w:ascii="times" w:hAnsi="times"/>
                <w:sz w:val="14"/>
              </w:rPr>
            </w:pPr>
            <w:r>
              <w:rPr>
                <w:rFonts w:ascii="times" w:hAnsi="times"/>
                <w:sz w:val="14"/>
              </w:rPr>
              <w:t>(58,193</w:t>
            </w:r>
          </w:p>
        </w:tc>
        <w:tc>
          <w:tcPr>
            <w:tcW w:w="146" w:type="dxa"/>
            <w:tcBorders/>
            <w:shd w:fill="auto" w:val="clear"/>
            <w:vAlign w:val="bottom"/>
          </w:tcPr>
          <w:p>
            <w:pPr>
              <w:pStyle w:val="TableContents"/>
              <w:spacing w:before="0" w:after="283"/>
              <w:rPr>
                <w:rFonts w:ascii="times" w:hAnsi="times"/>
                <w:sz w:val="14"/>
              </w:rPr>
            </w:pPr>
            <w:r>
              <w:rPr>
                <w:rFonts w:ascii="times" w:hAnsi="times"/>
                <w:sz w:val="14"/>
              </w:rPr>
              <w:t>)</w:t>
            </w:r>
          </w:p>
        </w:tc>
        <w:tc>
          <w:tcPr>
            <w:tcW w:w="95" w:type="dxa"/>
            <w:tcBorders/>
            <w:shd w:fill="auto" w:val="clear"/>
            <w:vAlign w:val="bottom"/>
          </w:tcPr>
          <w:p>
            <w:pPr>
              <w:pStyle w:val="TableContents"/>
              <w:spacing w:before="0" w:after="283"/>
              <w:rPr/>
            </w:pPr>
            <w:r>
              <w:rPr/>
              <w:t> </w:t>
            </w:r>
          </w:p>
        </w:tc>
        <w:tc>
          <w:tcPr>
            <w:tcW w:w="560" w:type="dxa"/>
            <w:tcBorders/>
            <w:shd w:fill="auto" w:val="clear"/>
            <w:vAlign w:val="bottom"/>
          </w:tcPr>
          <w:p>
            <w:pPr>
              <w:pStyle w:val="TableContents"/>
              <w:spacing w:before="0" w:after="283"/>
              <w:jc w:val="right"/>
              <w:rPr>
                <w:rFonts w:ascii="times" w:hAnsi="times"/>
                <w:sz w:val="14"/>
              </w:rPr>
            </w:pPr>
            <w:r>
              <w:rPr>
                <w:rFonts w:ascii="times" w:hAnsi="times"/>
                <w:sz w:val="14"/>
              </w:rPr>
              <w:t>(87,048</w:t>
            </w:r>
          </w:p>
        </w:tc>
        <w:tc>
          <w:tcPr>
            <w:tcW w:w="146" w:type="dxa"/>
            <w:tcBorders/>
            <w:shd w:fill="auto" w:val="clear"/>
            <w:vAlign w:val="bottom"/>
          </w:tcPr>
          <w:p>
            <w:pPr>
              <w:pStyle w:val="TableContents"/>
              <w:spacing w:before="0" w:after="283"/>
              <w:rPr>
                <w:rFonts w:ascii="times" w:hAnsi="times"/>
                <w:sz w:val="14"/>
              </w:rPr>
            </w:pPr>
            <w:r>
              <w:rPr>
                <w:rFonts w:ascii="times" w:hAnsi="times"/>
                <w:sz w:val="14"/>
              </w:rPr>
              <w:t>)</w:t>
            </w:r>
          </w:p>
        </w:tc>
        <w:tc>
          <w:tcPr>
            <w:tcW w:w="95" w:type="dxa"/>
            <w:tcBorders/>
            <w:shd w:fill="auto" w:val="clear"/>
            <w:vAlign w:val="bottom"/>
          </w:tcPr>
          <w:p>
            <w:pPr>
              <w:pStyle w:val="TableContents"/>
              <w:spacing w:before="0" w:after="283"/>
              <w:rPr/>
            </w:pPr>
            <w:r>
              <w:rPr/>
              <w:t> </w:t>
            </w:r>
          </w:p>
        </w:tc>
        <w:tc>
          <w:tcPr>
            <w:tcW w:w="723" w:type="dxa"/>
            <w:tcBorders/>
            <w:shd w:fill="auto" w:val="clear"/>
            <w:vAlign w:val="bottom"/>
          </w:tcPr>
          <w:p>
            <w:pPr>
              <w:pStyle w:val="TableContents"/>
              <w:spacing w:before="0" w:after="283"/>
              <w:jc w:val="right"/>
              <w:rPr>
                <w:rFonts w:ascii="times" w:hAnsi="times"/>
                <w:sz w:val="14"/>
              </w:rPr>
            </w:pPr>
            <w:r>
              <w:rPr>
                <w:rFonts w:ascii="times" w:hAnsi="times"/>
                <w:sz w:val="14"/>
              </w:rPr>
              <w:t>(14,433</w:t>
            </w:r>
          </w:p>
        </w:tc>
        <w:tc>
          <w:tcPr>
            <w:tcW w:w="146" w:type="dxa"/>
            <w:tcBorders/>
            <w:shd w:fill="auto" w:val="clear"/>
            <w:vAlign w:val="bottom"/>
          </w:tcPr>
          <w:p>
            <w:pPr>
              <w:pStyle w:val="TableContents"/>
              <w:spacing w:before="0" w:after="283"/>
              <w:rPr>
                <w:rFonts w:ascii="times" w:hAnsi="times"/>
                <w:sz w:val="14"/>
              </w:rPr>
            </w:pPr>
            <w:r>
              <w:rPr>
                <w:rFonts w:ascii="times" w:hAnsi="times"/>
                <w:sz w:val="14"/>
              </w:rPr>
              <w:t>)</w:t>
            </w:r>
          </w:p>
        </w:tc>
        <w:tc>
          <w:tcPr>
            <w:tcW w:w="95" w:type="dxa"/>
            <w:tcBorders/>
            <w:shd w:fill="auto" w:val="clear"/>
            <w:vAlign w:val="bottom"/>
          </w:tcPr>
          <w:p>
            <w:pPr>
              <w:pStyle w:val="TableContents"/>
              <w:spacing w:before="0" w:after="283"/>
              <w:rPr/>
            </w:pPr>
            <w:r>
              <w:rPr/>
              <w:t> </w:t>
            </w:r>
          </w:p>
        </w:tc>
        <w:tc>
          <w:tcPr>
            <w:tcW w:w="760" w:type="dxa"/>
            <w:tcBorders/>
            <w:shd w:fill="auto" w:val="clear"/>
            <w:vAlign w:val="bottom"/>
          </w:tcPr>
          <w:p>
            <w:pPr>
              <w:pStyle w:val="TableContents"/>
              <w:spacing w:before="0" w:after="283"/>
              <w:jc w:val="right"/>
              <w:rPr>
                <w:rFonts w:ascii="times" w:hAnsi="times"/>
                <w:sz w:val="14"/>
              </w:rPr>
            </w:pPr>
            <w:r>
              <w:rPr>
                <w:rFonts w:ascii="times" w:hAnsi="times"/>
                <w:sz w:val="14"/>
              </w:rPr>
              <w:t>(73,151</w:t>
            </w:r>
          </w:p>
        </w:tc>
        <w:tc>
          <w:tcPr>
            <w:tcW w:w="146" w:type="dxa"/>
            <w:tcBorders/>
            <w:shd w:fill="auto" w:val="clear"/>
            <w:vAlign w:val="bottom"/>
          </w:tcPr>
          <w:p>
            <w:pPr>
              <w:pStyle w:val="TableContents"/>
              <w:spacing w:before="0" w:after="283"/>
              <w:rPr>
                <w:rFonts w:ascii="times" w:hAnsi="times"/>
                <w:sz w:val="14"/>
              </w:rPr>
            </w:pPr>
            <w:r>
              <w:rPr>
                <w:rFonts w:ascii="times" w:hAnsi="times"/>
                <w:sz w:val="14"/>
              </w:rPr>
              <w:t>)</w:t>
            </w:r>
          </w:p>
        </w:tc>
        <w:tc>
          <w:tcPr>
            <w:tcW w:w="95" w:type="dxa"/>
            <w:tcBorders/>
            <w:shd w:fill="auto" w:val="clear"/>
            <w:vAlign w:val="bottom"/>
          </w:tcPr>
          <w:p>
            <w:pPr>
              <w:pStyle w:val="TableContents"/>
              <w:spacing w:before="0" w:after="283"/>
              <w:rPr/>
            </w:pPr>
            <w:r>
              <w:rPr/>
              <w:t> </w:t>
            </w:r>
          </w:p>
        </w:tc>
        <w:tc>
          <w:tcPr>
            <w:tcW w:w="560" w:type="dxa"/>
            <w:tcBorders/>
            <w:shd w:fill="auto" w:val="clear"/>
            <w:vAlign w:val="bottom"/>
          </w:tcPr>
          <w:p>
            <w:pPr>
              <w:pStyle w:val="TableContents"/>
              <w:spacing w:before="0" w:after="283"/>
              <w:jc w:val="right"/>
              <w:rPr>
                <w:rFonts w:ascii="times" w:hAnsi="times"/>
                <w:sz w:val="14"/>
              </w:rPr>
            </w:pPr>
            <w:r>
              <w:rPr>
                <w:rFonts w:ascii="times" w:hAnsi="times"/>
                <w:sz w:val="14"/>
              </w:rPr>
              <w:t>(87,584</w:t>
            </w:r>
          </w:p>
        </w:tc>
        <w:tc>
          <w:tcPr>
            <w:tcW w:w="156" w:type="dxa"/>
            <w:tcBorders/>
            <w:shd w:fill="auto" w:val="clear"/>
            <w:vAlign w:val="bottom"/>
          </w:tcPr>
          <w:p>
            <w:pPr>
              <w:pStyle w:val="TableContents"/>
              <w:spacing w:before="0" w:after="283"/>
              <w:rPr>
                <w:rFonts w:ascii="times" w:hAnsi="times"/>
                <w:sz w:val="14"/>
              </w:rPr>
            </w:pPr>
            <w:r>
              <w:rPr>
                <w:rFonts w:ascii="times" w:hAnsi="times"/>
                <w:sz w:val="14"/>
              </w:rPr>
              <w:t>)</w:t>
            </w:r>
          </w:p>
        </w:tc>
      </w:tr>
      <w:tr>
        <w:trPr/>
        <w:tc>
          <w:tcPr>
            <w:tcW w:w="1753" w:type="dxa"/>
            <w:tcBorders/>
            <w:shd w:fill="auto" w:val="clear"/>
            <w:vAlign w:val="bottom"/>
          </w:tcPr>
          <w:p>
            <w:pPr>
              <w:pStyle w:val="TableContents"/>
              <w:spacing w:before="0" w:after="283"/>
              <w:ind w:left="140" w:right="0" w:hanging="140"/>
              <w:rPr>
                <w:rFonts w:ascii="times" w:hAnsi="times"/>
                <w:sz w:val="14"/>
              </w:rPr>
            </w:pPr>
            <w:r>
              <w:rPr>
                <w:rFonts w:ascii="times" w:hAnsi="times"/>
                <w:sz w:val="14"/>
              </w:rPr>
              <w:t>General and administrative expenses</w:t>
            </w:r>
          </w:p>
        </w:tc>
        <w:tc>
          <w:tcPr>
            <w:tcW w:w="145"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723" w:type="dxa"/>
            <w:tcBorders/>
            <w:shd w:fill="auto" w:val="clear"/>
            <w:vAlign w:val="bottom"/>
          </w:tcPr>
          <w:p>
            <w:pPr>
              <w:pStyle w:val="TableContents"/>
              <w:spacing w:before="0" w:after="283"/>
              <w:jc w:val="right"/>
              <w:rPr>
                <w:rFonts w:ascii="times" w:hAnsi="times"/>
                <w:sz w:val="14"/>
              </w:rPr>
            </w:pPr>
            <w:r>
              <w:rPr>
                <w:rFonts w:ascii="times" w:hAnsi="times"/>
                <w:sz w:val="14"/>
              </w:rPr>
              <w:t>(2,218</w:t>
            </w:r>
          </w:p>
        </w:tc>
        <w:tc>
          <w:tcPr>
            <w:tcW w:w="146" w:type="dxa"/>
            <w:tcBorders/>
            <w:shd w:fill="auto" w:val="clear"/>
            <w:vAlign w:val="bottom"/>
          </w:tcPr>
          <w:p>
            <w:pPr>
              <w:pStyle w:val="TableContents"/>
              <w:spacing w:before="0" w:after="283"/>
              <w:rPr>
                <w:rFonts w:ascii="times" w:hAnsi="times"/>
                <w:sz w:val="14"/>
              </w:rPr>
            </w:pPr>
            <w:r>
              <w:rPr>
                <w:rFonts w:ascii="times" w:hAnsi="times"/>
                <w:sz w:val="14"/>
              </w:rPr>
              <w:t>)</w:t>
            </w:r>
          </w:p>
        </w:tc>
        <w:tc>
          <w:tcPr>
            <w:tcW w:w="95" w:type="dxa"/>
            <w:tcBorders/>
            <w:shd w:fill="auto" w:val="clear"/>
            <w:vAlign w:val="bottom"/>
          </w:tcPr>
          <w:p>
            <w:pPr>
              <w:pStyle w:val="TableContents"/>
              <w:spacing w:before="0" w:after="283"/>
              <w:rPr/>
            </w:pPr>
            <w:r>
              <w:rPr/>
              <w:t> </w:t>
            </w:r>
          </w:p>
        </w:tc>
        <w:tc>
          <w:tcPr>
            <w:tcW w:w="760" w:type="dxa"/>
            <w:tcBorders/>
            <w:shd w:fill="auto" w:val="clear"/>
            <w:vAlign w:val="bottom"/>
          </w:tcPr>
          <w:p>
            <w:pPr>
              <w:pStyle w:val="TableContents"/>
              <w:spacing w:before="0" w:after="283"/>
              <w:jc w:val="right"/>
              <w:rPr>
                <w:rFonts w:ascii="times" w:hAnsi="times"/>
                <w:sz w:val="14"/>
              </w:rPr>
            </w:pPr>
            <w:r>
              <w:rPr>
                <w:rFonts w:ascii="times" w:hAnsi="times"/>
                <w:sz w:val="14"/>
              </w:rPr>
              <w:t>(11,219</w:t>
            </w:r>
          </w:p>
        </w:tc>
        <w:tc>
          <w:tcPr>
            <w:tcW w:w="146" w:type="dxa"/>
            <w:tcBorders/>
            <w:shd w:fill="auto" w:val="clear"/>
            <w:vAlign w:val="bottom"/>
          </w:tcPr>
          <w:p>
            <w:pPr>
              <w:pStyle w:val="TableContents"/>
              <w:spacing w:before="0" w:after="283"/>
              <w:rPr>
                <w:rFonts w:ascii="times" w:hAnsi="times"/>
                <w:sz w:val="14"/>
              </w:rPr>
            </w:pPr>
            <w:r>
              <w:rPr>
                <w:rFonts w:ascii="times" w:hAnsi="times"/>
                <w:sz w:val="14"/>
              </w:rPr>
              <w:t>)</w:t>
            </w:r>
          </w:p>
        </w:tc>
        <w:tc>
          <w:tcPr>
            <w:tcW w:w="95" w:type="dxa"/>
            <w:tcBorders/>
            <w:shd w:fill="auto" w:val="clear"/>
            <w:vAlign w:val="bottom"/>
          </w:tcPr>
          <w:p>
            <w:pPr>
              <w:pStyle w:val="TableContents"/>
              <w:spacing w:before="0" w:after="283"/>
              <w:rPr/>
            </w:pPr>
            <w:r>
              <w:rPr/>
              <w:t> </w:t>
            </w:r>
          </w:p>
        </w:tc>
        <w:tc>
          <w:tcPr>
            <w:tcW w:w="560" w:type="dxa"/>
            <w:tcBorders/>
            <w:shd w:fill="auto" w:val="clear"/>
            <w:vAlign w:val="bottom"/>
          </w:tcPr>
          <w:p>
            <w:pPr>
              <w:pStyle w:val="TableContents"/>
              <w:spacing w:before="0" w:after="283"/>
              <w:jc w:val="right"/>
              <w:rPr>
                <w:rFonts w:ascii="times" w:hAnsi="times"/>
                <w:sz w:val="14"/>
              </w:rPr>
            </w:pPr>
            <w:r>
              <w:rPr>
                <w:rFonts w:ascii="times" w:hAnsi="times"/>
                <w:sz w:val="14"/>
              </w:rPr>
              <w:t>(13,437</w:t>
            </w:r>
          </w:p>
        </w:tc>
        <w:tc>
          <w:tcPr>
            <w:tcW w:w="146" w:type="dxa"/>
            <w:tcBorders/>
            <w:shd w:fill="auto" w:val="clear"/>
            <w:vAlign w:val="bottom"/>
          </w:tcPr>
          <w:p>
            <w:pPr>
              <w:pStyle w:val="TableContents"/>
              <w:spacing w:before="0" w:after="283"/>
              <w:rPr>
                <w:rFonts w:ascii="times" w:hAnsi="times"/>
                <w:sz w:val="14"/>
              </w:rPr>
            </w:pPr>
            <w:r>
              <w:rPr>
                <w:rFonts w:ascii="times" w:hAnsi="times"/>
                <w:sz w:val="14"/>
              </w:rPr>
              <w:t>)</w:t>
            </w:r>
          </w:p>
        </w:tc>
        <w:tc>
          <w:tcPr>
            <w:tcW w:w="95" w:type="dxa"/>
            <w:tcBorders/>
            <w:shd w:fill="auto" w:val="clear"/>
            <w:vAlign w:val="bottom"/>
          </w:tcPr>
          <w:p>
            <w:pPr>
              <w:pStyle w:val="TableContents"/>
              <w:spacing w:before="0" w:after="283"/>
              <w:rPr/>
            </w:pPr>
            <w:r>
              <w:rPr/>
              <w:t> </w:t>
            </w:r>
          </w:p>
        </w:tc>
        <w:tc>
          <w:tcPr>
            <w:tcW w:w="723" w:type="dxa"/>
            <w:tcBorders/>
            <w:shd w:fill="auto" w:val="clear"/>
            <w:vAlign w:val="bottom"/>
          </w:tcPr>
          <w:p>
            <w:pPr>
              <w:pStyle w:val="TableContents"/>
              <w:spacing w:before="0" w:after="283"/>
              <w:jc w:val="right"/>
              <w:rPr>
                <w:rFonts w:ascii="times" w:hAnsi="times"/>
                <w:sz w:val="14"/>
              </w:rPr>
            </w:pPr>
            <w:r>
              <w:rPr>
                <w:rFonts w:ascii="times" w:hAnsi="times"/>
                <w:sz w:val="14"/>
              </w:rPr>
              <w:t>(1,850</w:t>
            </w:r>
          </w:p>
        </w:tc>
        <w:tc>
          <w:tcPr>
            <w:tcW w:w="145" w:type="dxa"/>
            <w:tcBorders/>
            <w:shd w:fill="auto" w:val="clear"/>
            <w:vAlign w:val="bottom"/>
          </w:tcPr>
          <w:p>
            <w:pPr>
              <w:pStyle w:val="TableContents"/>
              <w:spacing w:before="0" w:after="283"/>
              <w:rPr>
                <w:rFonts w:ascii="times" w:hAnsi="times"/>
                <w:sz w:val="14"/>
              </w:rPr>
            </w:pPr>
            <w:r>
              <w:rPr>
                <w:rFonts w:ascii="times" w:hAnsi="times"/>
                <w:sz w:val="14"/>
              </w:rPr>
              <w:t>)</w:t>
            </w:r>
          </w:p>
        </w:tc>
        <w:tc>
          <w:tcPr>
            <w:tcW w:w="95" w:type="dxa"/>
            <w:tcBorders/>
            <w:shd w:fill="auto" w:val="clear"/>
            <w:vAlign w:val="bottom"/>
          </w:tcPr>
          <w:p>
            <w:pPr>
              <w:pStyle w:val="TableContents"/>
              <w:spacing w:before="0" w:after="283"/>
              <w:rPr/>
            </w:pPr>
            <w:r>
              <w:rPr/>
              <w:t> </w:t>
            </w:r>
          </w:p>
        </w:tc>
        <w:tc>
          <w:tcPr>
            <w:tcW w:w="760" w:type="dxa"/>
            <w:tcBorders/>
            <w:shd w:fill="auto" w:val="clear"/>
            <w:vAlign w:val="bottom"/>
          </w:tcPr>
          <w:p>
            <w:pPr>
              <w:pStyle w:val="TableContents"/>
              <w:spacing w:before="0" w:after="283"/>
              <w:jc w:val="right"/>
              <w:rPr>
                <w:rFonts w:ascii="times" w:hAnsi="times"/>
                <w:sz w:val="14"/>
              </w:rPr>
            </w:pPr>
            <w:r>
              <w:rPr>
                <w:rFonts w:ascii="times" w:hAnsi="times"/>
                <w:sz w:val="14"/>
              </w:rPr>
              <w:t>(13,869</w:t>
            </w:r>
          </w:p>
        </w:tc>
        <w:tc>
          <w:tcPr>
            <w:tcW w:w="146" w:type="dxa"/>
            <w:tcBorders/>
            <w:shd w:fill="auto" w:val="clear"/>
            <w:vAlign w:val="bottom"/>
          </w:tcPr>
          <w:p>
            <w:pPr>
              <w:pStyle w:val="TableContents"/>
              <w:spacing w:before="0" w:after="283"/>
              <w:rPr>
                <w:rFonts w:ascii="times" w:hAnsi="times"/>
                <w:sz w:val="14"/>
              </w:rPr>
            </w:pPr>
            <w:r>
              <w:rPr>
                <w:rFonts w:ascii="times" w:hAnsi="times"/>
                <w:sz w:val="14"/>
              </w:rPr>
              <w:t>)</w:t>
            </w:r>
          </w:p>
        </w:tc>
        <w:tc>
          <w:tcPr>
            <w:tcW w:w="95" w:type="dxa"/>
            <w:tcBorders/>
            <w:shd w:fill="auto" w:val="clear"/>
            <w:vAlign w:val="bottom"/>
          </w:tcPr>
          <w:p>
            <w:pPr>
              <w:pStyle w:val="TableContents"/>
              <w:spacing w:before="0" w:after="283"/>
              <w:rPr/>
            </w:pPr>
            <w:r>
              <w:rPr/>
              <w:t> </w:t>
            </w:r>
          </w:p>
        </w:tc>
        <w:tc>
          <w:tcPr>
            <w:tcW w:w="560" w:type="dxa"/>
            <w:tcBorders/>
            <w:shd w:fill="auto" w:val="clear"/>
            <w:vAlign w:val="bottom"/>
          </w:tcPr>
          <w:p>
            <w:pPr>
              <w:pStyle w:val="TableContents"/>
              <w:spacing w:before="0" w:after="283"/>
              <w:jc w:val="right"/>
              <w:rPr>
                <w:rFonts w:ascii="times" w:hAnsi="times"/>
                <w:sz w:val="14"/>
              </w:rPr>
            </w:pPr>
            <w:r>
              <w:rPr>
                <w:rFonts w:ascii="times" w:hAnsi="times"/>
                <w:sz w:val="14"/>
              </w:rPr>
              <w:t>(15,719</w:t>
            </w:r>
          </w:p>
        </w:tc>
        <w:tc>
          <w:tcPr>
            <w:tcW w:w="146" w:type="dxa"/>
            <w:tcBorders/>
            <w:shd w:fill="auto" w:val="clear"/>
            <w:vAlign w:val="bottom"/>
          </w:tcPr>
          <w:p>
            <w:pPr>
              <w:pStyle w:val="TableContents"/>
              <w:spacing w:before="0" w:after="283"/>
              <w:rPr>
                <w:rFonts w:ascii="times" w:hAnsi="times"/>
                <w:sz w:val="14"/>
              </w:rPr>
            </w:pPr>
            <w:r>
              <w:rPr>
                <w:rFonts w:ascii="times" w:hAnsi="times"/>
                <w:sz w:val="14"/>
              </w:rPr>
              <w:t>)</w:t>
            </w:r>
          </w:p>
        </w:tc>
        <w:tc>
          <w:tcPr>
            <w:tcW w:w="95" w:type="dxa"/>
            <w:tcBorders/>
            <w:shd w:fill="auto" w:val="clear"/>
            <w:vAlign w:val="bottom"/>
          </w:tcPr>
          <w:p>
            <w:pPr>
              <w:pStyle w:val="TableContents"/>
              <w:spacing w:before="0" w:after="283"/>
              <w:rPr/>
            </w:pPr>
            <w:r>
              <w:rPr/>
              <w:t> </w:t>
            </w:r>
          </w:p>
        </w:tc>
        <w:tc>
          <w:tcPr>
            <w:tcW w:w="723" w:type="dxa"/>
            <w:tcBorders/>
            <w:shd w:fill="auto" w:val="clear"/>
            <w:vAlign w:val="bottom"/>
          </w:tcPr>
          <w:p>
            <w:pPr>
              <w:pStyle w:val="TableContents"/>
              <w:spacing w:before="0" w:after="283"/>
              <w:jc w:val="right"/>
              <w:rPr>
                <w:rFonts w:ascii="times" w:hAnsi="times"/>
                <w:sz w:val="14"/>
              </w:rPr>
            </w:pPr>
            <w:r>
              <w:rPr>
                <w:rFonts w:ascii="times" w:hAnsi="times"/>
                <w:sz w:val="14"/>
              </w:rPr>
              <w:t>(849</w:t>
            </w:r>
          </w:p>
        </w:tc>
        <w:tc>
          <w:tcPr>
            <w:tcW w:w="146" w:type="dxa"/>
            <w:tcBorders/>
            <w:shd w:fill="auto" w:val="clear"/>
            <w:vAlign w:val="bottom"/>
          </w:tcPr>
          <w:p>
            <w:pPr>
              <w:pStyle w:val="TableContents"/>
              <w:spacing w:before="0" w:after="283"/>
              <w:rPr>
                <w:rFonts w:ascii="times" w:hAnsi="times"/>
                <w:sz w:val="14"/>
              </w:rPr>
            </w:pPr>
            <w:r>
              <w:rPr>
                <w:rFonts w:ascii="times" w:hAnsi="times"/>
                <w:sz w:val="14"/>
              </w:rPr>
              <w:t>)</w:t>
            </w:r>
          </w:p>
        </w:tc>
        <w:tc>
          <w:tcPr>
            <w:tcW w:w="95" w:type="dxa"/>
            <w:tcBorders/>
            <w:shd w:fill="auto" w:val="clear"/>
            <w:vAlign w:val="bottom"/>
          </w:tcPr>
          <w:p>
            <w:pPr>
              <w:pStyle w:val="TableContents"/>
              <w:spacing w:before="0" w:after="283"/>
              <w:rPr/>
            </w:pPr>
            <w:r>
              <w:rPr/>
              <w:t> </w:t>
            </w:r>
          </w:p>
        </w:tc>
        <w:tc>
          <w:tcPr>
            <w:tcW w:w="760" w:type="dxa"/>
            <w:tcBorders/>
            <w:shd w:fill="auto" w:val="clear"/>
            <w:vAlign w:val="bottom"/>
          </w:tcPr>
          <w:p>
            <w:pPr>
              <w:pStyle w:val="TableContents"/>
              <w:spacing w:before="0" w:after="283"/>
              <w:jc w:val="right"/>
              <w:rPr>
                <w:rFonts w:ascii="times" w:hAnsi="times"/>
                <w:sz w:val="14"/>
              </w:rPr>
            </w:pPr>
            <w:r>
              <w:rPr>
                <w:rFonts w:ascii="times" w:hAnsi="times"/>
                <w:sz w:val="14"/>
              </w:rPr>
              <w:t>(18,905</w:t>
            </w:r>
          </w:p>
        </w:tc>
        <w:tc>
          <w:tcPr>
            <w:tcW w:w="146" w:type="dxa"/>
            <w:tcBorders/>
            <w:shd w:fill="auto" w:val="clear"/>
            <w:vAlign w:val="bottom"/>
          </w:tcPr>
          <w:p>
            <w:pPr>
              <w:pStyle w:val="TableContents"/>
              <w:spacing w:before="0" w:after="283"/>
              <w:rPr>
                <w:rFonts w:ascii="times" w:hAnsi="times"/>
                <w:sz w:val="14"/>
              </w:rPr>
            </w:pPr>
            <w:r>
              <w:rPr>
                <w:rFonts w:ascii="times" w:hAnsi="times"/>
                <w:sz w:val="14"/>
              </w:rPr>
              <w:t>)</w:t>
            </w:r>
          </w:p>
        </w:tc>
        <w:tc>
          <w:tcPr>
            <w:tcW w:w="95" w:type="dxa"/>
            <w:tcBorders/>
            <w:shd w:fill="auto" w:val="clear"/>
            <w:vAlign w:val="bottom"/>
          </w:tcPr>
          <w:p>
            <w:pPr>
              <w:pStyle w:val="TableContents"/>
              <w:spacing w:before="0" w:after="283"/>
              <w:rPr/>
            </w:pPr>
            <w:r>
              <w:rPr/>
              <w:t> </w:t>
            </w:r>
          </w:p>
        </w:tc>
        <w:tc>
          <w:tcPr>
            <w:tcW w:w="560" w:type="dxa"/>
            <w:tcBorders/>
            <w:shd w:fill="auto" w:val="clear"/>
            <w:vAlign w:val="bottom"/>
          </w:tcPr>
          <w:p>
            <w:pPr>
              <w:pStyle w:val="TableContents"/>
              <w:spacing w:before="0" w:after="283"/>
              <w:jc w:val="right"/>
              <w:rPr>
                <w:rFonts w:ascii="times" w:hAnsi="times"/>
                <w:sz w:val="14"/>
              </w:rPr>
            </w:pPr>
            <w:r>
              <w:rPr>
                <w:rFonts w:ascii="times" w:hAnsi="times"/>
                <w:sz w:val="14"/>
              </w:rPr>
              <w:t>(19,754</w:t>
            </w:r>
          </w:p>
        </w:tc>
        <w:tc>
          <w:tcPr>
            <w:tcW w:w="156" w:type="dxa"/>
            <w:tcBorders/>
            <w:shd w:fill="auto" w:val="clear"/>
            <w:vAlign w:val="bottom"/>
          </w:tcPr>
          <w:p>
            <w:pPr>
              <w:pStyle w:val="TableContents"/>
              <w:spacing w:before="0" w:after="283"/>
              <w:rPr>
                <w:rFonts w:ascii="times" w:hAnsi="times"/>
                <w:sz w:val="14"/>
              </w:rPr>
            </w:pPr>
            <w:r>
              <w:rPr>
                <w:rFonts w:ascii="times" w:hAnsi="times"/>
                <w:sz w:val="14"/>
              </w:rPr>
              <w:t>)</w:t>
            </w:r>
          </w:p>
        </w:tc>
      </w:tr>
      <w:tr>
        <w:trPr/>
        <w:tc>
          <w:tcPr>
            <w:tcW w:w="1753" w:type="dxa"/>
            <w:tcBorders/>
            <w:shd w:fill="auto" w:val="clear"/>
            <w:vAlign w:val="bottom"/>
          </w:tcPr>
          <w:p>
            <w:pPr>
              <w:pStyle w:val="TableContents"/>
              <w:spacing w:before="0" w:after="283"/>
              <w:ind w:left="140" w:right="0" w:hanging="140"/>
              <w:rPr>
                <w:rFonts w:ascii="times" w:hAnsi="times"/>
                <w:sz w:val="14"/>
              </w:rPr>
            </w:pPr>
            <w:r>
              <w:rPr>
                <w:rFonts w:ascii="times" w:hAnsi="times"/>
                <w:sz w:val="14"/>
              </w:rPr>
              <w:t>Impairment loss on vessels</w:t>
            </w:r>
          </w:p>
        </w:tc>
        <w:tc>
          <w:tcPr>
            <w:tcW w:w="145"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723" w:type="dxa"/>
            <w:tcBorders/>
            <w:shd w:fill="auto" w:val="clear"/>
            <w:vAlign w:val="bottom"/>
          </w:tcPr>
          <w:p>
            <w:pPr>
              <w:pStyle w:val="TableContents"/>
              <w:spacing w:before="0" w:after="283"/>
              <w:jc w:val="right"/>
              <w:rPr>
                <w:rFonts w:ascii="times" w:hAnsi="times"/>
                <w:sz w:val="14"/>
              </w:rPr>
            </w:pPr>
            <w:r>
              <w:rPr>
                <w:rFonts w:ascii="times" w:hAnsi="times"/>
                <w:sz w:val="14"/>
              </w:rPr>
              <w:t></w:t>
            </w:r>
          </w:p>
        </w:tc>
        <w:tc>
          <w:tcPr>
            <w:tcW w:w="146"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760" w:type="dxa"/>
            <w:tcBorders/>
            <w:shd w:fill="auto" w:val="clear"/>
            <w:vAlign w:val="bottom"/>
          </w:tcPr>
          <w:p>
            <w:pPr>
              <w:pStyle w:val="TableContents"/>
              <w:spacing w:before="0" w:after="283"/>
              <w:jc w:val="right"/>
              <w:rPr>
                <w:rFonts w:ascii="times" w:hAnsi="times"/>
                <w:sz w:val="14"/>
              </w:rPr>
            </w:pPr>
            <w:r>
              <w:rPr>
                <w:rFonts w:ascii="times" w:hAnsi="times"/>
                <w:sz w:val="14"/>
              </w:rPr>
              <w:t></w:t>
            </w:r>
          </w:p>
        </w:tc>
        <w:tc>
          <w:tcPr>
            <w:tcW w:w="146"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560" w:type="dxa"/>
            <w:tcBorders/>
            <w:shd w:fill="auto" w:val="clear"/>
            <w:vAlign w:val="bottom"/>
          </w:tcPr>
          <w:p>
            <w:pPr>
              <w:pStyle w:val="TableContents"/>
              <w:spacing w:before="0" w:after="283"/>
              <w:jc w:val="right"/>
              <w:rPr>
                <w:rFonts w:ascii="times" w:hAnsi="times"/>
                <w:sz w:val="14"/>
              </w:rPr>
            </w:pPr>
            <w:r>
              <w:rPr>
                <w:rFonts w:ascii="times" w:hAnsi="times"/>
                <w:sz w:val="14"/>
              </w:rPr>
              <w:t></w:t>
            </w:r>
          </w:p>
        </w:tc>
        <w:tc>
          <w:tcPr>
            <w:tcW w:w="146"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723" w:type="dxa"/>
            <w:tcBorders/>
            <w:shd w:fill="auto" w:val="clear"/>
            <w:vAlign w:val="bottom"/>
          </w:tcPr>
          <w:p>
            <w:pPr>
              <w:pStyle w:val="TableContents"/>
              <w:spacing w:before="0" w:after="283"/>
              <w:jc w:val="right"/>
              <w:rPr>
                <w:rFonts w:ascii="times" w:hAnsi="times"/>
                <w:sz w:val="14"/>
              </w:rPr>
            </w:pPr>
            <w:r>
              <w:rPr>
                <w:rFonts w:ascii="times" w:hAnsi="times"/>
                <w:sz w:val="14"/>
              </w:rPr>
              <w:t></w:t>
            </w:r>
          </w:p>
        </w:tc>
        <w:tc>
          <w:tcPr>
            <w:tcW w:w="145"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760" w:type="dxa"/>
            <w:tcBorders/>
            <w:shd w:fill="auto" w:val="clear"/>
            <w:vAlign w:val="bottom"/>
          </w:tcPr>
          <w:p>
            <w:pPr>
              <w:pStyle w:val="TableContents"/>
              <w:spacing w:before="0" w:after="283"/>
              <w:jc w:val="right"/>
              <w:rPr>
                <w:rFonts w:ascii="times" w:hAnsi="times"/>
                <w:sz w:val="14"/>
              </w:rPr>
            </w:pPr>
            <w:r>
              <w:rPr>
                <w:rFonts w:ascii="times" w:hAnsi="times"/>
                <w:sz w:val="14"/>
              </w:rPr>
              <w:t></w:t>
            </w:r>
          </w:p>
        </w:tc>
        <w:tc>
          <w:tcPr>
            <w:tcW w:w="146"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560" w:type="dxa"/>
            <w:tcBorders/>
            <w:shd w:fill="auto" w:val="clear"/>
            <w:vAlign w:val="bottom"/>
          </w:tcPr>
          <w:p>
            <w:pPr>
              <w:pStyle w:val="TableContents"/>
              <w:spacing w:before="0" w:after="283"/>
              <w:jc w:val="right"/>
              <w:rPr>
                <w:rFonts w:ascii="times" w:hAnsi="times"/>
                <w:sz w:val="14"/>
              </w:rPr>
            </w:pPr>
            <w:r>
              <w:rPr>
                <w:rFonts w:ascii="times" w:hAnsi="times"/>
                <w:sz w:val="14"/>
              </w:rPr>
              <w:t></w:t>
            </w:r>
          </w:p>
        </w:tc>
        <w:tc>
          <w:tcPr>
            <w:tcW w:w="146"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723" w:type="dxa"/>
            <w:tcBorders/>
            <w:shd w:fill="auto" w:val="clear"/>
            <w:vAlign w:val="bottom"/>
          </w:tcPr>
          <w:p>
            <w:pPr>
              <w:pStyle w:val="TableContents"/>
              <w:spacing w:before="0" w:after="283"/>
              <w:jc w:val="right"/>
              <w:rPr>
                <w:rFonts w:ascii="times" w:hAnsi="times"/>
                <w:sz w:val="14"/>
              </w:rPr>
            </w:pPr>
            <w:r>
              <w:rPr>
                <w:rFonts w:ascii="times" w:hAnsi="times"/>
                <w:sz w:val="14"/>
              </w:rPr>
              <w:t></w:t>
            </w:r>
          </w:p>
        </w:tc>
        <w:tc>
          <w:tcPr>
            <w:tcW w:w="146"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760" w:type="dxa"/>
            <w:tcBorders/>
            <w:shd w:fill="auto" w:val="clear"/>
            <w:vAlign w:val="bottom"/>
          </w:tcPr>
          <w:p>
            <w:pPr>
              <w:pStyle w:val="TableContents"/>
              <w:spacing w:before="0" w:after="283"/>
              <w:jc w:val="right"/>
              <w:rPr>
                <w:rFonts w:ascii="times" w:hAnsi="times"/>
                <w:sz w:val="14"/>
              </w:rPr>
            </w:pPr>
            <w:r>
              <w:rPr>
                <w:rFonts w:ascii="times" w:hAnsi="times"/>
                <w:sz w:val="14"/>
              </w:rPr>
              <w:t></w:t>
            </w:r>
          </w:p>
        </w:tc>
        <w:tc>
          <w:tcPr>
            <w:tcW w:w="146"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560" w:type="dxa"/>
            <w:tcBorders/>
            <w:shd w:fill="auto" w:val="clear"/>
            <w:vAlign w:val="bottom"/>
          </w:tcPr>
          <w:p>
            <w:pPr>
              <w:pStyle w:val="TableContents"/>
              <w:spacing w:before="0" w:after="283"/>
              <w:jc w:val="right"/>
              <w:rPr>
                <w:rFonts w:ascii="times" w:hAnsi="times"/>
                <w:sz w:val="14"/>
              </w:rPr>
            </w:pPr>
            <w:r>
              <w:rPr>
                <w:rFonts w:ascii="times" w:hAnsi="times"/>
                <w:sz w:val="14"/>
              </w:rPr>
              <w:t xml:space="preserve"> </w:t>
            </w:r>
          </w:p>
        </w:tc>
        <w:tc>
          <w:tcPr>
            <w:tcW w:w="156" w:type="dxa"/>
            <w:tcBorders/>
            <w:shd w:fill="auto" w:val="clear"/>
            <w:vAlign w:val="bottom"/>
          </w:tcPr>
          <w:p>
            <w:pPr>
              <w:pStyle w:val="TableContents"/>
              <w:spacing w:before="0" w:after="283"/>
              <w:rPr/>
            </w:pPr>
            <w:r>
              <w:rPr/>
              <w:t> </w:t>
            </w:r>
          </w:p>
        </w:tc>
      </w:tr>
      <w:tr>
        <w:trPr/>
        <w:tc>
          <w:tcPr>
            <w:tcW w:w="1753" w:type="dxa"/>
            <w:tcBorders/>
            <w:shd w:fill="FFFFFF" w:val="clear"/>
            <w:vAlign w:val="bottom"/>
          </w:tcPr>
          <w:p>
            <w:pPr>
              <w:pStyle w:val="TableContents"/>
              <w:spacing w:before="0" w:after="283"/>
              <w:rPr/>
            </w:pPr>
            <w:r>
              <w:rPr/>
              <w:t>​</w:t>
            </w:r>
          </w:p>
        </w:tc>
        <w:tc>
          <w:tcPr>
            <w:tcW w:w="145" w:type="dxa"/>
            <w:tcBorders/>
            <w:shd w:fill="FFFFFF" w:val="clear"/>
            <w:vAlign w:val="bottom"/>
          </w:tcPr>
          <w:p>
            <w:pPr>
              <w:pStyle w:val="TableContents"/>
              <w:spacing w:before="0" w:after="283"/>
              <w:rPr/>
            </w:pPr>
            <w:r>
              <w:rPr/>
              <w:t>​</w:t>
            </w:r>
          </w:p>
        </w:tc>
        <w:tc>
          <w:tcPr>
            <w:tcW w:w="95" w:type="dxa"/>
            <w:tcBorders>
              <w:bottom w:val="single" w:sz="8" w:space="0" w:color="000000"/>
            </w:tcBorders>
            <w:shd w:fill="FFFFFF" w:val="clear"/>
            <w:tcMar>
              <w:bottom w:w="28" w:type="dxa"/>
            </w:tcMar>
            <w:vAlign w:val="bottom"/>
          </w:tcPr>
          <w:p>
            <w:pPr>
              <w:pStyle w:val="TableContents"/>
              <w:spacing w:before="0" w:after="283"/>
              <w:rPr/>
            </w:pPr>
            <w:r>
              <w:rPr/>
              <w:t xml:space="preserve">​ </w:t>
            </w:r>
          </w:p>
        </w:tc>
        <w:tc>
          <w:tcPr>
            <w:tcW w:w="723" w:type="dxa"/>
            <w:tcBorders>
              <w:bottom w:val="single" w:sz="8" w:space="0" w:color="000000"/>
            </w:tcBorders>
            <w:shd w:fill="FFFFFF" w:val="clear"/>
            <w:tcMar>
              <w:bottom w:w="28" w:type="dxa"/>
            </w:tcMar>
            <w:vAlign w:val="bottom"/>
          </w:tcPr>
          <w:p>
            <w:pPr>
              <w:pStyle w:val="TableContents"/>
              <w:spacing w:before="0" w:after="283"/>
              <w:jc w:val="right"/>
              <w:rPr/>
            </w:pPr>
            <w:r>
              <w:rPr/>
              <w:t xml:space="preserve">​ </w:t>
            </w:r>
          </w:p>
        </w:tc>
        <w:tc>
          <w:tcPr>
            <w:tcW w:w="146" w:type="dxa"/>
            <w:tcBorders/>
            <w:shd w:fill="FFFFFF" w:val="clear"/>
            <w:vAlign w:val="bottom"/>
          </w:tcPr>
          <w:p>
            <w:pPr>
              <w:pStyle w:val="TableContents"/>
              <w:spacing w:before="0" w:after="283"/>
              <w:rPr/>
            </w:pPr>
            <w:r>
              <w:rPr/>
              <w:t>​</w:t>
            </w:r>
          </w:p>
        </w:tc>
        <w:tc>
          <w:tcPr>
            <w:tcW w:w="95" w:type="dxa"/>
            <w:tcBorders>
              <w:bottom w:val="single" w:sz="8" w:space="0" w:color="000000"/>
            </w:tcBorders>
            <w:shd w:fill="FFFFFF" w:val="clear"/>
            <w:tcMar>
              <w:bottom w:w="28" w:type="dxa"/>
            </w:tcMar>
            <w:vAlign w:val="bottom"/>
          </w:tcPr>
          <w:p>
            <w:pPr>
              <w:pStyle w:val="TableContents"/>
              <w:spacing w:before="0" w:after="283"/>
              <w:rPr/>
            </w:pPr>
            <w:r>
              <w:rPr/>
              <w:t xml:space="preserve">​ </w:t>
            </w:r>
          </w:p>
        </w:tc>
        <w:tc>
          <w:tcPr>
            <w:tcW w:w="760" w:type="dxa"/>
            <w:tcBorders>
              <w:bottom w:val="single" w:sz="8" w:space="0" w:color="000000"/>
            </w:tcBorders>
            <w:shd w:fill="FFFFFF" w:val="clear"/>
            <w:tcMar>
              <w:bottom w:w="28" w:type="dxa"/>
            </w:tcMar>
            <w:vAlign w:val="bottom"/>
          </w:tcPr>
          <w:p>
            <w:pPr>
              <w:pStyle w:val="TableContents"/>
              <w:spacing w:before="0" w:after="283"/>
              <w:jc w:val="right"/>
              <w:rPr/>
            </w:pPr>
            <w:r>
              <w:rPr/>
              <w:t xml:space="preserve">​ </w:t>
            </w:r>
          </w:p>
        </w:tc>
        <w:tc>
          <w:tcPr>
            <w:tcW w:w="146" w:type="dxa"/>
            <w:tcBorders/>
            <w:shd w:fill="FFFFFF" w:val="clear"/>
            <w:vAlign w:val="bottom"/>
          </w:tcPr>
          <w:p>
            <w:pPr>
              <w:pStyle w:val="TableContents"/>
              <w:spacing w:before="0" w:after="283"/>
              <w:rPr/>
            </w:pPr>
            <w:r>
              <w:rPr/>
              <w:t>​</w:t>
            </w:r>
          </w:p>
        </w:tc>
        <w:tc>
          <w:tcPr>
            <w:tcW w:w="95" w:type="dxa"/>
            <w:tcBorders>
              <w:bottom w:val="single" w:sz="8" w:space="0" w:color="000000"/>
            </w:tcBorders>
            <w:shd w:fill="FFFFFF" w:val="clear"/>
            <w:tcMar>
              <w:bottom w:w="28" w:type="dxa"/>
            </w:tcMar>
            <w:vAlign w:val="bottom"/>
          </w:tcPr>
          <w:p>
            <w:pPr>
              <w:pStyle w:val="TableContents"/>
              <w:spacing w:before="0" w:after="283"/>
              <w:rPr/>
            </w:pPr>
            <w:r>
              <w:rPr/>
              <w:t xml:space="preserve">​ </w:t>
            </w:r>
          </w:p>
        </w:tc>
        <w:tc>
          <w:tcPr>
            <w:tcW w:w="560" w:type="dxa"/>
            <w:tcBorders>
              <w:bottom w:val="single" w:sz="8" w:space="0" w:color="000000"/>
            </w:tcBorders>
            <w:shd w:fill="FFFFFF" w:val="clear"/>
            <w:tcMar>
              <w:bottom w:w="28" w:type="dxa"/>
            </w:tcMar>
            <w:vAlign w:val="bottom"/>
          </w:tcPr>
          <w:p>
            <w:pPr>
              <w:pStyle w:val="TableContents"/>
              <w:spacing w:before="0" w:after="283"/>
              <w:jc w:val="right"/>
              <w:rPr/>
            </w:pPr>
            <w:r>
              <w:rPr/>
              <w:t xml:space="preserve">​ </w:t>
            </w:r>
          </w:p>
        </w:tc>
        <w:tc>
          <w:tcPr>
            <w:tcW w:w="146" w:type="dxa"/>
            <w:tcBorders/>
            <w:shd w:fill="FFFFFF" w:val="clear"/>
            <w:vAlign w:val="bottom"/>
          </w:tcPr>
          <w:p>
            <w:pPr>
              <w:pStyle w:val="TableContents"/>
              <w:spacing w:before="0" w:after="283"/>
              <w:rPr/>
            </w:pPr>
            <w:r>
              <w:rPr/>
              <w:t>​</w:t>
            </w:r>
          </w:p>
        </w:tc>
        <w:tc>
          <w:tcPr>
            <w:tcW w:w="95" w:type="dxa"/>
            <w:tcBorders>
              <w:bottom w:val="single" w:sz="8" w:space="0" w:color="000000"/>
            </w:tcBorders>
            <w:shd w:fill="FFFFFF" w:val="clear"/>
            <w:tcMar>
              <w:bottom w:w="28" w:type="dxa"/>
            </w:tcMar>
            <w:vAlign w:val="bottom"/>
          </w:tcPr>
          <w:p>
            <w:pPr>
              <w:pStyle w:val="TableContents"/>
              <w:spacing w:before="0" w:after="283"/>
              <w:rPr/>
            </w:pPr>
            <w:r>
              <w:rPr/>
              <w:t xml:space="preserve">​ </w:t>
            </w:r>
          </w:p>
        </w:tc>
        <w:tc>
          <w:tcPr>
            <w:tcW w:w="723" w:type="dxa"/>
            <w:tcBorders>
              <w:bottom w:val="single" w:sz="8" w:space="0" w:color="000000"/>
            </w:tcBorders>
            <w:shd w:fill="FFFFFF" w:val="clear"/>
            <w:tcMar>
              <w:bottom w:w="28" w:type="dxa"/>
            </w:tcMar>
            <w:vAlign w:val="bottom"/>
          </w:tcPr>
          <w:p>
            <w:pPr>
              <w:pStyle w:val="TableContents"/>
              <w:spacing w:before="0" w:after="283"/>
              <w:jc w:val="right"/>
              <w:rPr/>
            </w:pPr>
            <w:r>
              <w:rPr/>
              <w:t xml:space="preserve">​ </w:t>
            </w:r>
          </w:p>
        </w:tc>
        <w:tc>
          <w:tcPr>
            <w:tcW w:w="145" w:type="dxa"/>
            <w:tcBorders/>
            <w:shd w:fill="FFFFFF" w:val="clear"/>
            <w:vAlign w:val="bottom"/>
          </w:tcPr>
          <w:p>
            <w:pPr>
              <w:pStyle w:val="TableContents"/>
              <w:spacing w:before="0" w:after="283"/>
              <w:rPr/>
            </w:pPr>
            <w:r>
              <w:rPr/>
              <w:t>​</w:t>
            </w:r>
          </w:p>
        </w:tc>
        <w:tc>
          <w:tcPr>
            <w:tcW w:w="95" w:type="dxa"/>
            <w:tcBorders>
              <w:bottom w:val="single" w:sz="8" w:space="0" w:color="000000"/>
            </w:tcBorders>
            <w:shd w:fill="FFFFFF" w:val="clear"/>
            <w:tcMar>
              <w:bottom w:w="28" w:type="dxa"/>
            </w:tcMar>
            <w:vAlign w:val="bottom"/>
          </w:tcPr>
          <w:p>
            <w:pPr>
              <w:pStyle w:val="TableContents"/>
              <w:spacing w:before="0" w:after="283"/>
              <w:rPr/>
            </w:pPr>
            <w:r>
              <w:rPr/>
              <w:t xml:space="preserve">​ </w:t>
            </w:r>
          </w:p>
        </w:tc>
        <w:tc>
          <w:tcPr>
            <w:tcW w:w="760" w:type="dxa"/>
            <w:tcBorders>
              <w:bottom w:val="single" w:sz="8" w:space="0" w:color="000000"/>
            </w:tcBorders>
            <w:shd w:fill="FFFFFF" w:val="clear"/>
            <w:tcMar>
              <w:bottom w:w="28" w:type="dxa"/>
            </w:tcMar>
            <w:vAlign w:val="bottom"/>
          </w:tcPr>
          <w:p>
            <w:pPr>
              <w:pStyle w:val="TableContents"/>
              <w:spacing w:before="0" w:after="283"/>
              <w:jc w:val="right"/>
              <w:rPr/>
            </w:pPr>
            <w:r>
              <w:rPr/>
              <w:t xml:space="preserve">​ </w:t>
            </w:r>
          </w:p>
        </w:tc>
        <w:tc>
          <w:tcPr>
            <w:tcW w:w="146" w:type="dxa"/>
            <w:tcBorders/>
            <w:shd w:fill="FFFFFF" w:val="clear"/>
            <w:vAlign w:val="bottom"/>
          </w:tcPr>
          <w:p>
            <w:pPr>
              <w:pStyle w:val="TableContents"/>
              <w:spacing w:before="0" w:after="283"/>
              <w:rPr/>
            </w:pPr>
            <w:r>
              <w:rPr/>
              <w:t>​</w:t>
            </w:r>
          </w:p>
        </w:tc>
        <w:tc>
          <w:tcPr>
            <w:tcW w:w="95" w:type="dxa"/>
            <w:tcBorders>
              <w:bottom w:val="single" w:sz="8" w:space="0" w:color="000000"/>
            </w:tcBorders>
            <w:shd w:fill="FFFFFF" w:val="clear"/>
            <w:tcMar>
              <w:bottom w:w="28" w:type="dxa"/>
            </w:tcMar>
            <w:vAlign w:val="bottom"/>
          </w:tcPr>
          <w:p>
            <w:pPr>
              <w:pStyle w:val="TableContents"/>
              <w:spacing w:before="0" w:after="283"/>
              <w:rPr/>
            </w:pPr>
            <w:r>
              <w:rPr/>
              <w:t xml:space="preserve">​ </w:t>
            </w:r>
          </w:p>
        </w:tc>
        <w:tc>
          <w:tcPr>
            <w:tcW w:w="560" w:type="dxa"/>
            <w:tcBorders>
              <w:bottom w:val="single" w:sz="8" w:space="0" w:color="000000"/>
            </w:tcBorders>
            <w:shd w:fill="FFFFFF" w:val="clear"/>
            <w:tcMar>
              <w:bottom w:w="28" w:type="dxa"/>
            </w:tcMar>
            <w:vAlign w:val="bottom"/>
          </w:tcPr>
          <w:p>
            <w:pPr>
              <w:pStyle w:val="TableContents"/>
              <w:spacing w:before="0" w:after="283"/>
              <w:jc w:val="right"/>
              <w:rPr/>
            </w:pPr>
            <w:r>
              <w:rPr/>
              <w:t xml:space="preserve">​ </w:t>
            </w:r>
          </w:p>
        </w:tc>
        <w:tc>
          <w:tcPr>
            <w:tcW w:w="146" w:type="dxa"/>
            <w:tcBorders/>
            <w:shd w:fill="FFFFFF" w:val="clear"/>
            <w:vAlign w:val="bottom"/>
          </w:tcPr>
          <w:p>
            <w:pPr>
              <w:pStyle w:val="TableContents"/>
              <w:spacing w:before="0" w:after="283"/>
              <w:rPr/>
            </w:pPr>
            <w:r>
              <w:rPr/>
              <w:t>​</w:t>
            </w:r>
          </w:p>
        </w:tc>
        <w:tc>
          <w:tcPr>
            <w:tcW w:w="95" w:type="dxa"/>
            <w:tcBorders>
              <w:bottom w:val="single" w:sz="8" w:space="0" w:color="000000"/>
            </w:tcBorders>
            <w:shd w:fill="FFFFFF" w:val="clear"/>
            <w:tcMar>
              <w:bottom w:w="28" w:type="dxa"/>
            </w:tcMar>
            <w:vAlign w:val="bottom"/>
          </w:tcPr>
          <w:p>
            <w:pPr>
              <w:pStyle w:val="TableContents"/>
              <w:spacing w:before="0" w:after="283"/>
              <w:rPr/>
            </w:pPr>
            <w:r>
              <w:rPr/>
              <w:t xml:space="preserve">​ </w:t>
            </w:r>
          </w:p>
        </w:tc>
        <w:tc>
          <w:tcPr>
            <w:tcW w:w="723" w:type="dxa"/>
            <w:tcBorders>
              <w:bottom w:val="single" w:sz="8" w:space="0" w:color="000000"/>
            </w:tcBorders>
            <w:shd w:fill="FFFFFF" w:val="clear"/>
            <w:tcMar>
              <w:bottom w:w="28" w:type="dxa"/>
            </w:tcMar>
            <w:vAlign w:val="bottom"/>
          </w:tcPr>
          <w:p>
            <w:pPr>
              <w:pStyle w:val="TableContents"/>
              <w:spacing w:before="0" w:after="283"/>
              <w:jc w:val="right"/>
              <w:rPr/>
            </w:pPr>
            <w:r>
              <w:rPr/>
              <w:t xml:space="preserve">​ </w:t>
            </w:r>
          </w:p>
        </w:tc>
        <w:tc>
          <w:tcPr>
            <w:tcW w:w="146" w:type="dxa"/>
            <w:tcBorders/>
            <w:shd w:fill="FFFFFF" w:val="clear"/>
            <w:vAlign w:val="bottom"/>
          </w:tcPr>
          <w:p>
            <w:pPr>
              <w:pStyle w:val="TableContents"/>
              <w:spacing w:before="0" w:after="283"/>
              <w:rPr/>
            </w:pPr>
            <w:r>
              <w:rPr/>
              <w:t>​</w:t>
            </w:r>
          </w:p>
        </w:tc>
        <w:tc>
          <w:tcPr>
            <w:tcW w:w="95" w:type="dxa"/>
            <w:tcBorders>
              <w:bottom w:val="single" w:sz="8" w:space="0" w:color="000000"/>
            </w:tcBorders>
            <w:shd w:fill="FFFFFF" w:val="clear"/>
            <w:tcMar>
              <w:bottom w:w="28" w:type="dxa"/>
            </w:tcMar>
            <w:vAlign w:val="bottom"/>
          </w:tcPr>
          <w:p>
            <w:pPr>
              <w:pStyle w:val="TableContents"/>
              <w:spacing w:before="0" w:after="283"/>
              <w:rPr/>
            </w:pPr>
            <w:r>
              <w:rPr/>
              <w:t xml:space="preserve">​ </w:t>
            </w:r>
          </w:p>
        </w:tc>
        <w:tc>
          <w:tcPr>
            <w:tcW w:w="760" w:type="dxa"/>
            <w:tcBorders>
              <w:bottom w:val="single" w:sz="8" w:space="0" w:color="000000"/>
            </w:tcBorders>
            <w:shd w:fill="FFFFFF" w:val="clear"/>
            <w:tcMar>
              <w:bottom w:w="28" w:type="dxa"/>
            </w:tcMar>
            <w:vAlign w:val="bottom"/>
          </w:tcPr>
          <w:p>
            <w:pPr>
              <w:pStyle w:val="TableContents"/>
              <w:spacing w:before="0" w:after="283"/>
              <w:jc w:val="right"/>
              <w:rPr/>
            </w:pPr>
            <w:r>
              <w:rPr/>
              <w:t xml:space="preserve">​ </w:t>
            </w:r>
          </w:p>
        </w:tc>
        <w:tc>
          <w:tcPr>
            <w:tcW w:w="146" w:type="dxa"/>
            <w:tcBorders/>
            <w:shd w:fill="FFFFFF" w:val="clear"/>
            <w:vAlign w:val="bottom"/>
          </w:tcPr>
          <w:p>
            <w:pPr>
              <w:pStyle w:val="TableContents"/>
              <w:spacing w:before="0" w:after="283"/>
              <w:rPr/>
            </w:pPr>
            <w:r>
              <w:rPr/>
              <w:t>​</w:t>
            </w:r>
          </w:p>
        </w:tc>
        <w:tc>
          <w:tcPr>
            <w:tcW w:w="95" w:type="dxa"/>
            <w:tcBorders>
              <w:bottom w:val="single" w:sz="8" w:space="0" w:color="000000"/>
            </w:tcBorders>
            <w:shd w:fill="FFFFFF" w:val="clear"/>
            <w:tcMar>
              <w:bottom w:w="28" w:type="dxa"/>
            </w:tcMar>
            <w:vAlign w:val="bottom"/>
          </w:tcPr>
          <w:p>
            <w:pPr>
              <w:pStyle w:val="TableContents"/>
              <w:spacing w:before="0" w:after="283"/>
              <w:rPr/>
            </w:pPr>
            <w:r>
              <w:rPr/>
              <w:t xml:space="preserve">​ </w:t>
            </w:r>
          </w:p>
        </w:tc>
        <w:tc>
          <w:tcPr>
            <w:tcW w:w="560" w:type="dxa"/>
            <w:tcBorders>
              <w:bottom w:val="single" w:sz="8" w:space="0" w:color="000000"/>
            </w:tcBorders>
            <w:shd w:fill="FFFFFF" w:val="clear"/>
            <w:tcMar>
              <w:bottom w:w="28" w:type="dxa"/>
            </w:tcMar>
            <w:vAlign w:val="bottom"/>
          </w:tcPr>
          <w:p>
            <w:pPr>
              <w:pStyle w:val="TableContents"/>
              <w:spacing w:before="0" w:after="283"/>
              <w:jc w:val="right"/>
              <w:rPr/>
            </w:pPr>
            <w:r>
              <w:rPr/>
              <w:t xml:space="preserve">​ </w:t>
            </w:r>
          </w:p>
        </w:tc>
        <w:tc>
          <w:tcPr>
            <w:tcW w:w="156" w:type="dxa"/>
            <w:tcBorders/>
            <w:shd w:fill="FFFFFF" w:val="clear"/>
            <w:vAlign w:val="bottom"/>
          </w:tcPr>
          <w:p>
            <w:pPr>
              <w:pStyle w:val="TableContents"/>
              <w:spacing w:before="0" w:after="283"/>
              <w:rPr/>
            </w:pPr>
            <w:r>
              <w:rPr/>
              <w:t>​</w:t>
            </w:r>
          </w:p>
        </w:tc>
      </w:tr>
      <w:tr>
        <w:trPr/>
        <w:tc>
          <w:tcPr>
            <w:tcW w:w="1753" w:type="dxa"/>
            <w:tcBorders/>
            <w:shd w:fill="auto" w:val="clear"/>
            <w:vAlign w:val="bottom"/>
          </w:tcPr>
          <w:p>
            <w:pPr>
              <w:pStyle w:val="TableContents"/>
              <w:spacing w:before="0" w:after="283"/>
              <w:ind w:left="140" w:right="0" w:hanging="140"/>
              <w:rPr>
                <w:rFonts w:ascii="times" w:hAnsi="times"/>
                <w:b/>
                <w:sz w:val="14"/>
              </w:rPr>
            </w:pPr>
            <w:r>
              <w:rPr>
                <w:rFonts w:ascii="times" w:hAnsi="times"/>
                <w:b/>
                <w:sz w:val="14"/>
              </w:rPr>
              <w:t>Profit from operations</w:t>
            </w:r>
          </w:p>
        </w:tc>
        <w:tc>
          <w:tcPr>
            <w:tcW w:w="145"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723" w:type="dxa"/>
            <w:tcBorders/>
            <w:shd w:fill="auto" w:val="clear"/>
            <w:vAlign w:val="bottom"/>
          </w:tcPr>
          <w:p>
            <w:pPr>
              <w:pStyle w:val="TableContents"/>
              <w:spacing w:before="0" w:after="283"/>
              <w:jc w:val="right"/>
              <w:rPr>
                <w:rFonts w:ascii="times" w:hAnsi="times"/>
                <w:b/>
                <w:sz w:val="14"/>
              </w:rPr>
            </w:pPr>
            <w:r>
              <w:rPr>
                <w:rFonts w:ascii="times" w:hAnsi="times"/>
                <w:b/>
                <w:sz w:val="14"/>
              </w:rPr>
              <w:t>72,323</w:t>
            </w:r>
          </w:p>
        </w:tc>
        <w:tc>
          <w:tcPr>
            <w:tcW w:w="146"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760" w:type="dxa"/>
            <w:tcBorders/>
            <w:shd w:fill="auto" w:val="clear"/>
            <w:vAlign w:val="bottom"/>
          </w:tcPr>
          <w:p>
            <w:pPr>
              <w:pStyle w:val="TableContents"/>
              <w:spacing w:before="0" w:after="283"/>
              <w:jc w:val="right"/>
              <w:rPr>
                <w:rFonts w:ascii="times" w:hAnsi="times"/>
                <w:b/>
                <w:sz w:val="14"/>
              </w:rPr>
            </w:pPr>
            <w:r>
              <w:rPr>
                <w:rFonts w:ascii="times" w:hAnsi="times"/>
                <w:b/>
                <w:sz w:val="14"/>
              </w:rPr>
              <w:t>103,655</w:t>
            </w:r>
          </w:p>
        </w:tc>
        <w:tc>
          <w:tcPr>
            <w:tcW w:w="146"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560" w:type="dxa"/>
            <w:tcBorders/>
            <w:shd w:fill="auto" w:val="clear"/>
            <w:vAlign w:val="bottom"/>
          </w:tcPr>
          <w:p>
            <w:pPr>
              <w:pStyle w:val="TableContents"/>
              <w:spacing w:before="0" w:after="283"/>
              <w:jc w:val="right"/>
              <w:rPr>
                <w:rFonts w:ascii="times" w:hAnsi="times"/>
                <w:b/>
                <w:sz w:val="14"/>
              </w:rPr>
            </w:pPr>
            <w:r>
              <w:rPr>
                <w:rFonts w:ascii="times" w:hAnsi="times"/>
                <w:b/>
                <w:sz w:val="14"/>
              </w:rPr>
              <w:t>175,978</w:t>
            </w:r>
          </w:p>
        </w:tc>
        <w:tc>
          <w:tcPr>
            <w:tcW w:w="146"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723" w:type="dxa"/>
            <w:tcBorders/>
            <w:shd w:fill="auto" w:val="clear"/>
            <w:vAlign w:val="bottom"/>
          </w:tcPr>
          <w:p>
            <w:pPr>
              <w:pStyle w:val="TableContents"/>
              <w:spacing w:before="0" w:after="283"/>
              <w:jc w:val="right"/>
              <w:rPr>
                <w:rFonts w:ascii="times" w:hAnsi="times"/>
                <w:b/>
                <w:sz w:val="14"/>
              </w:rPr>
            </w:pPr>
            <w:r>
              <w:rPr>
                <w:rFonts w:ascii="times" w:hAnsi="times"/>
                <w:b/>
                <w:sz w:val="14"/>
              </w:rPr>
              <w:t>79,794</w:t>
            </w:r>
          </w:p>
        </w:tc>
        <w:tc>
          <w:tcPr>
            <w:tcW w:w="145"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760" w:type="dxa"/>
            <w:tcBorders/>
            <w:shd w:fill="auto" w:val="clear"/>
            <w:vAlign w:val="bottom"/>
          </w:tcPr>
          <w:p>
            <w:pPr>
              <w:pStyle w:val="TableContents"/>
              <w:spacing w:before="0" w:after="283"/>
              <w:jc w:val="right"/>
              <w:rPr>
                <w:rFonts w:ascii="times" w:hAnsi="times"/>
                <w:b/>
                <w:sz w:val="14"/>
              </w:rPr>
            </w:pPr>
            <w:r>
              <w:rPr>
                <w:rFonts w:ascii="times" w:hAnsi="times"/>
                <w:b/>
                <w:sz w:val="14"/>
              </w:rPr>
              <w:t>137,940</w:t>
            </w:r>
          </w:p>
        </w:tc>
        <w:tc>
          <w:tcPr>
            <w:tcW w:w="146"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560" w:type="dxa"/>
            <w:tcBorders/>
            <w:shd w:fill="auto" w:val="clear"/>
            <w:vAlign w:val="bottom"/>
          </w:tcPr>
          <w:p>
            <w:pPr>
              <w:pStyle w:val="TableContents"/>
              <w:spacing w:before="0" w:after="283"/>
              <w:jc w:val="right"/>
              <w:rPr>
                <w:rFonts w:ascii="times" w:hAnsi="times"/>
                <w:b/>
                <w:sz w:val="14"/>
              </w:rPr>
            </w:pPr>
            <w:r>
              <w:rPr>
                <w:rFonts w:ascii="times" w:hAnsi="times"/>
                <w:b/>
                <w:sz w:val="14"/>
              </w:rPr>
              <w:t>217,734</w:t>
            </w:r>
          </w:p>
        </w:tc>
        <w:tc>
          <w:tcPr>
            <w:tcW w:w="146"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723" w:type="dxa"/>
            <w:tcBorders/>
            <w:shd w:fill="auto" w:val="clear"/>
            <w:vAlign w:val="bottom"/>
          </w:tcPr>
          <w:p>
            <w:pPr>
              <w:pStyle w:val="TableContents"/>
              <w:spacing w:before="0" w:after="283"/>
              <w:jc w:val="right"/>
              <w:rPr>
                <w:rFonts w:ascii="times" w:hAnsi="times"/>
                <w:b/>
                <w:sz w:val="14"/>
              </w:rPr>
            </w:pPr>
            <w:r>
              <w:rPr>
                <w:rFonts w:ascii="times" w:hAnsi="times"/>
                <w:b/>
                <w:sz w:val="14"/>
              </w:rPr>
              <w:t>37,855</w:t>
            </w:r>
          </w:p>
        </w:tc>
        <w:tc>
          <w:tcPr>
            <w:tcW w:w="146"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760" w:type="dxa"/>
            <w:tcBorders/>
            <w:shd w:fill="auto" w:val="clear"/>
            <w:vAlign w:val="bottom"/>
          </w:tcPr>
          <w:p>
            <w:pPr>
              <w:pStyle w:val="TableContents"/>
              <w:spacing w:before="0" w:after="283"/>
              <w:jc w:val="right"/>
              <w:rPr>
                <w:rFonts w:ascii="times" w:hAnsi="times"/>
                <w:b/>
                <w:sz w:val="14"/>
              </w:rPr>
            </w:pPr>
            <w:r>
              <w:rPr>
                <w:rFonts w:ascii="times" w:hAnsi="times"/>
                <w:b/>
                <w:sz w:val="14"/>
              </w:rPr>
              <w:t>160,505</w:t>
            </w:r>
          </w:p>
        </w:tc>
        <w:tc>
          <w:tcPr>
            <w:tcW w:w="146"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560" w:type="dxa"/>
            <w:tcBorders/>
            <w:shd w:fill="auto" w:val="clear"/>
            <w:vAlign w:val="bottom"/>
          </w:tcPr>
          <w:p>
            <w:pPr>
              <w:pStyle w:val="TableContents"/>
              <w:spacing w:before="0" w:after="283"/>
              <w:jc w:val="right"/>
              <w:rPr>
                <w:rFonts w:ascii="times" w:hAnsi="times"/>
                <w:b/>
                <w:sz w:val="14"/>
              </w:rPr>
            </w:pPr>
            <w:r>
              <w:rPr>
                <w:rFonts w:ascii="times" w:hAnsi="times"/>
                <w:b/>
                <w:sz w:val="14"/>
              </w:rPr>
              <w:t>198,360</w:t>
            </w:r>
          </w:p>
        </w:tc>
        <w:tc>
          <w:tcPr>
            <w:tcW w:w="156" w:type="dxa"/>
            <w:tcBorders/>
            <w:shd w:fill="auto" w:val="clear"/>
            <w:vAlign w:val="bottom"/>
          </w:tcPr>
          <w:p>
            <w:pPr>
              <w:pStyle w:val="TableContents"/>
              <w:spacing w:before="0" w:after="283"/>
              <w:rPr/>
            </w:pPr>
            <w:r>
              <w:rPr/>
              <w:t> </w:t>
            </w:r>
          </w:p>
        </w:tc>
      </w:tr>
      <w:tr>
        <w:trPr/>
        <w:tc>
          <w:tcPr>
            <w:tcW w:w="1753" w:type="dxa"/>
            <w:tcBorders/>
            <w:shd w:fill="FFFFFF" w:val="clear"/>
            <w:vAlign w:val="bottom"/>
          </w:tcPr>
          <w:p>
            <w:pPr>
              <w:pStyle w:val="TableContents"/>
              <w:spacing w:before="0" w:after="283"/>
              <w:rPr/>
            </w:pPr>
            <w:r>
              <w:rPr/>
              <w:t>​</w:t>
            </w:r>
          </w:p>
        </w:tc>
        <w:tc>
          <w:tcPr>
            <w:tcW w:w="145" w:type="dxa"/>
            <w:tcBorders/>
            <w:shd w:fill="FFFFFF" w:val="clear"/>
            <w:vAlign w:val="bottom"/>
          </w:tcPr>
          <w:p>
            <w:pPr>
              <w:pStyle w:val="TableContents"/>
              <w:spacing w:before="0" w:after="283"/>
              <w:rPr/>
            </w:pPr>
            <w:r>
              <w:rPr/>
              <w:t>​</w:t>
            </w:r>
          </w:p>
        </w:tc>
        <w:tc>
          <w:tcPr>
            <w:tcW w:w="95" w:type="dxa"/>
            <w:tcBorders>
              <w:bottom w:val="single" w:sz="8" w:space="0" w:color="000000"/>
            </w:tcBorders>
            <w:shd w:fill="FFFFFF" w:val="clear"/>
            <w:tcMar>
              <w:bottom w:w="28" w:type="dxa"/>
            </w:tcMar>
            <w:vAlign w:val="bottom"/>
          </w:tcPr>
          <w:p>
            <w:pPr>
              <w:pStyle w:val="TableContents"/>
              <w:spacing w:before="0" w:after="283"/>
              <w:rPr/>
            </w:pPr>
            <w:r>
              <w:rPr/>
              <w:t xml:space="preserve">​ </w:t>
            </w:r>
          </w:p>
        </w:tc>
        <w:tc>
          <w:tcPr>
            <w:tcW w:w="723" w:type="dxa"/>
            <w:tcBorders>
              <w:bottom w:val="single" w:sz="8" w:space="0" w:color="000000"/>
            </w:tcBorders>
            <w:shd w:fill="FFFFFF" w:val="clear"/>
            <w:tcMar>
              <w:bottom w:w="28" w:type="dxa"/>
            </w:tcMar>
            <w:vAlign w:val="bottom"/>
          </w:tcPr>
          <w:p>
            <w:pPr>
              <w:pStyle w:val="TableContents"/>
              <w:spacing w:before="0" w:after="283"/>
              <w:jc w:val="right"/>
              <w:rPr/>
            </w:pPr>
            <w:r>
              <w:rPr/>
              <w:t xml:space="preserve">​ </w:t>
            </w:r>
          </w:p>
        </w:tc>
        <w:tc>
          <w:tcPr>
            <w:tcW w:w="146" w:type="dxa"/>
            <w:tcBorders/>
            <w:shd w:fill="FFFFFF" w:val="clear"/>
            <w:vAlign w:val="bottom"/>
          </w:tcPr>
          <w:p>
            <w:pPr>
              <w:pStyle w:val="TableContents"/>
              <w:spacing w:before="0" w:after="283"/>
              <w:rPr/>
            </w:pPr>
            <w:r>
              <w:rPr/>
              <w:t>​</w:t>
            </w:r>
          </w:p>
        </w:tc>
        <w:tc>
          <w:tcPr>
            <w:tcW w:w="95" w:type="dxa"/>
            <w:tcBorders>
              <w:bottom w:val="single" w:sz="8" w:space="0" w:color="000000"/>
            </w:tcBorders>
            <w:shd w:fill="FFFFFF" w:val="clear"/>
            <w:tcMar>
              <w:bottom w:w="28" w:type="dxa"/>
            </w:tcMar>
            <w:vAlign w:val="bottom"/>
          </w:tcPr>
          <w:p>
            <w:pPr>
              <w:pStyle w:val="TableContents"/>
              <w:spacing w:before="0" w:after="283"/>
              <w:rPr/>
            </w:pPr>
            <w:r>
              <w:rPr/>
              <w:t xml:space="preserve">​ </w:t>
            </w:r>
          </w:p>
        </w:tc>
        <w:tc>
          <w:tcPr>
            <w:tcW w:w="760" w:type="dxa"/>
            <w:tcBorders>
              <w:bottom w:val="single" w:sz="8" w:space="0" w:color="000000"/>
            </w:tcBorders>
            <w:shd w:fill="FFFFFF" w:val="clear"/>
            <w:tcMar>
              <w:bottom w:w="28" w:type="dxa"/>
            </w:tcMar>
            <w:vAlign w:val="bottom"/>
          </w:tcPr>
          <w:p>
            <w:pPr>
              <w:pStyle w:val="TableContents"/>
              <w:spacing w:before="0" w:after="283"/>
              <w:jc w:val="right"/>
              <w:rPr/>
            </w:pPr>
            <w:r>
              <w:rPr/>
              <w:t xml:space="preserve">​ </w:t>
            </w:r>
          </w:p>
        </w:tc>
        <w:tc>
          <w:tcPr>
            <w:tcW w:w="146" w:type="dxa"/>
            <w:tcBorders/>
            <w:shd w:fill="FFFFFF" w:val="clear"/>
            <w:vAlign w:val="bottom"/>
          </w:tcPr>
          <w:p>
            <w:pPr>
              <w:pStyle w:val="TableContents"/>
              <w:spacing w:before="0" w:after="283"/>
              <w:rPr/>
            </w:pPr>
            <w:r>
              <w:rPr/>
              <w:t>​</w:t>
            </w:r>
          </w:p>
        </w:tc>
        <w:tc>
          <w:tcPr>
            <w:tcW w:w="95" w:type="dxa"/>
            <w:tcBorders>
              <w:bottom w:val="single" w:sz="8" w:space="0" w:color="000000"/>
            </w:tcBorders>
            <w:shd w:fill="FFFFFF" w:val="clear"/>
            <w:tcMar>
              <w:bottom w:w="28" w:type="dxa"/>
            </w:tcMar>
            <w:vAlign w:val="bottom"/>
          </w:tcPr>
          <w:p>
            <w:pPr>
              <w:pStyle w:val="TableContents"/>
              <w:spacing w:before="0" w:after="283"/>
              <w:rPr/>
            </w:pPr>
            <w:r>
              <w:rPr/>
              <w:t xml:space="preserve">​ </w:t>
            </w:r>
          </w:p>
        </w:tc>
        <w:tc>
          <w:tcPr>
            <w:tcW w:w="560" w:type="dxa"/>
            <w:tcBorders>
              <w:bottom w:val="single" w:sz="8" w:space="0" w:color="000000"/>
            </w:tcBorders>
            <w:shd w:fill="FFFFFF" w:val="clear"/>
            <w:tcMar>
              <w:bottom w:w="28" w:type="dxa"/>
            </w:tcMar>
            <w:vAlign w:val="bottom"/>
          </w:tcPr>
          <w:p>
            <w:pPr>
              <w:pStyle w:val="TableContents"/>
              <w:spacing w:before="0" w:after="283"/>
              <w:jc w:val="right"/>
              <w:rPr/>
            </w:pPr>
            <w:r>
              <w:rPr/>
              <w:t xml:space="preserve">​ </w:t>
            </w:r>
          </w:p>
        </w:tc>
        <w:tc>
          <w:tcPr>
            <w:tcW w:w="146" w:type="dxa"/>
            <w:tcBorders/>
            <w:shd w:fill="FFFFFF" w:val="clear"/>
            <w:vAlign w:val="bottom"/>
          </w:tcPr>
          <w:p>
            <w:pPr>
              <w:pStyle w:val="TableContents"/>
              <w:spacing w:before="0" w:after="283"/>
              <w:rPr/>
            </w:pPr>
            <w:r>
              <w:rPr/>
              <w:t>​</w:t>
            </w:r>
          </w:p>
        </w:tc>
        <w:tc>
          <w:tcPr>
            <w:tcW w:w="95" w:type="dxa"/>
            <w:tcBorders>
              <w:bottom w:val="single" w:sz="8" w:space="0" w:color="000000"/>
            </w:tcBorders>
            <w:shd w:fill="FFFFFF" w:val="clear"/>
            <w:tcMar>
              <w:bottom w:w="28" w:type="dxa"/>
            </w:tcMar>
            <w:vAlign w:val="bottom"/>
          </w:tcPr>
          <w:p>
            <w:pPr>
              <w:pStyle w:val="TableContents"/>
              <w:spacing w:before="0" w:after="283"/>
              <w:rPr/>
            </w:pPr>
            <w:r>
              <w:rPr/>
              <w:t xml:space="preserve">​ </w:t>
            </w:r>
          </w:p>
        </w:tc>
        <w:tc>
          <w:tcPr>
            <w:tcW w:w="723" w:type="dxa"/>
            <w:tcBorders>
              <w:bottom w:val="single" w:sz="8" w:space="0" w:color="000000"/>
            </w:tcBorders>
            <w:shd w:fill="FFFFFF" w:val="clear"/>
            <w:tcMar>
              <w:bottom w:w="28" w:type="dxa"/>
            </w:tcMar>
            <w:vAlign w:val="bottom"/>
          </w:tcPr>
          <w:p>
            <w:pPr>
              <w:pStyle w:val="TableContents"/>
              <w:spacing w:before="0" w:after="283"/>
              <w:jc w:val="right"/>
              <w:rPr/>
            </w:pPr>
            <w:r>
              <w:rPr/>
              <w:t xml:space="preserve">​ </w:t>
            </w:r>
          </w:p>
        </w:tc>
        <w:tc>
          <w:tcPr>
            <w:tcW w:w="145" w:type="dxa"/>
            <w:tcBorders/>
            <w:shd w:fill="FFFFFF" w:val="clear"/>
            <w:vAlign w:val="bottom"/>
          </w:tcPr>
          <w:p>
            <w:pPr>
              <w:pStyle w:val="TableContents"/>
              <w:spacing w:before="0" w:after="283"/>
              <w:rPr/>
            </w:pPr>
            <w:r>
              <w:rPr/>
              <w:t>​</w:t>
            </w:r>
          </w:p>
        </w:tc>
        <w:tc>
          <w:tcPr>
            <w:tcW w:w="95" w:type="dxa"/>
            <w:tcBorders>
              <w:bottom w:val="single" w:sz="8" w:space="0" w:color="000000"/>
            </w:tcBorders>
            <w:shd w:fill="FFFFFF" w:val="clear"/>
            <w:tcMar>
              <w:bottom w:w="28" w:type="dxa"/>
            </w:tcMar>
            <w:vAlign w:val="bottom"/>
          </w:tcPr>
          <w:p>
            <w:pPr>
              <w:pStyle w:val="TableContents"/>
              <w:spacing w:before="0" w:after="283"/>
              <w:rPr/>
            </w:pPr>
            <w:r>
              <w:rPr/>
              <w:t xml:space="preserve">​ </w:t>
            </w:r>
          </w:p>
        </w:tc>
        <w:tc>
          <w:tcPr>
            <w:tcW w:w="760" w:type="dxa"/>
            <w:tcBorders>
              <w:bottom w:val="single" w:sz="8" w:space="0" w:color="000000"/>
            </w:tcBorders>
            <w:shd w:fill="FFFFFF" w:val="clear"/>
            <w:tcMar>
              <w:bottom w:w="28" w:type="dxa"/>
            </w:tcMar>
            <w:vAlign w:val="bottom"/>
          </w:tcPr>
          <w:p>
            <w:pPr>
              <w:pStyle w:val="TableContents"/>
              <w:spacing w:before="0" w:after="283"/>
              <w:jc w:val="right"/>
              <w:rPr/>
            </w:pPr>
            <w:r>
              <w:rPr/>
              <w:t xml:space="preserve">​ </w:t>
            </w:r>
          </w:p>
        </w:tc>
        <w:tc>
          <w:tcPr>
            <w:tcW w:w="146" w:type="dxa"/>
            <w:tcBorders/>
            <w:shd w:fill="FFFFFF" w:val="clear"/>
            <w:vAlign w:val="bottom"/>
          </w:tcPr>
          <w:p>
            <w:pPr>
              <w:pStyle w:val="TableContents"/>
              <w:spacing w:before="0" w:after="283"/>
              <w:rPr/>
            </w:pPr>
            <w:r>
              <w:rPr/>
              <w:t>​</w:t>
            </w:r>
          </w:p>
        </w:tc>
        <w:tc>
          <w:tcPr>
            <w:tcW w:w="95" w:type="dxa"/>
            <w:tcBorders>
              <w:bottom w:val="single" w:sz="8" w:space="0" w:color="000000"/>
            </w:tcBorders>
            <w:shd w:fill="FFFFFF" w:val="clear"/>
            <w:tcMar>
              <w:bottom w:w="28" w:type="dxa"/>
            </w:tcMar>
            <w:vAlign w:val="bottom"/>
          </w:tcPr>
          <w:p>
            <w:pPr>
              <w:pStyle w:val="TableContents"/>
              <w:spacing w:before="0" w:after="283"/>
              <w:rPr/>
            </w:pPr>
            <w:r>
              <w:rPr/>
              <w:t xml:space="preserve">​ </w:t>
            </w:r>
          </w:p>
        </w:tc>
        <w:tc>
          <w:tcPr>
            <w:tcW w:w="560" w:type="dxa"/>
            <w:tcBorders>
              <w:bottom w:val="single" w:sz="8" w:space="0" w:color="000000"/>
            </w:tcBorders>
            <w:shd w:fill="FFFFFF" w:val="clear"/>
            <w:tcMar>
              <w:bottom w:w="28" w:type="dxa"/>
            </w:tcMar>
            <w:vAlign w:val="bottom"/>
          </w:tcPr>
          <w:p>
            <w:pPr>
              <w:pStyle w:val="TableContents"/>
              <w:spacing w:before="0" w:after="283"/>
              <w:jc w:val="right"/>
              <w:rPr/>
            </w:pPr>
            <w:r>
              <w:rPr/>
              <w:t xml:space="preserve">​ </w:t>
            </w:r>
          </w:p>
        </w:tc>
        <w:tc>
          <w:tcPr>
            <w:tcW w:w="146" w:type="dxa"/>
            <w:tcBorders/>
            <w:shd w:fill="FFFFFF" w:val="clear"/>
            <w:vAlign w:val="bottom"/>
          </w:tcPr>
          <w:p>
            <w:pPr>
              <w:pStyle w:val="TableContents"/>
              <w:spacing w:before="0" w:after="283"/>
              <w:rPr/>
            </w:pPr>
            <w:r>
              <w:rPr/>
              <w:t>​</w:t>
            </w:r>
          </w:p>
        </w:tc>
        <w:tc>
          <w:tcPr>
            <w:tcW w:w="95" w:type="dxa"/>
            <w:tcBorders>
              <w:bottom w:val="single" w:sz="8" w:space="0" w:color="000000"/>
            </w:tcBorders>
            <w:shd w:fill="FFFFFF" w:val="clear"/>
            <w:tcMar>
              <w:bottom w:w="28" w:type="dxa"/>
            </w:tcMar>
            <w:vAlign w:val="bottom"/>
          </w:tcPr>
          <w:p>
            <w:pPr>
              <w:pStyle w:val="TableContents"/>
              <w:spacing w:before="0" w:after="283"/>
              <w:rPr/>
            </w:pPr>
            <w:r>
              <w:rPr/>
              <w:t xml:space="preserve">​ </w:t>
            </w:r>
          </w:p>
        </w:tc>
        <w:tc>
          <w:tcPr>
            <w:tcW w:w="723" w:type="dxa"/>
            <w:tcBorders>
              <w:bottom w:val="single" w:sz="8" w:space="0" w:color="000000"/>
            </w:tcBorders>
            <w:shd w:fill="FFFFFF" w:val="clear"/>
            <w:tcMar>
              <w:bottom w:w="28" w:type="dxa"/>
            </w:tcMar>
            <w:vAlign w:val="bottom"/>
          </w:tcPr>
          <w:p>
            <w:pPr>
              <w:pStyle w:val="TableContents"/>
              <w:spacing w:before="0" w:after="283"/>
              <w:jc w:val="right"/>
              <w:rPr/>
            </w:pPr>
            <w:r>
              <w:rPr/>
              <w:t xml:space="preserve">​ </w:t>
            </w:r>
          </w:p>
        </w:tc>
        <w:tc>
          <w:tcPr>
            <w:tcW w:w="146" w:type="dxa"/>
            <w:tcBorders/>
            <w:shd w:fill="FFFFFF" w:val="clear"/>
            <w:vAlign w:val="bottom"/>
          </w:tcPr>
          <w:p>
            <w:pPr>
              <w:pStyle w:val="TableContents"/>
              <w:spacing w:before="0" w:after="283"/>
              <w:rPr/>
            </w:pPr>
            <w:r>
              <w:rPr/>
              <w:t>​</w:t>
            </w:r>
          </w:p>
        </w:tc>
        <w:tc>
          <w:tcPr>
            <w:tcW w:w="95" w:type="dxa"/>
            <w:tcBorders>
              <w:bottom w:val="single" w:sz="8" w:space="0" w:color="000000"/>
            </w:tcBorders>
            <w:shd w:fill="FFFFFF" w:val="clear"/>
            <w:tcMar>
              <w:bottom w:w="28" w:type="dxa"/>
            </w:tcMar>
            <w:vAlign w:val="bottom"/>
          </w:tcPr>
          <w:p>
            <w:pPr>
              <w:pStyle w:val="TableContents"/>
              <w:spacing w:before="0" w:after="283"/>
              <w:rPr/>
            </w:pPr>
            <w:r>
              <w:rPr/>
              <w:t xml:space="preserve">​ </w:t>
            </w:r>
          </w:p>
        </w:tc>
        <w:tc>
          <w:tcPr>
            <w:tcW w:w="760" w:type="dxa"/>
            <w:tcBorders>
              <w:bottom w:val="single" w:sz="8" w:space="0" w:color="000000"/>
            </w:tcBorders>
            <w:shd w:fill="FFFFFF" w:val="clear"/>
            <w:tcMar>
              <w:bottom w:w="28" w:type="dxa"/>
            </w:tcMar>
            <w:vAlign w:val="bottom"/>
          </w:tcPr>
          <w:p>
            <w:pPr>
              <w:pStyle w:val="TableContents"/>
              <w:spacing w:before="0" w:after="283"/>
              <w:jc w:val="right"/>
              <w:rPr/>
            </w:pPr>
            <w:r>
              <w:rPr/>
              <w:t xml:space="preserve">​ </w:t>
            </w:r>
          </w:p>
        </w:tc>
        <w:tc>
          <w:tcPr>
            <w:tcW w:w="146" w:type="dxa"/>
            <w:tcBorders/>
            <w:shd w:fill="FFFFFF" w:val="clear"/>
            <w:vAlign w:val="bottom"/>
          </w:tcPr>
          <w:p>
            <w:pPr>
              <w:pStyle w:val="TableContents"/>
              <w:spacing w:before="0" w:after="283"/>
              <w:rPr/>
            </w:pPr>
            <w:r>
              <w:rPr/>
              <w:t>​</w:t>
            </w:r>
          </w:p>
        </w:tc>
        <w:tc>
          <w:tcPr>
            <w:tcW w:w="95" w:type="dxa"/>
            <w:tcBorders>
              <w:bottom w:val="single" w:sz="8" w:space="0" w:color="000000"/>
            </w:tcBorders>
            <w:shd w:fill="FFFFFF" w:val="clear"/>
            <w:tcMar>
              <w:bottom w:w="28" w:type="dxa"/>
            </w:tcMar>
            <w:vAlign w:val="bottom"/>
          </w:tcPr>
          <w:p>
            <w:pPr>
              <w:pStyle w:val="TableContents"/>
              <w:spacing w:before="0" w:after="283"/>
              <w:rPr/>
            </w:pPr>
            <w:r>
              <w:rPr/>
              <w:t xml:space="preserve">​ </w:t>
            </w:r>
          </w:p>
        </w:tc>
        <w:tc>
          <w:tcPr>
            <w:tcW w:w="560" w:type="dxa"/>
            <w:tcBorders>
              <w:bottom w:val="single" w:sz="8" w:space="0" w:color="000000"/>
            </w:tcBorders>
            <w:shd w:fill="FFFFFF" w:val="clear"/>
            <w:tcMar>
              <w:bottom w:w="28" w:type="dxa"/>
            </w:tcMar>
            <w:vAlign w:val="bottom"/>
          </w:tcPr>
          <w:p>
            <w:pPr>
              <w:pStyle w:val="TableContents"/>
              <w:spacing w:before="0" w:after="283"/>
              <w:jc w:val="right"/>
              <w:rPr/>
            </w:pPr>
            <w:r>
              <w:rPr/>
              <w:t xml:space="preserve">​ </w:t>
            </w:r>
          </w:p>
        </w:tc>
        <w:tc>
          <w:tcPr>
            <w:tcW w:w="156" w:type="dxa"/>
            <w:tcBorders/>
            <w:shd w:fill="FFFFFF" w:val="clear"/>
            <w:vAlign w:val="bottom"/>
          </w:tcPr>
          <w:p>
            <w:pPr>
              <w:pStyle w:val="TableContents"/>
              <w:spacing w:before="0" w:after="283"/>
              <w:rPr/>
            </w:pPr>
            <w:r>
              <w:rPr/>
              <w:t>​</w:t>
            </w:r>
          </w:p>
        </w:tc>
      </w:tr>
      <w:tr>
        <w:trPr/>
        <w:tc>
          <w:tcPr>
            <w:tcW w:w="1753" w:type="dxa"/>
            <w:tcBorders/>
            <w:shd w:fill="auto" w:val="clear"/>
            <w:vAlign w:val="bottom"/>
          </w:tcPr>
          <w:p>
            <w:pPr>
              <w:pStyle w:val="TableContents"/>
              <w:spacing w:before="0" w:after="283"/>
              <w:ind w:left="140" w:right="0" w:hanging="140"/>
              <w:rPr>
                <w:rFonts w:ascii="times" w:hAnsi="times"/>
                <w:sz w:val="14"/>
              </w:rPr>
            </w:pPr>
            <w:r>
              <w:rPr>
                <w:rFonts w:ascii="times" w:hAnsi="times"/>
                <w:sz w:val="14"/>
              </w:rPr>
              <w:t>Financial costs</w:t>
            </w:r>
          </w:p>
        </w:tc>
        <w:tc>
          <w:tcPr>
            <w:tcW w:w="145"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723" w:type="dxa"/>
            <w:tcBorders/>
            <w:shd w:fill="auto" w:val="clear"/>
            <w:vAlign w:val="bottom"/>
          </w:tcPr>
          <w:p>
            <w:pPr>
              <w:pStyle w:val="TableContents"/>
              <w:spacing w:before="0" w:after="283"/>
              <w:jc w:val="right"/>
              <w:rPr>
                <w:rFonts w:ascii="times" w:hAnsi="times"/>
                <w:sz w:val="14"/>
              </w:rPr>
            </w:pPr>
            <w:r>
              <w:rPr>
                <w:rFonts w:ascii="times" w:hAnsi="times"/>
                <w:sz w:val="14"/>
              </w:rPr>
              <w:t>(32,781</w:t>
            </w:r>
          </w:p>
        </w:tc>
        <w:tc>
          <w:tcPr>
            <w:tcW w:w="146" w:type="dxa"/>
            <w:tcBorders/>
            <w:shd w:fill="auto" w:val="clear"/>
            <w:vAlign w:val="bottom"/>
          </w:tcPr>
          <w:p>
            <w:pPr>
              <w:pStyle w:val="TableContents"/>
              <w:spacing w:before="0" w:after="283"/>
              <w:rPr>
                <w:rFonts w:ascii="times" w:hAnsi="times"/>
                <w:sz w:val="14"/>
              </w:rPr>
            </w:pPr>
            <w:r>
              <w:rPr>
                <w:rFonts w:ascii="times" w:hAnsi="times"/>
                <w:sz w:val="14"/>
              </w:rPr>
              <w:t>)</w:t>
            </w:r>
          </w:p>
        </w:tc>
        <w:tc>
          <w:tcPr>
            <w:tcW w:w="95" w:type="dxa"/>
            <w:tcBorders/>
            <w:shd w:fill="auto" w:val="clear"/>
            <w:vAlign w:val="bottom"/>
          </w:tcPr>
          <w:p>
            <w:pPr>
              <w:pStyle w:val="TableContents"/>
              <w:spacing w:before="0" w:after="283"/>
              <w:rPr/>
            </w:pPr>
            <w:r>
              <w:rPr/>
              <w:t> </w:t>
            </w:r>
          </w:p>
        </w:tc>
        <w:tc>
          <w:tcPr>
            <w:tcW w:w="760" w:type="dxa"/>
            <w:tcBorders/>
            <w:shd w:fill="auto" w:val="clear"/>
            <w:vAlign w:val="bottom"/>
          </w:tcPr>
          <w:p>
            <w:pPr>
              <w:pStyle w:val="TableContents"/>
              <w:spacing w:before="0" w:after="283"/>
              <w:jc w:val="right"/>
              <w:rPr>
                <w:rFonts w:ascii="times" w:hAnsi="times"/>
                <w:sz w:val="14"/>
              </w:rPr>
            </w:pPr>
            <w:r>
              <w:rPr>
                <w:rFonts w:ascii="times" w:hAnsi="times"/>
                <w:sz w:val="14"/>
              </w:rPr>
              <w:t>(30,187</w:t>
            </w:r>
          </w:p>
        </w:tc>
        <w:tc>
          <w:tcPr>
            <w:tcW w:w="146" w:type="dxa"/>
            <w:tcBorders/>
            <w:shd w:fill="auto" w:val="clear"/>
            <w:vAlign w:val="bottom"/>
          </w:tcPr>
          <w:p>
            <w:pPr>
              <w:pStyle w:val="TableContents"/>
              <w:spacing w:before="0" w:after="283"/>
              <w:rPr>
                <w:rFonts w:ascii="times" w:hAnsi="times"/>
                <w:sz w:val="14"/>
              </w:rPr>
            </w:pPr>
            <w:r>
              <w:rPr>
                <w:rFonts w:ascii="times" w:hAnsi="times"/>
                <w:sz w:val="14"/>
              </w:rPr>
              <w:t>)</w:t>
            </w:r>
          </w:p>
        </w:tc>
        <w:tc>
          <w:tcPr>
            <w:tcW w:w="95" w:type="dxa"/>
            <w:tcBorders/>
            <w:shd w:fill="auto" w:val="clear"/>
            <w:vAlign w:val="bottom"/>
          </w:tcPr>
          <w:p>
            <w:pPr>
              <w:pStyle w:val="TableContents"/>
              <w:spacing w:before="0" w:after="283"/>
              <w:rPr/>
            </w:pPr>
            <w:r>
              <w:rPr/>
              <w:t> </w:t>
            </w:r>
          </w:p>
        </w:tc>
        <w:tc>
          <w:tcPr>
            <w:tcW w:w="560" w:type="dxa"/>
            <w:tcBorders/>
            <w:shd w:fill="auto" w:val="clear"/>
            <w:vAlign w:val="bottom"/>
          </w:tcPr>
          <w:p>
            <w:pPr>
              <w:pStyle w:val="TableContents"/>
              <w:spacing w:before="0" w:after="283"/>
              <w:jc w:val="right"/>
              <w:rPr>
                <w:rFonts w:ascii="times" w:hAnsi="times"/>
                <w:sz w:val="14"/>
              </w:rPr>
            </w:pPr>
            <w:r>
              <w:rPr>
                <w:rFonts w:ascii="times" w:hAnsi="times"/>
                <w:sz w:val="14"/>
              </w:rPr>
              <w:t>(62,968</w:t>
            </w:r>
          </w:p>
        </w:tc>
        <w:tc>
          <w:tcPr>
            <w:tcW w:w="146" w:type="dxa"/>
            <w:tcBorders/>
            <w:shd w:fill="auto" w:val="clear"/>
            <w:vAlign w:val="bottom"/>
          </w:tcPr>
          <w:p>
            <w:pPr>
              <w:pStyle w:val="TableContents"/>
              <w:spacing w:before="0" w:after="283"/>
              <w:rPr>
                <w:rFonts w:ascii="times" w:hAnsi="times"/>
                <w:sz w:val="14"/>
              </w:rPr>
            </w:pPr>
            <w:r>
              <w:rPr>
                <w:rFonts w:ascii="times" w:hAnsi="times"/>
                <w:sz w:val="14"/>
              </w:rPr>
              <w:t>)</w:t>
            </w:r>
          </w:p>
        </w:tc>
        <w:tc>
          <w:tcPr>
            <w:tcW w:w="95" w:type="dxa"/>
            <w:tcBorders/>
            <w:shd w:fill="auto" w:val="clear"/>
            <w:vAlign w:val="bottom"/>
          </w:tcPr>
          <w:p>
            <w:pPr>
              <w:pStyle w:val="TableContents"/>
              <w:spacing w:before="0" w:after="283"/>
              <w:rPr/>
            </w:pPr>
            <w:r>
              <w:rPr/>
              <w:t> </w:t>
            </w:r>
          </w:p>
        </w:tc>
        <w:tc>
          <w:tcPr>
            <w:tcW w:w="723" w:type="dxa"/>
            <w:tcBorders/>
            <w:shd w:fill="auto" w:val="clear"/>
            <w:vAlign w:val="bottom"/>
          </w:tcPr>
          <w:p>
            <w:pPr>
              <w:pStyle w:val="TableContents"/>
              <w:spacing w:before="0" w:after="283"/>
              <w:jc w:val="right"/>
              <w:rPr>
                <w:rFonts w:ascii="times" w:hAnsi="times"/>
                <w:sz w:val="14"/>
              </w:rPr>
            </w:pPr>
            <w:r>
              <w:rPr>
                <w:rFonts w:ascii="times" w:hAnsi="times"/>
                <w:sz w:val="14"/>
              </w:rPr>
              <w:t>(25,877</w:t>
            </w:r>
          </w:p>
        </w:tc>
        <w:tc>
          <w:tcPr>
            <w:tcW w:w="145" w:type="dxa"/>
            <w:tcBorders/>
            <w:shd w:fill="auto" w:val="clear"/>
            <w:vAlign w:val="bottom"/>
          </w:tcPr>
          <w:p>
            <w:pPr>
              <w:pStyle w:val="TableContents"/>
              <w:spacing w:before="0" w:after="283"/>
              <w:rPr>
                <w:rFonts w:ascii="times" w:hAnsi="times"/>
                <w:sz w:val="14"/>
              </w:rPr>
            </w:pPr>
            <w:r>
              <w:rPr>
                <w:rFonts w:ascii="times" w:hAnsi="times"/>
                <w:sz w:val="14"/>
              </w:rPr>
              <w:t>)</w:t>
            </w:r>
          </w:p>
        </w:tc>
        <w:tc>
          <w:tcPr>
            <w:tcW w:w="95" w:type="dxa"/>
            <w:tcBorders/>
            <w:shd w:fill="auto" w:val="clear"/>
            <w:vAlign w:val="bottom"/>
          </w:tcPr>
          <w:p>
            <w:pPr>
              <w:pStyle w:val="TableContents"/>
              <w:spacing w:before="0" w:after="283"/>
              <w:rPr/>
            </w:pPr>
            <w:r>
              <w:rPr/>
              <w:t> </w:t>
            </w:r>
          </w:p>
        </w:tc>
        <w:tc>
          <w:tcPr>
            <w:tcW w:w="760" w:type="dxa"/>
            <w:tcBorders/>
            <w:shd w:fill="auto" w:val="clear"/>
            <w:vAlign w:val="bottom"/>
          </w:tcPr>
          <w:p>
            <w:pPr>
              <w:pStyle w:val="TableContents"/>
              <w:spacing w:before="0" w:after="283"/>
              <w:jc w:val="right"/>
              <w:rPr>
                <w:rFonts w:ascii="times" w:hAnsi="times"/>
                <w:sz w:val="14"/>
              </w:rPr>
            </w:pPr>
            <w:r>
              <w:rPr>
                <w:rFonts w:ascii="times" w:hAnsi="times"/>
                <w:sz w:val="14"/>
              </w:rPr>
              <w:t>(44,916</w:t>
            </w:r>
          </w:p>
        </w:tc>
        <w:tc>
          <w:tcPr>
            <w:tcW w:w="146" w:type="dxa"/>
            <w:tcBorders/>
            <w:shd w:fill="auto" w:val="clear"/>
            <w:vAlign w:val="bottom"/>
          </w:tcPr>
          <w:p>
            <w:pPr>
              <w:pStyle w:val="TableContents"/>
              <w:spacing w:before="0" w:after="283"/>
              <w:rPr>
                <w:rFonts w:ascii="times" w:hAnsi="times"/>
                <w:sz w:val="14"/>
              </w:rPr>
            </w:pPr>
            <w:r>
              <w:rPr>
                <w:rFonts w:ascii="times" w:hAnsi="times"/>
                <w:sz w:val="14"/>
              </w:rPr>
              <w:t>)</w:t>
            </w:r>
          </w:p>
        </w:tc>
        <w:tc>
          <w:tcPr>
            <w:tcW w:w="95" w:type="dxa"/>
            <w:tcBorders/>
            <w:shd w:fill="auto" w:val="clear"/>
            <w:vAlign w:val="bottom"/>
          </w:tcPr>
          <w:p>
            <w:pPr>
              <w:pStyle w:val="TableContents"/>
              <w:spacing w:before="0" w:after="283"/>
              <w:rPr/>
            </w:pPr>
            <w:r>
              <w:rPr/>
              <w:t> </w:t>
            </w:r>
          </w:p>
        </w:tc>
        <w:tc>
          <w:tcPr>
            <w:tcW w:w="560" w:type="dxa"/>
            <w:tcBorders/>
            <w:shd w:fill="auto" w:val="clear"/>
            <w:vAlign w:val="bottom"/>
          </w:tcPr>
          <w:p>
            <w:pPr>
              <w:pStyle w:val="TableContents"/>
              <w:spacing w:before="0" w:after="283"/>
              <w:jc w:val="right"/>
              <w:rPr>
                <w:rFonts w:ascii="times" w:hAnsi="times"/>
                <w:sz w:val="14"/>
              </w:rPr>
            </w:pPr>
            <w:r>
              <w:rPr>
                <w:rFonts w:ascii="times" w:hAnsi="times"/>
                <w:sz w:val="14"/>
              </w:rPr>
              <w:t>(70,793</w:t>
            </w:r>
          </w:p>
        </w:tc>
        <w:tc>
          <w:tcPr>
            <w:tcW w:w="146" w:type="dxa"/>
            <w:tcBorders/>
            <w:shd w:fill="auto" w:val="clear"/>
            <w:vAlign w:val="bottom"/>
          </w:tcPr>
          <w:p>
            <w:pPr>
              <w:pStyle w:val="TableContents"/>
              <w:spacing w:before="0" w:after="283"/>
              <w:rPr>
                <w:rFonts w:ascii="times" w:hAnsi="times"/>
                <w:sz w:val="14"/>
              </w:rPr>
            </w:pPr>
            <w:r>
              <w:rPr>
                <w:rFonts w:ascii="times" w:hAnsi="times"/>
                <w:sz w:val="14"/>
              </w:rPr>
              <w:t>)</w:t>
            </w:r>
          </w:p>
        </w:tc>
        <w:tc>
          <w:tcPr>
            <w:tcW w:w="95" w:type="dxa"/>
            <w:tcBorders/>
            <w:shd w:fill="auto" w:val="clear"/>
            <w:vAlign w:val="bottom"/>
          </w:tcPr>
          <w:p>
            <w:pPr>
              <w:pStyle w:val="TableContents"/>
              <w:spacing w:before="0" w:after="283"/>
              <w:rPr/>
            </w:pPr>
            <w:r>
              <w:rPr/>
              <w:t> </w:t>
            </w:r>
          </w:p>
        </w:tc>
        <w:tc>
          <w:tcPr>
            <w:tcW w:w="723" w:type="dxa"/>
            <w:tcBorders/>
            <w:shd w:fill="auto" w:val="clear"/>
            <w:vAlign w:val="bottom"/>
          </w:tcPr>
          <w:p>
            <w:pPr>
              <w:pStyle w:val="TableContents"/>
              <w:spacing w:before="0" w:after="283"/>
              <w:jc w:val="right"/>
              <w:rPr>
                <w:rFonts w:ascii="times" w:hAnsi="times"/>
                <w:sz w:val="14"/>
              </w:rPr>
            </w:pPr>
            <w:r>
              <w:rPr>
                <w:rFonts w:ascii="times" w:hAnsi="times"/>
                <w:sz w:val="14"/>
              </w:rPr>
              <w:t>(12,456</w:t>
            </w:r>
          </w:p>
        </w:tc>
        <w:tc>
          <w:tcPr>
            <w:tcW w:w="146" w:type="dxa"/>
            <w:tcBorders/>
            <w:shd w:fill="auto" w:val="clear"/>
            <w:vAlign w:val="bottom"/>
          </w:tcPr>
          <w:p>
            <w:pPr>
              <w:pStyle w:val="TableContents"/>
              <w:spacing w:before="0" w:after="283"/>
              <w:rPr>
                <w:rFonts w:ascii="times" w:hAnsi="times"/>
                <w:sz w:val="14"/>
              </w:rPr>
            </w:pPr>
            <w:r>
              <w:rPr>
                <w:rFonts w:ascii="times" w:hAnsi="times"/>
                <w:sz w:val="14"/>
              </w:rPr>
              <w:t>)</w:t>
            </w:r>
          </w:p>
        </w:tc>
        <w:tc>
          <w:tcPr>
            <w:tcW w:w="95" w:type="dxa"/>
            <w:tcBorders/>
            <w:shd w:fill="auto" w:val="clear"/>
            <w:vAlign w:val="bottom"/>
          </w:tcPr>
          <w:p>
            <w:pPr>
              <w:pStyle w:val="TableContents"/>
              <w:spacing w:before="0" w:after="283"/>
              <w:rPr/>
            </w:pPr>
            <w:r>
              <w:rPr/>
              <w:t> </w:t>
            </w:r>
          </w:p>
        </w:tc>
        <w:tc>
          <w:tcPr>
            <w:tcW w:w="760" w:type="dxa"/>
            <w:tcBorders/>
            <w:shd w:fill="auto" w:val="clear"/>
            <w:vAlign w:val="bottom"/>
          </w:tcPr>
          <w:p>
            <w:pPr>
              <w:pStyle w:val="TableContents"/>
              <w:spacing w:before="0" w:after="283"/>
              <w:jc w:val="right"/>
              <w:rPr>
                <w:rFonts w:ascii="times" w:hAnsi="times"/>
                <w:sz w:val="14"/>
              </w:rPr>
            </w:pPr>
            <w:r>
              <w:rPr>
                <w:rFonts w:ascii="times" w:hAnsi="times"/>
                <w:sz w:val="14"/>
              </w:rPr>
              <w:t>(60,258</w:t>
            </w:r>
          </w:p>
        </w:tc>
        <w:tc>
          <w:tcPr>
            <w:tcW w:w="146" w:type="dxa"/>
            <w:tcBorders/>
            <w:shd w:fill="auto" w:val="clear"/>
            <w:vAlign w:val="bottom"/>
          </w:tcPr>
          <w:p>
            <w:pPr>
              <w:pStyle w:val="TableContents"/>
              <w:spacing w:before="0" w:after="283"/>
              <w:rPr>
                <w:rFonts w:ascii="times" w:hAnsi="times"/>
                <w:sz w:val="14"/>
              </w:rPr>
            </w:pPr>
            <w:r>
              <w:rPr>
                <w:rFonts w:ascii="times" w:hAnsi="times"/>
                <w:sz w:val="14"/>
              </w:rPr>
              <w:t>)</w:t>
            </w:r>
          </w:p>
        </w:tc>
        <w:tc>
          <w:tcPr>
            <w:tcW w:w="95" w:type="dxa"/>
            <w:tcBorders/>
            <w:shd w:fill="auto" w:val="clear"/>
            <w:vAlign w:val="bottom"/>
          </w:tcPr>
          <w:p>
            <w:pPr>
              <w:pStyle w:val="TableContents"/>
              <w:spacing w:before="0" w:after="283"/>
              <w:rPr/>
            </w:pPr>
            <w:r>
              <w:rPr/>
              <w:t> </w:t>
            </w:r>
          </w:p>
        </w:tc>
        <w:tc>
          <w:tcPr>
            <w:tcW w:w="560" w:type="dxa"/>
            <w:tcBorders/>
            <w:shd w:fill="auto" w:val="clear"/>
            <w:vAlign w:val="bottom"/>
          </w:tcPr>
          <w:p>
            <w:pPr>
              <w:pStyle w:val="TableContents"/>
              <w:spacing w:before="0" w:after="283"/>
              <w:jc w:val="right"/>
              <w:rPr>
                <w:rFonts w:ascii="times" w:hAnsi="times"/>
                <w:sz w:val="14"/>
              </w:rPr>
            </w:pPr>
            <w:r>
              <w:rPr>
                <w:rFonts w:ascii="times" w:hAnsi="times"/>
                <w:sz w:val="14"/>
              </w:rPr>
              <w:t>(72,714</w:t>
            </w:r>
          </w:p>
        </w:tc>
        <w:tc>
          <w:tcPr>
            <w:tcW w:w="156" w:type="dxa"/>
            <w:tcBorders/>
            <w:shd w:fill="auto" w:val="clear"/>
            <w:vAlign w:val="bottom"/>
          </w:tcPr>
          <w:p>
            <w:pPr>
              <w:pStyle w:val="TableContents"/>
              <w:spacing w:before="0" w:after="283"/>
              <w:rPr>
                <w:rFonts w:ascii="times" w:hAnsi="times"/>
                <w:sz w:val="14"/>
              </w:rPr>
            </w:pPr>
            <w:r>
              <w:rPr>
                <w:rFonts w:ascii="times" w:hAnsi="times"/>
                <w:sz w:val="14"/>
              </w:rPr>
              <w:t>)</w:t>
            </w:r>
          </w:p>
        </w:tc>
      </w:tr>
      <w:tr>
        <w:trPr/>
        <w:tc>
          <w:tcPr>
            <w:tcW w:w="1753" w:type="dxa"/>
            <w:tcBorders/>
            <w:shd w:fill="auto" w:val="clear"/>
            <w:vAlign w:val="bottom"/>
          </w:tcPr>
          <w:p>
            <w:pPr>
              <w:pStyle w:val="TableContents"/>
              <w:spacing w:before="0" w:after="283"/>
              <w:ind w:left="140" w:right="0" w:hanging="140"/>
              <w:rPr>
                <w:rFonts w:ascii="times" w:hAnsi="times"/>
                <w:sz w:val="14"/>
              </w:rPr>
            </w:pPr>
            <w:r>
              <w:rPr>
                <w:rFonts w:ascii="times" w:hAnsi="times"/>
                <w:sz w:val="14"/>
              </w:rPr>
              <w:t>Financial income</w:t>
            </w:r>
          </w:p>
        </w:tc>
        <w:tc>
          <w:tcPr>
            <w:tcW w:w="145"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723" w:type="dxa"/>
            <w:tcBorders/>
            <w:shd w:fill="auto" w:val="clear"/>
            <w:vAlign w:val="bottom"/>
          </w:tcPr>
          <w:p>
            <w:pPr>
              <w:pStyle w:val="TableContents"/>
              <w:spacing w:before="0" w:after="283"/>
              <w:jc w:val="right"/>
              <w:rPr>
                <w:rFonts w:ascii="times" w:hAnsi="times"/>
                <w:sz w:val="14"/>
              </w:rPr>
            </w:pPr>
            <w:r>
              <w:rPr>
                <w:rFonts w:ascii="times" w:hAnsi="times"/>
                <w:sz w:val="14"/>
              </w:rPr>
              <w:t>35</w:t>
            </w:r>
          </w:p>
        </w:tc>
        <w:tc>
          <w:tcPr>
            <w:tcW w:w="146"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760" w:type="dxa"/>
            <w:tcBorders/>
            <w:shd w:fill="auto" w:val="clear"/>
            <w:vAlign w:val="bottom"/>
          </w:tcPr>
          <w:p>
            <w:pPr>
              <w:pStyle w:val="TableContents"/>
              <w:spacing w:before="0" w:after="283"/>
              <w:jc w:val="right"/>
              <w:rPr>
                <w:rFonts w:ascii="times" w:hAnsi="times"/>
                <w:sz w:val="14"/>
              </w:rPr>
            </w:pPr>
            <w:r>
              <w:rPr>
                <w:rFonts w:ascii="times" w:hAnsi="times"/>
                <w:sz w:val="14"/>
              </w:rPr>
              <w:t>179</w:t>
            </w:r>
          </w:p>
        </w:tc>
        <w:tc>
          <w:tcPr>
            <w:tcW w:w="146"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560" w:type="dxa"/>
            <w:tcBorders/>
            <w:shd w:fill="auto" w:val="clear"/>
            <w:vAlign w:val="bottom"/>
          </w:tcPr>
          <w:p>
            <w:pPr>
              <w:pStyle w:val="TableContents"/>
              <w:spacing w:before="0" w:after="283"/>
              <w:jc w:val="right"/>
              <w:rPr>
                <w:rFonts w:ascii="times" w:hAnsi="times"/>
                <w:sz w:val="14"/>
              </w:rPr>
            </w:pPr>
            <w:r>
              <w:rPr>
                <w:rFonts w:ascii="times" w:hAnsi="times"/>
                <w:sz w:val="14"/>
              </w:rPr>
              <w:t>214</w:t>
            </w:r>
          </w:p>
        </w:tc>
        <w:tc>
          <w:tcPr>
            <w:tcW w:w="146"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723" w:type="dxa"/>
            <w:tcBorders/>
            <w:shd w:fill="auto" w:val="clear"/>
            <w:vAlign w:val="bottom"/>
          </w:tcPr>
          <w:p>
            <w:pPr>
              <w:pStyle w:val="TableContents"/>
              <w:spacing w:before="0" w:after="283"/>
              <w:jc w:val="right"/>
              <w:rPr>
                <w:rFonts w:ascii="times" w:hAnsi="times"/>
                <w:sz w:val="14"/>
              </w:rPr>
            </w:pPr>
            <w:r>
              <w:rPr>
                <w:rFonts w:ascii="times" w:hAnsi="times"/>
                <w:sz w:val="14"/>
              </w:rPr>
              <w:t>64</w:t>
            </w:r>
          </w:p>
        </w:tc>
        <w:tc>
          <w:tcPr>
            <w:tcW w:w="145"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760" w:type="dxa"/>
            <w:tcBorders/>
            <w:shd w:fill="auto" w:val="clear"/>
            <w:vAlign w:val="bottom"/>
          </w:tcPr>
          <w:p>
            <w:pPr>
              <w:pStyle w:val="TableContents"/>
              <w:spacing w:before="0" w:after="283"/>
              <w:jc w:val="right"/>
              <w:rPr>
                <w:rFonts w:ascii="times" w:hAnsi="times"/>
                <w:sz w:val="14"/>
              </w:rPr>
            </w:pPr>
            <w:r>
              <w:rPr>
                <w:rFonts w:ascii="times" w:hAnsi="times"/>
                <w:sz w:val="14"/>
              </w:rPr>
              <w:t>972</w:t>
            </w:r>
          </w:p>
        </w:tc>
        <w:tc>
          <w:tcPr>
            <w:tcW w:w="146"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560" w:type="dxa"/>
            <w:tcBorders/>
            <w:shd w:fill="auto" w:val="clear"/>
            <w:vAlign w:val="bottom"/>
          </w:tcPr>
          <w:p>
            <w:pPr>
              <w:pStyle w:val="TableContents"/>
              <w:spacing w:before="0" w:after="283"/>
              <w:jc w:val="right"/>
              <w:rPr>
                <w:rFonts w:ascii="times" w:hAnsi="times"/>
                <w:sz w:val="14"/>
              </w:rPr>
            </w:pPr>
            <w:r>
              <w:rPr>
                <w:rFonts w:ascii="times" w:hAnsi="times"/>
                <w:sz w:val="14"/>
              </w:rPr>
              <w:t>1,036</w:t>
            </w:r>
          </w:p>
        </w:tc>
        <w:tc>
          <w:tcPr>
            <w:tcW w:w="146"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723" w:type="dxa"/>
            <w:tcBorders/>
            <w:shd w:fill="auto" w:val="clear"/>
            <w:vAlign w:val="bottom"/>
          </w:tcPr>
          <w:p>
            <w:pPr>
              <w:pStyle w:val="TableContents"/>
              <w:spacing w:before="0" w:after="283"/>
              <w:jc w:val="right"/>
              <w:rPr>
                <w:rFonts w:ascii="times" w:hAnsi="times"/>
                <w:sz w:val="14"/>
              </w:rPr>
            </w:pPr>
            <w:r>
              <w:rPr>
                <w:rFonts w:ascii="times" w:hAnsi="times"/>
                <w:sz w:val="14"/>
              </w:rPr>
              <w:t>50</w:t>
            </w:r>
          </w:p>
        </w:tc>
        <w:tc>
          <w:tcPr>
            <w:tcW w:w="146"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760" w:type="dxa"/>
            <w:tcBorders/>
            <w:shd w:fill="auto" w:val="clear"/>
            <w:vAlign w:val="bottom"/>
          </w:tcPr>
          <w:p>
            <w:pPr>
              <w:pStyle w:val="TableContents"/>
              <w:spacing w:before="0" w:after="283"/>
              <w:jc w:val="right"/>
              <w:rPr>
                <w:rFonts w:ascii="times" w:hAnsi="times"/>
                <w:sz w:val="14"/>
              </w:rPr>
            </w:pPr>
            <w:r>
              <w:rPr>
                <w:rFonts w:ascii="times" w:hAnsi="times"/>
                <w:sz w:val="14"/>
              </w:rPr>
              <w:t>2,398</w:t>
            </w:r>
          </w:p>
        </w:tc>
        <w:tc>
          <w:tcPr>
            <w:tcW w:w="146"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560" w:type="dxa"/>
            <w:tcBorders/>
            <w:shd w:fill="auto" w:val="clear"/>
            <w:vAlign w:val="bottom"/>
          </w:tcPr>
          <w:p>
            <w:pPr>
              <w:pStyle w:val="TableContents"/>
              <w:spacing w:before="0" w:after="283"/>
              <w:jc w:val="right"/>
              <w:rPr>
                <w:rFonts w:ascii="times" w:hAnsi="times"/>
                <w:sz w:val="14"/>
              </w:rPr>
            </w:pPr>
            <w:r>
              <w:rPr>
                <w:rFonts w:ascii="times" w:hAnsi="times"/>
                <w:sz w:val="14"/>
              </w:rPr>
              <w:t>2,448</w:t>
            </w:r>
          </w:p>
        </w:tc>
        <w:tc>
          <w:tcPr>
            <w:tcW w:w="156" w:type="dxa"/>
            <w:tcBorders/>
            <w:shd w:fill="auto" w:val="clear"/>
            <w:vAlign w:val="bottom"/>
          </w:tcPr>
          <w:p>
            <w:pPr>
              <w:pStyle w:val="TableContents"/>
              <w:spacing w:before="0" w:after="283"/>
              <w:rPr/>
            </w:pPr>
            <w:r>
              <w:rPr/>
              <w:t> </w:t>
            </w:r>
          </w:p>
        </w:tc>
      </w:tr>
      <w:tr>
        <w:trPr/>
        <w:tc>
          <w:tcPr>
            <w:tcW w:w="1753" w:type="dxa"/>
            <w:tcBorders/>
            <w:shd w:fill="auto" w:val="clear"/>
            <w:vAlign w:val="bottom"/>
          </w:tcPr>
          <w:p>
            <w:pPr>
              <w:pStyle w:val="TableContents"/>
              <w:spacing w:before="0" w:after="283"/>
              <w:ind w:left="140" w:right="0" w:hanging="140"/>
              <w:rPr>
                <w:rFonts w:ascii="times" w:hAnsi="times"/>
                <w:sz w:val="14"/>
              </w:rPr>
            </w:pPr>
            <w:r>
              <w:rPr>
                <w:rFonts w:ascii="times" w:hAnsi="times"/>
                <w:sz w:val="14"/>
              </w:rPr>
              <w:t>(Loss)/gain on derivatives</w:t>
            </w:r>
          </w:p>
        </w:tc>
        <w:tc>
          <w:tcPr>
            <w:tcW w:w="145"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723" w:type="dxa"/>
            <w:tcBorders/>
            <w:shd w:fill="auto" w:val="clear"/>
            <w:vAlign w:val="bottom"/>
          </w:tcPr>
          <w:p>
            <w:pPr>
              <w:pStyle w:val="TableContents"/>
              <w:spacing w:before="0" w:after="283"/>
              <w:jc w:val="right"/>
              <w:rPr>
                <w:rFonts w:ascii="times" w:hAnsi="times"/>
                <w:sz w:val="14"/>
              </w:rPr>
            </w:pPr>
            <w:r>
              <w:rPr>
                <w:rFonts w:ascii="times" w:hAnsi="times"/>
                <w:sz w:val="14"/>
              </w:rPr>
              <w:t>(10,460</w:t>
            </w:r>
          </w:p>
        </w:tc>
        <w:tc>
          <w:tcPr>
            <w:tcW w:w="146" w:type="dxa"/>
            <w:tcBorders/>
            <w:shd w:fill="auto" w:val="clear"/>
            <w:vAlign w:val="bottom"/>
          </w:tcPr>
          <w:p>
            <w:pPr>
              <w:pStyle w:val="TableContents"/>
              <w:spacing w:before="0" w:after="283"/>
              <w:rPr>
                <w:rFonts w:ascii="times" w:hAnsi="times"/>
                <w:sz w:val="14"/>
              </w:rPr>
            </w:pPr>
            <w:r>
              <w:rPr>
                <w:rFonts w:ascii="times" w:hAnsi="times"/>
                <w:sz w:val="14"/>
              </w:rPr>
              <w:t>)</w:t>
            </w:r>
          </w:p>
        </w:tc>
        <w:tc>
          <w:tcPr>
            <w:tcW w:w="95" w:type="dxa"/>
            <w:tcBorders/>
            <w:shd w:fill="auto" w:val="clear"/>
            <w:vAlign w:val="bottom"/>
          </w:tcPr>
          <w:p>
            <w:pPr>
              <w:pStyle w:val="TableContents"/>
              <w:spacing w:before="0" w:after="283"/>
              <w:rPr/>
            </w:pPr>
            <w:r>
              <w:rPr/>
              <w:t> </w:t>
            </w:r>
          </w:p>
        </w:tc>
        <w:tc>
          <w:tcPr>
            <w:tcW w:w="760" w:type="dxa"/>
            <w:tcBorders/>
            <w:shd w:fill="auto" w:val="clear"/>
            <w:vAlign w:val="bottom"/>
          </w:tcPr>
          <w:p>
            <w:pPr>
              <w:pStyle w:val="TableContents"/>
              <w:spacing w:before="0" w:after="283"/>
              <w:jc w:val="right"/>
              <w:rPr>
                <w:rFonts w:ascii="times" w:hAnsi="times"/>
                <w:sz w:val="14"/>
              </w:rPr>
            </w:pPr>
            <w:r>
              <w:rPr>
                <w:rFonts w:ascii="times" w:hAnsi="times"/>
                <w:sz w:val="14"/>
              </w:rPr>
              <w:t>3,623</w:t>
            </w:r>
          </w:p>
        </w:tc>
        <w:tc>
          <w:tcPr>
            <w:tcW w:w="146"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560" w:type="dxa"/>
            <w:tcBorders/>
            <w:shd w:fill="auto" w:val="clear"/>
            <w:vAlign w:val="bottom"/>
          </w:tcPr>
          <w:p>
            <w:pPr>
              <w:pStyle w:val="TableContents"/>
              <w:spacing w:before="0" w:after="283"/>
              <w:jc w:val="right"/>
              <w:rPr>
                <w:rFonts w:ascii="times" w:hAnsi="times"/>
                <w:sz w:val="14"/>
              </w:rPr>
            </w:pPr>
            <w:r>
              <w:rPr>
                <w:rFonts w:ascii="times" w:hAnsi="times"/>
                <w:sz w:val="14"/>
              </w:rPr>
              <w:t>(6,837</w:t>
            </w:r>
          </w:p>
        </w:tc>
        <w:tc>
          <w:tcPr>
            <w:tcW w:w="146" w:type="dxa"/>
            <w:tcBorders/>
            <w:shd w:fill="auto" w:val="clear"/>
            <w:vAlign w:val="bottom"/>
          </w:tcPr>
          <w:p>
            <w:pPr>
              <w:pStyle w:val="TableContents"/>
              <w:spacing w:before="0" w:after="283"/>
              <w:rPr>
                <w:rFonts w:ascii="times" w:hAnsi="times"/>
                <w:sz w:val="14"/>
              </w:rPr>
            </w:pPr>
            <w:r>
              <w:rPr>
                <w:rFonts w:ascii="times" w:hAnsi="times"/>
                <w:sz w:val="14"/>
              </w:rPr>
              <w:t>)</w:t>
            </w:r>
          </w:p>
        </w:tc>
        <w:tc>
          <w:tcPr>
            <w:tcW w:w="95" w:type="dxa"/>
            <w:tcBorders/>
            <w:shd w:fill="auto" w:val="clear"/>
            <w:vAlign w:val="bottom"/>
          </w:tcPr>
          <w:p>
            <w:pPr>
              <w:pStyle w:val="TableContents"/>
              <w:spacing w:before="0" w:after="283"/>
              <w:rPr/>
            </w:pPr>
            <w:r>
              <w:rPr/>
              <w:t> </w:t>
            </w:r>
          </w:p>
        </w:tc>
        <w:tc>
          <w:tcPr>
            <w:tcW w:w="723" w:type="dxa"/>
            <w:tcBorders/>
            <w:shd w:fill="auto" w:val="clear"/>
            <w:vAlign w:val="bottom"/>
          </w:tcPr>
          <w:p>
            <w:pPr>
              <w:pStyle w:val="TableContents"/>
              <w:spacing w:before="0" w:after="283"/>
              <w:jc w:val="right"/>
              <w:rPr>
                <w:rFonts w:ascii="times" w:hAnsi="times"/>
                <w:sz w:val="14"/>
              </w:rPr>
            </w:pPr>
            <w:r>
              <w:rPr>
                <w:rFonts w:ascii="times" w:hAnsi="times"/>
                <w:sz w:val="14"/>
              </w:rPr>
              <w:t></w:t>
            </w:r>
          </w:p>
        </w:tc>
        <w:tc>
          <w:tcPr>
            <w:tcW w:w="145"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760" w:type="dxa"/>
            <w:tcBorders/>
            <w:shd w:fill="auto" w:val="clear"/>
            <w:vAlign w:val="bottom"/>
          </w:tcPr>
          <w:p>
            <w:pPr>
              <w:pStyle w:val="TableContents"/>
              <w:spacing w:before="0" w:after="283"/>
              <w:jc w:val="right"/>
              <w:rPr>
                <w:rFonts w:ascii="times" w:hAnsi="times"/>
                <w:sz w:val="14"/>
              </w:rPr>
            </w:pPr>
            <w:r>
              <w:rPr>
                <w:rFonts w:ascii="times" w:hAnsi="times"/>
                <w:sz w:val="14"/>
              </w:rPr>
              <w:t>121</w:t>
            </w:r>
          </w:p>
        </w:tc>
        <w:tc>
          <w:tcPr>
            <w:tcW w:w="146"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560" w:type="dxa"/>
            <w:tcBorders/>
            <w:shd w:fill="auto" w:val="clear"/>
            <w:vAlign w:val="bottom"/>
          </w:tcPr>
          <w:p>
            <w:pPr>
              <w:pStyle w:val="TableContents"/>
              <w:spacing w:before="0" w:after="283"/>
              <w:jc w:val="right"/>
              <w:rPr>
                <w:rFonts w:ascii="times" w:hAnsi="times"/>
                <w:sz w:val="14"/>
              </w:rPr>
            </w:pPr>
            <w:r>
              <w:rPr>
                <w:rFonts w:ascii="times" w:hAnsi="times"/>
                <w:sz w:val="14"/>
              </w:rPr>
              <w:t>121</w:t>
            </w:r>
          </w:p>
        </w:tc>
        <w:tc>
          <w:tcPr>
            <w:tcW w:w="146"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723" w:type="dxa"/>
            <w:tcBorders/>
            <w:shd w:fill="auto" w:val="clear"/>
            <w:vAlign w:val="bottom"/>
          </w:tcPr>
          <w:p>
            <w:pPr>
              <w:pStyle w:val="TableContents"/>
              <w:spacing w:before="0" w:after="283"/>
              <w:jc w:val="right"/>
              <w:rPr>
                <w:rFonts w:ascii="times" w:hAnsi="times"/>
                <w:sz w:val="14"/>
              </w:rPr>
            </w:pPr>
            <w:r>
              <w:rPr>
                <w:rFonts w:ascii="times" w:hAnsi="times"/>
                <w:sz w:val="14"/>
              </w:rPr>
              <w:t></w:t>
            </w:r>
          </w:p>
        </w:tc>
        <w:tc>
          <w:tcPr>
            <w:tcW w:w="146"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760" w:type="dxa"/>
            <w:tcBorders/>
            <w:shd w:fill="auto" w:val="clear"/>
            <w:vAlign w:val="bottom"/>
          </w:tcPr>
          <w:p>
            <w:pPr>
              <w:pStyle w:val="TableContents"/>
              <w:spacing w:before="0" w:after="283"/>
              <w:jc w:val="right"/>
              <w:rPr>
                <w:rFonts w:ascii="times" w:hAnsi="times"/>
                <w:sz w:val="14"/>
              </w:rPr>
            </w:pPr>
            <w:r>
              <w:rPr>
                <w:rFonts w:ascii="times" w:hAnsi="times"/>
                <w:sz w:val="14"/>
              </w:rPr>
              <w:t>(48</w:t>
            </w:r>
          </w:p>
        </w:tc>
        <w:tc>
          <w:tcPr>
            <w:tcW w:w="146" w:type="dxa"/>
            <w:tcBorders/>
            <w:shd w:fill="auto" w:val="clear"/>
            <w:vAlign w:val="bottom"/>
          </w:tcPr>
          <w:p>
            <w:pPr>
              <w:pStyle w:val="TableContents"/>
              <w:spacing w:before="0" w:after="283"/>
              <w:rPr>
                <w:rFonts w:ascii="times" w:hAnsi="times"/>
                <w:sz w:val="14"/>
              </w:rPr>
            </w:pPr>
            <w:r>
              <w:rPr>
                <w:rFonts w:ascii="times" w:hAnsi="times"/>
                <w:sz w:val="14"/>
              </w:rPr>
              <w:t>)</w:t>
            </w:r>
          </w:p>
        </w:tc>
        <w:tc>
          <w:tcPr>
            <w:tcW w:w="95" w:type="dxa"/>
            <w:tcBorders/>
            <w:shd w:fill="auto" w:val="clear"/>
            <w:vAlign w:val="bottom"/>
          </w:tcPr>
          <w:p>
            <w:pPr>
              <w:pStyle w:val="TableContents"/>
              <w:spacing w:before="0" w:after="283"/>
              <w:rPr/>
            </w:pPr>
            <w:r>
              <w:rPr/>
              <w:t> </w:t>
            </w:r>
          </w:p>
        </w:tc>
        <w:tc>
          <w:tcPr>
            <w:tcW w:w="560" w:type="dxa"/>
            <w:tcBorders/>
            <w:shd w:fill="auto" w:val="clear"/>
            <w:vAlign w:val="bottom"/>
          </w:tcPr>
          <w:p>
            <w:pPr>
              <w:pStyle w:val="TableContents"/>
              <w:spacing w:before="0" w:after="283"/>
              <w:jc w:val="right"/>
              <w:rPr>
                <w:rFonts w:ascii="times" w:hAnsi="times"/>
                <w:sz w:val="14"/>
              </w:rPr>
            </w:pPr>
            <w:r>
              <w:rPr>
                <w:rFonts w:ascii="times" w:hAnsi="times"/>
                <w:sz w:val="14"/>
              </w:rPr>
              <w:t>(48</w:t>
            </w:r>
          </w:p>
        </w:tc>
        <w:tc>
          <w:tcPr>
            <w:tcW w:w="156" w:type="dxa"/>
            <w:tcBorders/>
            <w:shd w:fill="auto" w:val="clear"/>
            <w:vAlign w:val="bottom"/>
          </w:tcPr>
          <w:p>
            <w:pPr>
              <w:pStyle w:val="TableContents"/>
              <w:spacing w:before="0" w:after="283"/>
              <w:rPr>
                <w:rFonts w:ascii="times" w:hAnsi="times"/>
                <w:sz w:val="14"/>
              </w:rPr>
            </w:pPr>
            <w:r>
              <w:rPr>
                <w:rFonts w:ascii="times" w:hAnsi="times"/>
                <w:sz w:val="14"/>
              </w:rPr>
              <w:t xml:space="preserve">) </w:t>
            </w:r>
          </w:p>
        </w:tc>
      </w:tr>
      <w:tr>
        <w:trPr/>
        <w:tc>
          <w:tcPr>
            <w:tcW w:w="1753" w:type="dxa"/>
            <w:tcBorders/>
            <w:shd w:fill="FFFFFF" w:val="clear"/>
            <w:vAlign w:val="bottom"/>
          </w:tcPr>
          <w:p>
            <w:pPr>
              <w:pStyle w:val="TableContents"/>
              <w:spacing w:before="0" w:after="283"/>
              <w:rPr/>
            </w:pPr>
            <w:r>
              <w:rPr/>
              <w:t>​</w:t>
            </w:r>
          </w:p>
        </w:tc>
        <w:tc>
          <w:tcPr>
            <w:tcW w:w="145" w:type="dxa"/>
            <w:tcBorders/>
            <w:shd w:fill="FFFFFF" w:val="clear"/>
            <w:vAlign w:val="bottom"/>
          </w:tcPr>
          <w:p>
            <w:pPr>
              <w:pStyle w:val="TableContents"/>
              <w:spacing w:before="0" w:after="283"/>
              <w:rPr/>
            </w:pPr>
            <w:r>
              <w:rPr/>
              <w:t>​</w:t>
            </w:r>
          </w:p>
        </w:tc>
        <w:tc>
          <w:tcPr>
            <w:tcW w:w="95" w:type="dxa"/>
            <w:tcBorders>
              <w:bottom w:val="single" w:sz="8" w:space="0" w:color="000000"/>
            </w:tcBorders>
            <w:shd w:fill="FFFFFF" w:val="clear"/>
            <w:tcMar>
              <w:bottom w:w="28" w:type="dxa"/>
            </w:tcMar>
            <w:vAlign w:val="bottom"/>
          </w:tcPr>
          <w:p>
            <w:pPr>
              <w:pStyle w:val="TableContents"/>
              <w:spacing w:before="0" w:after="283"/>
              <w:rPr/>
            </w:pPr>
            <w:r>
              <w:rPr/>
              <w:t xml:space="preserve">​ </w:t>
            </w:r>
          </w:p>
        </w:tc>
        <w:tc>
          <w:tcPr>
            <w:tcW w:w="723" w:type="dxa"/>
            <w:tcBorders>
              <w:bottom w:val="single" w:sz="8" w:space="0" w:color="000000"/>
            </w:tcBorders>
            <w:shd w:fill="FFFFFF" w:val="clear"/>
            <w:tcMar>
              <w:bottom w:w="28" w:type="dxa"/>
            </w:tcMar>
            <w:vAlign w:val="bottom"/>
          </w:tcPr>
          <w:p>
            <w:pPr>
              <w:pStyle w:val="TableContents"/>
              <w:spacing w:before="0" w:after="283"/>
              <w:jc w:val="right"/>
              <w:rPr/>
            </w:pPr>
            <w:r>
              <w:rPr/>
              <w:t xml:space="preserve">​ </w:t>
            </w:r>
          </w:p>
        </w:tc>
        <w:tc>
          <w:tcPr>
            <w:tcW w:w="146" w:type="dxa"/>
            <w:tcBorders/>
            <w:shd w:fill="FFFFFF" w:val="clear"/>
            <w:vAlign w:val="bottom"/>
          </w:tcPr>
          <w:p>
            <w:pPr>
              <w:pStyle w:val="TableContents"/>
              <w:spacing w:before="0" w:after="283"/>
              <w:rPr/>
            </w:pPr>
            <w:r>
              <w:rPr/>
              <w:t>​</w:t>
            </w:r>
          </w:p>
        </w:tc>
        <w:tc>
          <w:tcPr>
            <w:tcW w:w="95" w:type="dxa"/>
            <w:tcBorders>
              <w:bottom w:val="single" w:sz="8" w:space="0" w:color="000000"/>
            </w:tcBorders>
            <w:shd w:fill="FFFFFF" w:val="clear"/>
            <w:tcMar>
              <w:bottom w:w="28" w:type="dxa"/>
            </w:tcMar>
            <w:vAlign w:val="bottom"/>
          </w:tcPr>
          <w:p>
            <w:pPr>
              <w:pStyle w:val="TableContents"/>
              <w:spacing w:before="0" w:after="283"/>
              <w:rPr/>
            </w:pPr>
            <w:r>
              <w:rPr/>
              <w:t xml:space="preserve">​ </w:t>
            </w:r>
          </w:p>
        </w:tc>
        <w:tc>
          <w:tcPr>
            <w:tcW w:w="760" w:type="dxa"/>
            <w:tcBorders>
              <w:bottom w:val="single" w:sz="8" w:space="0" w:color="000000"/>
            </w:tcBorders>
            <w:shd w:fill="FFFFFF" w:val="clear"/>
            <w:tcMar>
              <w:bottom w:w="28" w:type="dxa"/>
            </w:tcMar>
            <w:vAlign w:val="bottom"/>
          </w:tcPr>
          <w:p>
            <w:pPr>
              <w:pStyle w:val="TableContents"/>
              <w:spacing w:before="0" w:after="283"/>
              <w:jc w:val="right"/>
              <w:rPr/>
            </w:pPr>
            <w:r>
              <w:rPr/>
              <w:t xml:space="preserve">​ </w:t>
            </w:r>
          </w:p>
        </w:tc>
        <w:tc>
          <w:tcPr>
            <w:tcW w:w="146" w:type="dxa"/>
            <w:tcBorders/>
            <w:shd w:fill="FFFFFF" w:val="clear"/>
            <w:vAlign w:val="bottom"/>
          </w:tcPr>
          <w:p>
            <w:pPr>
              <w:pStyle w:val="TableContents"/>
              <w:spacing w:before="0" w:after="283"/>
              <w:rPr/>
            </w:pPr>
            <w:r>
              <w:rPr/>
              <w:t>​</w:t>
            </w:r>
          </w:p>
        </w:tc>
        <w:tc>
          <w:tcPr>
            <w:tcW w:w="95" w:type="dxa"/>
            <w:tcBorders>
              <w:bottom w:val="single" w:sz="8" w:space="0" w:color="000000"/>
            </w:tcBorders>
            <w:shd w:fill="FFFFFF" w:val="clear"/>
            <w:tcMar>
              <w:bottom w:w="28" w:type="dxa"/>
            </w:tcMar>
            <w:vAlign w:val="bottom"/>
          </w:tcPr>
          <w:p>
            <w:pPr>
              <w:pStyle w:val="TableContents"/>
              <w:spacing w:before="0" w:after="283"/>
              <w:rPr/>
            </w:pPr>
            <w:r>
              <w:rPr/>
              <w:t xml:space="preserve">​ </w:t>
            </w:r>
          </w:p>
        </w:tc>
        <w:tc>
          <w:tcPr>
            <w:tcW w:w="560" w:type="dxa"/>
            <w:tcBorders>
              <w:bottom w:val="single" w:sz="8" w:space="0" w:color="000000"/>
            </w:tcBorders>
            <w:shd w:fill="FFFFFF" w:val="clear"/>
            <w:tcMar>
              <w:bottom w:w="28" w:type="dxa"/>
            </w:tcMar>
            <w:vAlign w:val="bottom"/>
          </w:tcPr>
          <w:p>
            <w:pPr>
              <w:pStyle w:val="TableContents"/>
              <w:spacing w:before="0" w:after="283"/>
              <w:jc w:val="right"/>
              <w:rPr/>
            </w:pPr>
            <w:r>
              <w:rPr/>
              <w:t xml:space="preserve">​ </w:t>
            </w:r>
          </w:p>
        </w:tc>
        <w:tc>
          <w:tcPr>
            <w:tcW w:w="146" w:type="dxa"/>
            <w:tcBorders/>
            <w:shd w:fill="FFFFFF" w:val="clear"/>
            <w:vAlign w:val="bottom"/>
          </w:tcPr>
          <w:p>
            <w:pPr>
              <w:pStyle w:val="TableContents"/>
              <w:spacing w:before="0" w:after="283"/>
              <w:rPr/>
            </w:pPr>
            <w:r>
              <w:rPr/>
              <w:t>​</w:t>
            </w:r>
          </w:p>
        </w:tc>
        <w:tc>
          <w:tcPr>
            <w:tcW w:w="95" w:type="dxa"/>
            <w:tcBorders>
              <w:bottom w:val="single" w:sz="8" w:space="0" w:color="000000"/>
            </w:tcBorders>
            <w:shd w:fill="FFFFFF" w:val="clear"/>
            <w:tcMar>
              <w:bottom w:w="28" w:type="dxa"/>
            </w:tcMar>
            <w:vAlign w:val="bottom"/>
          </w:tcPr>
          <w:p>
            <w:pPr>
              <w:pStyle w:val="TableContents"/>
              <w:spacing w:before="0" w:after="283"/>
              <w:rPr/>
            </w:pPr>
            <w:r>
              <w:rPr/>
              <w:t xml:space="preserve">​ </w:t>
            </w:r>
          </w:p>
        </w:tc>
        <w:tc>
          <w:tcPr>
            <w:tcW w:w="723" w:type="dxa"/>
            <w:tcBorders>
              <w:bottom w:val="single" w:sz="8" w:space="0" w:color="000000"/>
            </w:tcBorders>
            <w:shd w:fill="FFFFFF" w:val="clear"/>
            <w:tcMar>
              <w:bottom w:w="28" w:type="dxa"/>
            </w:tcMar>
            <w:vAlign w:val="bottom"/>
          </w:tcPr>
          <w:p>
            <w:pPr>
              <w:pStyle w:val="TableContents"/>
              <w:spacing w:before="0" w:after="283"/>
              <w:jc w:val="right"/>
              <w:rPr/>
            </w:pPr>
            <w:r>
              <w:rPr/>
              <w:t xml:space="preserve">​ </w:t>
            </w:r>
          </w:p>
        </w:tc>
        <w:tc>
          <w:tcPr>
            <w:tcW w:w="145" w:type="dxa"/>
            <w:tcBorders/>
            <w:shd w:fill="FFFFFF" w:val="clear"/>
            <w:vAlign w:val="bottom"/>
          </w:tcPr>
          <w:p>
            <w:pPr>
              <w:pStyle w:val="TableContents"/>
              <w:spacing w:before="0" w:after="283"/>
              <w:rPr/>
            </w:pPr>
            <w:r>
              <w:rPr/>
              <w:t>​</w:t>
            </w:r>
          </w:p>
        </w:tc>
        <w:tc>
          <w:tcPr>
            <w:tcW w:w="95" w:type="dxa"/>
            <w:tcBorders>
              <w:bottom w:val="single" w:sz="8" w:space="0" w:color="000000"/>
            </w:tcBorders>
            <w:shd w:fill="FFFFFF" w:val="clear"/>
            <w:tcMar>
              <w:bottom w:w="28" w:type="dxa"/>
            </w:tcMar>
            <w:vAlign w:val="bottom"/>
          </w:tcPr>
          <w:p>
            <w:pPr>
              <w:pStyle w:val="TableContents"/>
              <w:spacing w:before="0" w:after="283"/>
              <w:rPr/>
            </w:pPr>
            <w:r>
              <w:rPr/>
              <w:t xml:space="preserve">​ </w:t>
            </w:r>
          </w:p>
        </w:tc>
        <w:tc>
          <w:tcPr>
            <w:tcW w:w="760" w:type="dxa"/>
            <w:tcBorders>
              <w:bottom w:val="single" w:sz="8" w:space="0" w:color="000000"/>
            </w:tcBorders>
            <w:shd w:fill="FFFFFF" w:val="clear"/>
            <w:tcMar>
              <w:bottom w:w="28" w:type="dxa"/>
            </w:tcMar>
            <w:vAlign w:val="bottom"/>
          </w:tcPr>
          <w:p>
            <w:pPr>
              <w:pStyle w:val="TableContents"/>
              <w:spacing w:before="0" w:after="283"/>
              <w:jc w:val="right"/>
              <w:rPr/>
            </w:pPr>
            <w:r>
              <w:rPr/>
              <w:t xml:space="preserve">​ </w:t>
            </w:r>
          </w:p>
        </w:tc>
        <w:tc>
          <w:tcPr>
            <w:tcW w:w="146" w:type="dxa"/>
            <w:tcBorders/>
            <w:shd w:fill="FFFFFF" w:val="clear"/>
            <w:vAlign w:val="bottom"/>
          </w:tcPr>
          <w:p>
            <w:pPr>
              <w:pStyle w:val="TableContents"/>
              <w:spacing w:before="0" w:after="283"/>
              <w:rPr/>
            </w:pPr>
            <w:r>
              <w:rPr/>
              <w:t>​</w:t>
            </w:r>
          </w:p>
        </w:tc>
        <w:tc>
          <w:tcPr>
            <w:tcW w:w="95" w:type="dxa"/>
            <w:tcBorders>
              <w:bottom w:val="single" w:sz="8" w:space="0" w:color="000000"/>
            </w:tcBorders>
            <w:shd w:fill="FFFFFF" w:val="clear"/>
            <w:tcMar>
              <w:bottom w:w="28" w:type="dxa"/>
            </w:tcMar>
            <w:vAlign w:val="bottom"/>
          </w:tcPr>
          <w:p>
            <w:pPr>
              <w:pStyle w:val="TableContents"/>
              <w:spacing w:before="0" w:after="283"/>
              <w:rPr/>
            </w:pPr>
            <w:r>
              <w:rPr/>
              <w:t xml:space="preserve">​ </w:t>
            </w:r>
          </w:p>
        </w:tc>
        <w:tc>
          <w:tcPr>
            <w:tcW w:w="560" w:type="dxa"/>
            <w:tcBorders>
              <w:bottom w:val="single" w:sz="8" w:space="0" w:color="000000"/>
            </w:tcBorders>
            <w:shd w:fill="FFFFFF" w:val="clear"/>
            <w:tcMar>
              <w:bottom w:w="28" w:type="dxa"/>
            </w:tcMar>
            <w:vAlign w:val="bottom"/>
          </w:tcPr>
          <w:p>
            <w:pPr>
              <w:pStyle w:val="TableContents"/>
              <w:spacing w:before="0" w:after="283"/>
              <w:jc w:val="right"/>
              <w:rPr/>
            </w:pPr>
            <w:r>
              <w:rPr/>
              <w:t xml:space="preserve">​ </w:t>
            </w:r>
          </w:p>
        </w:tc>
        <w:tc>
          <w:tcPr>
            <w:tcW w:w="146" w:type="dxa"/>
            <w:tcBorders/>
            <w:shd w:fill="FFFFFF" w:val="clear"/>
            <w:vAlign w:val="bottom"/>
          </w:tcPr>
          <w:p>
            <w:pPr>
              <w:pStyle w:val="TableContents"/>
              <w:spacing w:before="0" w:after="283"/>
              <w:rPr/>
            </w:pPr>
            <w:r>
              <w:rPr/>
              <w:t>​</w:t>
            </w:r>
          </w:p>
        </w:tc>
        <w:tc>
          <w:tcPr>
            <w:tcW w:w="95" w:type="dxa"/>
            <w:tcBorders>
              <w:bottom w:val="single" w:sz="8" w:space="0" w:color="000000"/>
            </w:tcBorders>
            <w:shd w:fill="FFFFFF" w:val="clear"/>
            <w:tcMar>
              <w:bottom w:w="28" w:type="dxa"/>
            </w:tcMar>
            <w:vAlign w:val="bottom"/>
          </w:tcPr>
          <w:p>
            <w:pPr>
              <w:pStyle w:val="TableContents"/>
              <w:spacing w:before="0" w:after="283"/>
              <w:rPr/>
            </w:pPr>
            <w:r>
              <w:rPr/>
              <w:t xml:space="preserve">​ </w:t>
            </w:r>
          </w:p>
        </w:tc>
        <w:tc>
          <w:tcPr>
            <w:tcW w:w="723" w:type="dxa"/>
            <w:tcBorders>
              <w:bottom w:val="single" w:sz="8" w:space="0" w:color="000000"/>
            </w:tcBorders>
            <w:shd w:fill="FFFFFF" w:val="clear"/>
            <w:tcMar>
              <w:bottom w:w="28" w:type="dxa"/>
            </w:tcMar>
            <w:vAlign w:val="bottom"/>
          </w:tcPr>
          <w:p>
            <w:pPr>
              <w:pStyle w:val="TableContents"/>
              <w:spacing w:before="0" w:after="283"/>
              <w:jc w:val="right"/>
              <w:rPr/>
            </w:pPr>
            <w:r>
              <w:rPr/>
              <w:t xml:space="preserve">​ </w:t>
            </w:r>
          </w:p>
        </w:tc>
        <w:tc>
          <w:tcPr>
            <w:tcW w:w="146" w:type="dxa"/>
            <w:tcBorders/>
            <w:shd w:fill="FFFFFF" w:val="clear"/>
            <w:vAlign w:val="bottom"/>
          </w:tcPr>
          <w:p>
            <w:pPr>
              <w:pStyle w:val="TableContents"/>
              <w:spacing w:before="0" w:after="283"/>
              <w:rPr/>
            </w:pPr>
            <w:r>
              <w:rPr/>
              <w:t>​</w:t>
            </w:r>
          </w:p>
        </w:tc>
        <w:tc>
          <w:tcPr>
            <w:tcW w:w="95" w:type="dxa"/>
            <w:tcBorders>
              <w:bottom w:val="single" w:sz="8" w:space="0" w:color="000000"/>
            </w:tcBorders>
            <w:shd w:fill="FFFFFF" w:val="clear"/>
            <w:tcMar>
              <w:bottom w:w="28" w:type="dxa"/>
            </w:tcMar>
            <w:vAlign w:val="bottom"/>
          </w:tcPr>
          <w:p>
            <w:pPr>
              <w:pStyle w:val="TableContents"/>
              <w:spacing w:before="0" w:after="283"/>
              <w:rPr/>
            </w:pPr>
            <w:r>
              <w:rPr/>
              <w:t xml:space="preserve">​ </w:t>
            </w:r>
          </w:p>
        </w:tc>
        <w:tc>
          <w:tcPr>
            <w:tcW w:w="760" w:type="dxa"/>
            <w:tcBorders>
              <w:bottom w:val="single" w:sz="8" w:space="0" w:color="000000"/>
            </w:tcBorders>
            <w:shd w:fill="FFFFFF" w:val="clear"/>
            <w:tcMar>
              <w:bottom w:w="28" w:type="dxa"/>
            </w:tcMar>
            <w:vAlign w:val="bottom"/>
          </w:tcPr>
          <w:p>
            <w:pPr>
              <w:pStyle w:val="TableContents"/>
              <w:spacing w:before="0" w:after="283"/>
              <w:jc w:val="right"/>
              <w:rPr/>
            </w:pPr>
            <w:r>
              <w:rPr/>
              <w:t xml:space="preserve">​ </w:t>
            </w:r>
          </w:p>
        </w:tc>
        <w:tc>
          <w:tcPr>
            <w:tcW w:w="146" w:type="dxa"/>
            <w:tcBorders/>
            <w:shd w:fill="FFFFFF" w:val="clear"/>
            <w:vAlign w:val="bottom"/>
          </w:tcPr>
          <w:p>
            <w:pPr>
              <w:pStyle w:val="TableContents"/>
              <w:spacing w:before="0" w:after="283"/>
              <w:rPr/>
            </w:pPr>
            <w:r>
              <w:rPr/>
              <w:t>​</w:t>
            </w:r>
          </w:p>
        </w:tc>
        <w:tc>
          <w:tcPr>
            <w:tcW w:w="95" w:type="dxa"/>
            <w:tcBorders>
              <w:bottom w:val="single" w:sz="8" w:space="0" w:color="000000"/>
            </w:tcBorders>
            <w:shd w:fill="FFFFFF" w:val="clear"/>
            <w:tcMar>
              <w:bottom w:w="28" w:type="dxa"/>
            </w:tcMar>
            <w:vAlign w:val="bottom"/>
          </w:tcPr>
          <w:p>
            <w:pPr>
              <w:pStyle w:val="TableContents"/>
              <w:spacing w:before="0" w:after="283"/>
              <w:rPr/>
            </w:pPr>
            <w:r>
              <w:rPr/>
              <w:t xml:space="preserve">​ </w:t>
            </w:r>
          </w:p>
        </w:tc>
        <w:tc>
          <w:tcPr>
            <w:tcW w:w="560" w:type="dxa"/>
            <w:tcBorders>
              <w:bottom w:val="single" w:sz="8" w:space="0" w:color="000000"/>
            </w:tcBorders>
            <w:shd w:fill="FFFFFF" w:val="clear"/>
            <w:tcMar>
              <w:bottom w:w="28" w:type="dxa"/>
            </w:tcMar>
            <w:vAlign w:val="bottom"/>
          </w:tcPr>
          <w:p>
            <w:pPr>
              <w:pStyle w:val="TableContents"/>
              <w:spacing w:before="0" w:after="283"/>
              <w:jc w:val="right"/>
              <w:rPr/>
            </w:pPr>
            <w:r>
              <w:rPr/>
              <w:t xml:space="preserve">​ </w:t>
            </w:r>
          </w:p>
        </w:tc>
        <w:tc>
          <w:tcPr>
            <w:tcW w:w="156" w:type="dxa"/>
            <w:tcBorders/>
            <w:shd w:fill="FFFFFF" w:val="clear"/>
            <w:vAlign w:val="bottom"/>
          </w:tcPr>
          <w:p>
            <w:pPr>
              <w:pStyle w:val="TableContents"/>
              <w:spacing w:before="0" w:after="283"/>
              <w:rPr/>
            </w:pPr>
            <w:r>
              <w:rPr/>
              <w:t>​</w:t>
            </w:r>
          </w:p>
        </w:tc>
      </w:tr>
      <w:tr>
        <w:trPr/>
        <w:tc>
          <w:tcPr>
            <w:tcW w:w="1753" w:type="dxa"/>
            <w:tcBorders/>
            <w:shd w:fill="auto" w:val="clear"/>
            <w:vAlign w:val="bottom"/>
          </w:tcPr>
          <w:p>
            <w:pPr>
              <w:pStyle w:val="TableContents"/>
              <w:spacing w:before="0" w:after="283"/>
              <w:ind w:left="140" w:right="0" w:hanging="140"/>
              <w:rPr>
                <w:rFonts w:ascii="times" w:hAnsi="times"/>
                <w:b/>
                <w:sz w:val="14"/>
              </w:rPr>
            </w:pPr>
            <w:r>
              <w:rPr>
                <w:rFonts w:ascii="times" w:hAnsi="times"/>
                <w:b/>
                <w:sz w:val="14"/>
              </w:rPr>
              <w:t>Total other expenses</w:t>
            </w:r>
          </w:p>
        </w:tc>
        <w:tc>
          <w:tcPr>
            <w:tcW w:w="145"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723" w:type="dxa"/>
            <w:tcBorders/>
            <w:shd w:fill="auto" w:val="clear"/>
            <w:vAlign w:val="bottom"/>
          </w:tcPr>
          <w:p>
            <w:pPr>
              <w:pStyle w:val="TableContents"/>
              <w:spacing w:before="0" w:after="283"/>
              <w:jc w:val="right"/>
              <w:rPr>
                <w:rFonts w:ascii="times" w:hAnsi="times"/>
                <w:b/>
                <w:sz w:val="14"/>
              </w:rPr>
            </w:pPr>
            <w:r>
              <w:rPr>
                <w:rFonts w:ascii="times" w:hAnsi="times"/>
                <w:b/>
                <w:sz w:val="14"/>
              </w:rPr>
              <w:t>(43,206</w:t>
            </w:r>
          </w:p>
        </w:tc>
        <w:tc>
          <w:tcPr>
            <w:tcW w:w="146" w:type="dxa"/>
            <w:tcBorders/>
            <w:shd w:fill="auto" w:val="clear"/>
            <w:vAlign w:val="bottom"/>
          </w:tcPr>
          <w:p>
            <w:pPr>
              <w:pStyle w:val="TableContents"/>
              <w:spacing w:before="0" w:after="283"/>
              <w:rPr>
                <w:rFonts w:ascii="times" w:hAnsi="times"/>
                <w:b/>
                <w:sz w:val="14"/>
              </w:rPr>
            </w:pPr>
            <w:r>
              <w:rPr>
                <w:rFonts w:ascii="times" w:hAnsi="times"/>
                <w:b/>
                <w:sz w:val="14"/>
              </w:rPr>
              <w:t>)</w:t>
            </w:r>
          </w:p>
        </w:tc>
        <w:tc>
          <w:tcPr>
            <w:tcW w:w="95" w:type="dxa"/>
            <w:tcBorders/>
            <w:shd w:fill="auto" w:val="clear"/>
            <w:vAlign w:val="bottom"/>
          </w:tcPr>
          <w:p>
            <w:pPr>
              <w:pStyle w:val="TableContents"/>
              <w:spacing w:before="0" w:after="283"/>
              <w:rPr/>
            </w:pPr>
            <w:r>
              <w:rPr/>
              <w:t> </w:t>
            </w:r>
          </w:p>
        </w:tc>
        <w:tc>
          <w:tcPr>
            <w:tcW w:w="760" w:type="dxa"/>
            <w:tcBorders/>
            <w:shd w:fill="auto" w:val="clear"/>
            <w:vAlign w:val="bottom"/>
          </w:tcPr>
          <w:p>
            <w:pPr>
              <w:pStyle w:val="TableContents"/>
              <w:spacing w:before="0" w:after="283"/>
              <w:jc w:val="right"/>
              <w:rPr>
                <w:rFonts w:ascii="times" w:hAnsi="times"/>
                <w:b/>
                <w:sz w:val="14"/>
              </w:rPr>
            </w:pPr>
            <w:r>
              <w:rPr>
                <w:rFonts w:ascii="times" w:hAnsi="times"/>
                <w:b/>
                <w:sz w:val="14"/>
              </w:rPr>
              <w:t>(26,385</w:t>
            </w:r>
          </w:p>
        </w:tc>
        <w:tc>
          <w:tcPr>
            <w:tcW w:w="146" w:type="dxa"/>
            <w:tcBorders/>
            <w:shd w:fill="auto" w:val="clear"/>
            <w:vAlign w:val="bottom"/>
          </w:tcPr>
          <w:p>
            <w:pPr>
              <w:pStyle w:val="TableContents"/>
              <w:spacing w:before="0" w:after="283"/>
              <w:rPr>
                <w:rFonts w:ascii="times" w:hAnsi="times"/>
                <w:b/>
                <w:sz w:val="14"/>
              </w:rPr>
            </w:pPr>
            <w:r>
              <w:rPr>
                <w:rFonts w:ascii="times" w:hAnsi="times"/>
                <w:b/>
                <w:sz w:val="14"/>
              </w:rPr>
              <w:t>)</w:t>
            </w:r>
          </w:p>
        </w:tc>
        <w:tc>
          <w:tcPr>
            <w:tcW w:w="95" w:type="dxa"/>
            <w:tcBorders/>
            <w:shd w:fill="auto" w:val="clear"/>
            <w:vAlign w:val="bottom"/>
          </w:tcPr>
          <w:p>
            <w:pPr>
              <w:pStyle w:val="TableContents"/>
              <w:spacing w:before="0" w:after="283"/>
              <w:rPr/>
            </w:pPr>
            <w:r>
              <w:rPr/>
              <w:t> </w:t>
            </w:r>
          </w:p>
        </w:tc>
        <w:tc>
          <w:tcPr>
            <w:tcW w:w="560" w:type="dxa"/>
            <w:tcBorders/>
            <w:shd w:fill="auto" w:val="clear"/>
            <w:vAlign w:val="bottom"/>
          </w:tcPr>
          <w:p>
            <w:pPr>
              <w:pStyle w:val="TableContents"/>
              <w:spacing w:before="0" w:after="283"/>
              <w:jc w:val="right"/>
              <w:rPr>
                <w:rFonts w:ascii="times" w:hAnsi="times"/>
                <w:b/>
                <w:sz w:val="14"/>
              </w:rPr>
            </w:pPr>
            <w:r>
              <w:rPr>
                <w:rFonts w:ascii="times" w:hAnsi="times"/>
                <w:b/>
                <w:sz w:val="14"/>
              </w:rPr>
              <w:t>(69,591</w:t>
            </w:r>
          </w:p>
        </w:tc>
        <w:tc>
          <w:tcPr>
            <w:tcW w:w="146" w:type="dxa"/>
            <w:tcBorders/>
            <w:shd w:fill="auto" w:val="clear"/>
            <w:vAlign w:val="bottom"/>
          </w:tcPr>
          <w:p>
            <w:pPr>
              <w:pStyle w:val="TableContents"/>
              <w:spacing w:before="0" w:after="283"/>
              <w:rPr>
                <w:rFonts w:ascii="times" w:hAnsi="times"/>
                <w:b/>
                <w:sz w:val="14"/>
              </w:rPr>
            </w:pPr>
            <w:r>
              <w:rPr>
                <w:rFonts w:ascii="times" w:hAnsi="times"/>
                <w:b/>
                <w:sz w:val="14"/>
              </w:rPr>
              <w:t>)</w:t>
            </w:r>
          </w:p>
        </w:tc>
        <w:tc>
          <w:tcPr>
            <w:tcW w:w="95" w:type="dxa"/>
            <w:tcBorders/>
            <w:shd w:fill="auto" w:val="clear"/>
            <w:vAlign w:val="bottom"/>
          </w:tcPr>
          <w:p>
            <w:pPr>
              <w:pStyle w:val="TableContents"/>
              <w:spacing w:before="0" w:after="283"/>
              <w:rPr/>
            </w:pPr>
            <w:r>
              <w:rPr/>
              <w:t> </w:t>
            </w:r>
          </w:p>
        </w:tc>
        <w:tc>
          <w:tcPr>
            <w:tcW w:w="723" w:type="dxa"/>
            <w:tcBorders/>
            <w:shd w:fill="auto" w:val="clear"/>
            <w:vAlign w:val="bottom"/>
          </w:tcPr>
          <w:p>
            <w:pPr>
              <w:pStyle w:val="TableContents"/>
              <w:spacing w:before="0" w:after="283"/>
              <w:jc w:val="right"/>
              <w:rPr>
                <w:rFonts w:ascii="times" w:hAnsi="times"/>
                <w:b/>
                <w:sz w:val="14"/>
              </w:rPr>
            </w:pPr>
            <w:r>
              <w:rPr>
                <w:rFonts w:ascii="times" w:hAnsi="times"/>
                <w:b/>
                <w:sz w:val="14"/>
              </w:rPr>
              <w:t>(25,813</w:t>
            </w:r>
          </w:p>
        </w:tc>
        <w:tc>
          <w:tcPr>
            <w:tcW w:w="145" w:type="dxa"/>
            <w:tcBorders/>
            <w:shd w:fill="auto" w:val="clear"/>
            <w:vAlign w:val="bottom"/>
          </w:tcPr>
          <w:p>
            <w:pPr>
              <w:pStyle w:val="TableContents"/>
              <w:spacing w:before="0" w:after="283"/>
              <w:rPr>
                <w:rFonts w:ascii="times" w:hAnsi="times"/>
                <w:b/>
                <w:sz w:val="14"/>
              </w:rPr>
            </w:pPr>
            <w:r>
              <w:rPr>
                <w:rFonts w:ascii="times" w:hAnsi="times"/>
                <w:b/>
                <w:sz w:val="14"/>
              </w:rPr>
              <w:t>)</w:t>
            </w:r>
          </w:p>
        </w:tc>
        <w:tc>
          <w:tcPr>
            <w:tcW w:w="95" w:type="dxa"/>
            <w:tcBorders/>
            <w:shd w:fill="auto" w:val="clear"/>
            <w:vAlign w:val="bottom"/>
          </w:tcPr>
          <w:p>
            <w:pPr>
              <w:pStyle w:val="TableContents"/>
              <w:spacing w:before="0" w:after="283"/>
              <w:rPr/>
            </w:pPr>
            <w:r>
              <w:rPr/>
              <w:t> </w:t>
            </w:r>
          </w:p>
        </w:tc>
        <w:tc>
          <w:tcPr>
            <w:tcW w:w="760" w:type="dxa"/>
            <w:tcBorders/>
            <w:shd w:fill="auto" w:val="clear"/>
            <w:vAlign w:val="bottom"/>
          </w:tcPr>
          <w:p>
            <w:pPr>
              <w:pStyle w:val="TableContents"/>
              <w:spacing w:before="0" w:after="283"/>
              <w:jc w:val="right"/>
              <w:rPr>
                <w:rFonts w:ascii="times" w:hAnsi="times"/>
                <w:b/>
                <w:sz w:val="14"/>
              </w:rPr>
            </w:pPr>
            <w:r>
              <w:rPr>
                <w:rFonts w:ascii="times" w:hAnsi="times"/>
                <w:b/>
                <w:sz w:val="14"/>
              </w:rPr>
              <w:t>(43,823</w:t>
            </w:r>
          </w:p>
        </w:tc>
        <w:tc>
          <w:tcPr>
            <w:tcW w:w="146" w:type="dxa"/>
            <w:tcBorders/>
            <w:shd w:fill="auto" w:val="clear"/>
            <w:vAlign w:val="bottom"/>
          </w:tcPr>
          <w:p>
            <w:pPr>
              <w:pStyle w:val="TableContents"/>
              <w:spacing w:before="0" w:after="283"/>
              <w:rPr>
                <w:rFonts w:ascii="times" w:hAnsi="times"/>
                <w:b/>
                <w:sz w:val="14"/>
              </w:rPr>
            </w:pPr>
            <w:r>
              <w:rPr>
                <w:rFonts w:ascii="times" w:hAnsi="times"/>
                <w:b/>
                <w:sz w:val="14"/>
              </w:rPr>
              <w:t>)</w:t>
            </w:r>
          </w:p>
        </w:tc>
        <w:tc>
          <w:tcPr>
            <w:tcW w:w="95" w:type="dxa"/>
            <w:tcBorders/>
            <w:shd w:fill="auto" w:val="clear"/>
            <w:vAlign w:val="bottom"/>
          </w:tcPr>
          <w:p>
            <w:pPr>
              <w:pStyle w:val="TableContents"/>
              <w:spacing w:before="0" w:after="283"/>
              <w:rPr/>
            </w:pPr>
            <w:r>
              <w:rPr/>
              <w:t> </w:t>
            </w:r>
          </w:p>
        </w:tc>
        <w:tc>
          <w:tcPr>
            <w:tcW w:w="560" w:type="dxa"/>
            <w:tcBorders/>
            <w:shd w:fill="auto" w:val="clear"/>
            <w:vAlign w:val="bottom"/>
          </w:tcPr>
          <w:p>
            <w:pPr>
              <w:pStyle w:val="TableContents"/>
              <w:spacing w:before="0" w:after="283"/>
              <w:jc w:val="right"/>
              <w:rPr>
                <w:rFonts w:ascii="times" w:hAnsi="times"/>
                <w:b/>
                <w:sz w:val="14"/>
              </w:rPr>
            </w:pPr>
            <w:r>
              <w:rPr>
                <w:rFonts w:ascii="times" w:hAnsi="times"/>
                <w:b/>
                <w:sz w:val="14"/>
              </w:rPr>
              <w:t>(69,636</w:t>
            </w:r>
          </w:p>
        </w:tc>
        <w:tc>
          <w:tcPr>
            <w:tcW w:w="146" w:type="dxa"/>
            <w:tcBorders/>
            <w:shd w:fill="auto" w:val="clear"/>
            <w:vAlign w:val="bottom"/>
          </w:tcPr>
          <w:p>
            <w:pPr>
              <w:pStyle w:val="TableContents"/>
              <w:spacing w:before="0" w:after="283"/>
              <w:rPr>
                <w:rFonts w:ascii="times" w:hAnsi="times"/>
                <w:b/>
                <w:sz w:val="14"/>
              </w:rPr>
            </w:pPr>
            <w:r>
              <w:rPr>
                <w:rFonts w:ascii="times" w:hAnsi="times"/>
                <w:b/>
                <w:sz w:val="14"/>
              </w:rPr>
              <w:t>)</w:t>
            </w:r>
          </w:p>
        </w:tc>
        <w:tc>
          <w:tcPr>
            <w:tcW w:w="95" w:type="dxa"/>
            <w:tcBorders/>
            <w:shd w:fill="auto" w:val="clear"/>
            <w:vAlign w:val="bottom"/>
          </w:tcPr>
          <w:p>
            <w:pPr>
              <w:pStyle w:val="TableContents"/>
              <w:spacing w:before="0" w:after="283"/>
              <w:rPr/>
            </w:pPr>
            <w:r>
              <w:rPr/>
              <w:t> </w:t>
            </w:r>
          </w:p>
        </w:tc>
        <w:tc>
          <w:tcPr>
            <w:tcW w:w="723" w:type="dxa"/>
            <w:tcBorders/>
            <w:shd w:fill="auto" w:val="clear"/>
            <w:vAlign w:val="bottom"/>
          </w:tcPr>
          <w:p>
            <w:pPr>
              <w:pStyle w:val="TableContents"/>
              <w:spacing w:before="0" w:after="283"/>
              <w:jc w:val="right"/>
              <w:rPr>
                <w:rFonts w:ascii="times" w:hAnsi="times"/>
                <w:b/>
                <w:sz w:val="14"/>
              </w:rPr>
            </w:pPr>
            <w:r>
              <w:rPr>
                <w:rFonts w:ascii="times" w:hAnsi="times"/>
                <w:b/>
                <w:sz w:val="14"/>
              </w:rPr>
              <w:t>(12,406</w:t>
            </w:r>
          </w:p>
        </w:tc>
        <w:tc>
          <w:tcPr>
            <w:tcW w:w="146" w:type="dxa"/>
            <w:tcBorders/>
            <w:shd w:fill="auto" w:val="clear"/>
            <w:vAlign w:val="bottom"/>
          </w:tcPr>
          <w:p>
            <w:pPr>
              <w:pStyle w:val="TableContents"/>
              <w:spacing w:before="0" w:after="283"/>
              <w:rPr>
                <w:rFonts w:ascii="times" w:hAnsi="times"/>
                <w:b/>
                <w:sz w:val="14"/>
              </w:rPr>
            </w:pPr>
            <w:r>
              <w:rPr>
                <w:rFonts w:ascii="times" w:hAnsi="times"/>
                <w:b/>
                <w:sz w:val="14"/>
              </w:rPr>
              <w:t>)</w:t>
            </w:r>
          </w:p>
        </w:tc>
        <w:tc>
          <w:tcPr>
            <w:tcW w:w="95" w:type="dxa"/>
            <w:tcBorders/>
            <w:shd w:fill="auto" w:val="clear"/>
            <w:vAlign w:val="bottom"/>
          </w:tcPr>
          <w:p>
            <w:pPr>
              <w:pStyle w:val="TableContents"/>
              <w:spacing w:before="0" w:after="283"/>
              <w:rPr/>
            </w:pPr>
            <w:r>
              <w:rPr/>
              <w:t> </w:t>
            </w:r>
          </w:p>
        </w:tc>
        <w:tc>
          <w:tcPr>
            <w:tcW w:w="760" w:type="dxa"/>
            <w:tcBorders/>
            <w:shd w:fill="auto" w:val="clear"/>
            <w:vAlign w:val="bottom"/>
          </w:tcPr>
          <w:p>
            <w:pPr>
              <w:pStyle w:val="TableContents"/>
              <w:spacing w:before="0" w:after="283"/>
              <w:jc w:val="right"/>
              <w:rPr>
                <w:rFonts w:ascii="times" w:hAnsi="times"/>
                <w:b/>
                <w:sz w:val="14"/>
              </w:rPr>
            </w:pPr>
            <w:r>
              <w:rPr>
                <w:rFonts w:ascii="times" w:hAnsi="times"/>
                <w:b/>
                <w:sz w:val="14"/>
              </w:rPr>
              <w:t>(57,908</w:t>
            </w:r>
          </w:p>
        </w:tc>
        <w:tc>
          <w:tcPr>
            <w:tcW w:w="146" w:type="dxa"/>
            <w:tcBorders/>
            <w:shd w:fill="auto" w:val="clear"/>
            <w:vAlign w:val="bottom"/>
          </w:tcPr>
          <w:p>
            <w:pPr>
              <w:pStyle w:val="TableContents"/>
              <w:spacing w:before="0" w:after="283"/>
              <w:rPr>
                <w:rFonts w:ascii="times" w:hAnsi="times"/>
                <w:b/>
                <w:sz w:val="14"/>
              </w:rPr>
            </w:pPr>
            <w:r>
              <w:rPr>
                <w:rFonts w:ascii="times" w:hAnsi="times"/>
                <w:b/>
                <w:sz w:val="14"/>
              </w:rPr>
              <w:t>)</w:t>
            </w:r>
          </w:p>
        </w:tc>
        <w:tc>
          <w:tcPr>
            <w:tcW w:w="95" w:type="dxa"/>
            <w:tcBorders/>
            <w:shd w:fill="auto" w:val="clear"/>
            <w:vAlign w:val="bottom"/>
          </w:tcPr>
          <w:p>
            <w:pPr>
              <w:pStyle w:val="TableContents"/>
              <w:spacing w:before="0" w:after="283"/>
              <w:rPr/>
            </w:pPr>
            <w:r>
              <w:rPr/>
              <w:t> </w:t>
            </w:r>
          </w:p>
        </w:tc>
        <w:tc>
          <w:tcPr>
            <w:tcW w:w="560" w:type="dxa"/>
            <w:tcBorders/>
            <w:shd w:fill="auto" w:val="clear"/>
            <w:vAlign w:val="bottom"/>
          </w:tcPr>
          <w:p>
            <w:pPr>
              <w:pStyle w:val="TableContents"/>
              <w:spacing w:before="0" w:after="283"/>
              <w:jc w:val="right"/>
              <w:rPr>
                <w:rFonts w:ascii="times" w:hAnsi="times"/>
                <w:b/>
                <w:sz w:val="14"/>
              </w:rPr>
            </w:pPr>
            <w:r>
              <w:rPr>
                <w:rFonts w:ascii="times" w:hAnsi="times"/>
                <w:b/>
                <w:sz w:val="14"/>
              </w:rPr>
              <w:t>(70,314</w:t>
            </w:r>
          </w:p>
        </w:tc>
        <w:tc>
          <w:tcPr>
            <w:tcW w:w="156" w:type="dxa"/>
            <w:tcBorders/>
            <w:shd w:fill="auto" w:val="clear"/>
            <w:vAlign w:val="bottom"/>
          </w:tcPr>
          <w:p>
            <w:pPr>
              <w:pStyle w:val="TableContents"/>
              <w:spacing w:before="0" w:after="283"/>
              <w:rPr>
                <w:rFonts w:ascii="times" w:hAnsi="times"/>
                <w:b/>
                <w:sz w:val="14"/>
              </w:rPr>
            </w:pPr>
            <w:r>
              <w:rPr>
                <w:rFonts w:ascii="times" w:hAnsi="times"/>
                <w:b/>
                <w:sz w:val="14"/>
              </w:rPr>
              <w:t>)</w:t>
            </w:r>
          </w:p>
        </w:tc>
      </w:tr>
      <w:tr>
        <w:trPr/>
        <w:tc>
          <w:tcPr>
            <w:tcW w:w="1753" w:type="dxa"/>
            <w:tcBorders/>
            <w:shd w:fill="FFFFFF" w:val="clear"/>
            <w:vAlign w:val="bottom"/>
          </w:tcPr>
          <w:p>
            <w:pPr>
              <w:pStyle w:val="TableContents"/>
              <w:spacing w:before="0" w:after="283"/>
              <w:rPr/>
            </w:pPr>
            <w:r>
              <w:rPr/>
              <w:t>​</w:t>
            </w:r>
          </w:p>
        </w:tc>
        <w:tc>
          <w:tcPr>
            <w:tcW w:w="145" w:type="dxa"/>
            <w:tcBorders/>
            <w:shd w:fill="FFFFFF" w:val="clear"/>
            <w:vAlign w:val="bottom"/>
          </w:tcPr>
          <w:p>
            <w:pPr>
              <w:pStyle w:val="TableContents"/>
              <w:spacing w:before="0" w:after="283"/>
              <w:rPr/>
            </w:pPr>
            <w:r>
              <w:rPr/>
              <w:t>​</w:t>
            </w:r>
          </w:p>
        </w:tc>
        <w:tc>
          <w:tcPr>
            <w:tcW w:w="95" w:type="dxa"/>
            <w:tcBorders>
              <w:bottom w:val="single" w:sz="8" w:space="0" w:color="000000"/>
            </w:tcBorders>
            <w:shd w:fill="FFFFFF" w:val="clear"/>
            <w:tcMar>
              <w:bottom w:w="28" w:type="dxa"/>
            </w:tcMar>
            <w:vAlign w:val="bottom"/>
          </w:tcPr>
          <w:p>
            <w:pPr>
              <w:pStyle w:val="TableContents"/>
              <w:spacing w:before="0" w:after="283"/>
              <w:rPr/>
            </w:pPr>
            <w:r>
              <w:rPr/>
              <w:t xml:space="preserve">​ </w:t>
            </w:r>
          </w:p>
        </w:tc>
        <w:tc>
          <w:tcPr>
            <w:tcW w:w="723" w:type="dxa"/>
            <w:tcBorders>
              <w:bottom w:val="single" w:sz="8" w:space="0" w:color="000000"/>
            </w:tcBorders>
            <w:shd w:fill="FFFFFF" w:val="clear"/>
            <w:tcMar>
              <w:bottom w:w="28" w:type="dxa"/>
            </w:tcMar>
            <w:vAlign w:val="bottom"/>
          </w:tcPr>
          <w:p>
            <w:pPr>
              <w:pStyle w:val="TableContents"/>
              <w:spacing w:before="0" w:after="283"/>
              <w:jc w:val="right"/>
              <w:rPr/>
            </w:pPr>
            <w:r>
              <w:rPr/>
              <w:t xml:space="preserve">​ </w:t>
            </w:r>
          </w:p>
        </w:tc>
        <w:tc>
          <w:tcPr>
            <w:tcW w:w="146" w:type="dxa"/>
            <w:tcBorders/>
            <w:shd w:fill="FFFFFF" w:val="clear"/>
            <w:vAlign w:val="bottom"/>
          </w:tcPr>
          <w:p>
            <w:pPr>
              <w:pStyle w:val="TableContents"/>
              <w:spacing w:before="0" w:after="283"/>
              <w:rPr/>
            </w:pPr>
            <w:r>
              <w:rPr/>
              <w:t>​</w:t>
            </w:r>
          </w:p>
        </w:tc>
        <w:tc>
          <w:tcPr>
            <w:tcW w:w="95" w:type="dxa"/>
            <w:tcBorders>
              <w:bottom w:val="single" w:sz="8" w:space="0" w:color="000000"/>
            </w:tcBorders>
            <w:shd w:fill="FFFFFF" w:val="clear"/>
            <w:tcMar>
              <w:bottom w:w="28" w:type="dxa"/>
            </w:tcMar>
            <w:vAlign w:val="bottom"/>
          </w:tcPr>
          <w:p>
            <w:pPr>
              <w:pStyle w:val="TableContents"/>
              <w:spacing w:before="0" w:after="283"/>
              <w:rPr/>
            </w:pPr>
            <w:r>
              <w:rPr/>
              <w:t xml:space="preserve">​ </w:t>
            </w:r>
          </w:p>
        </w:tc>
        <w:tc>
          <w:tcPr>
            <w:tcW w:w="760" w:type="dxa"/>
            <w:tcBorders>
              <w:bottom w:val="single" w:sz="8" w:space="0" w:color="000000"/>
            </w:tcBorders>
            <w:shd w:fill="FFFFFF" w:val="clear"/>
            <w:tcMar>
              <w:bottom w:w="28" w:type="dxa"/>
            </w:tcMar>
            <w:vAlign w:val="bottom"/>
          </w:tcPr>
          <w:p>
            <w:pPr>
              <w:pStyle w:val="TableContents"/>
              <w:spacing w:before="0" w:after="283"/>
              <w:jc w:val="right"/>
              <w:rPr/>
            </w:pPr>
            <w:r>
              <w:rPr/>
              <w:t xml:space="preserve">​ </w:t>
            </w:r>
          </w:p>
        </w:tc>
        <w:tc>
          <w:tcPr>
            <w:tcW w:w="146" w:type="dxa"/>
            <w:tcBorders/>
            <w:shd w:fill="FFFFFF" w:val="clear"/>
            <w:vAlign w:val="bottom"/>
          </w:tcPr>
          <w:p>
            <w:pPr>
              <w:pStyle w:val="TableContents"/>
              <w:spacing w:before="0" w:after="283"/>
              <w:rPr/>
            </w:pPr>
            <w:r>
              <w:rPr/>
              <w:t>​</w:t>
            </w:r>
          </w:p>
        </w:tc>
        <w:tc>
          <w:tcPr>
            <w:tcW w:w="95" w:type="dxa"/>
            <w:tcBorders>
              <w:bottom w:val="single" w:sz="8" w:space="0" w:color="000000"/>
            </w:tcBorders>
            <w:shd w:fill="FFFFFF" w:val="clear"/>
            <w:tcMar>
              <w:bottom w:w="28" w:type="dxa"/>
            </w:tcMar>
            <w:vAlign w:val="bottom"/>
          </w:tcPr>
          <w:p>
            <w:pPr>
              <w:pStyle w:val="TableContents"/>
              <w:spacing w:before="0" w:after="283"/>
              <w:rPr/>
            </w:pPr>
            <w:r>
              <w:rPr/>
              <w:t xml:space="preserve">​ </w:t>
            </w:r>
          </w:p>
        </w:tc>
        <w:tc>
          <w:tcPr>
            <w:tcW w:w="560" w:type="dxa"/>
            <w:tcBorders>
              <w:bottom w:val="single" w:sz="8" w:space="0" w:color="000000"/>
            </w:tcBorders>
            <w:shd w:fill="FFFFFF" w:val="clear"/>
            <w:tcMar>
              <w:bottom w:w="28" w:type="dxa"/>
            </w:tcMar>
            <w:vAlign w:val="bottom"/>
          </w:tcPr>
          <w:p>
            <w:pPr>
              <w:pStyle w:val="TableContents"/>
              <w:spacing w:before="0" w:after="283"/>
              <w:jc w:val="right"/>
              <w:rPr/>
            </w:pPr>
            <w:r>
              <w:rPr/>
              <w:t xml:space="preserve">​ </w:t>
            </w:r>
          </w:p>
        </w:tc>
        <w:tc>
          <w:tcPr>
            <w:tcW w:w="146" w:type="dxa"/>
            <w:tcBorders/>
            <w:shd w:fill="FFFFFF" w:val="clear"/>
            <w:vAlign w:val="bottom"/>
          </w:tcPr>
          <w:p>
            <w:pPr>
              <w:pStyle w:val="TableContents"/>
              <w:spacing w:before="0" w:after="283"/>
              <w:rPr/>
            </w:pPr>
            <w:r>
              <w:rPr/>
              <w:t>​</w:t>
            </w:r>
          </w:p>
        </w:tc>
        <w:tc>
          <w:tcPr>
            <w:tcW w:w="95" w:type="dxa"/>
            <w:tcBorders>
              <w:bottom w:val="single" w:sz="8" w:space="0" w:color="000000"/>
            </w:tcBorders>
            <w:shd w:fill="FFFFFF" w:val="clear"/>
            <w:tcMar>
              <w:bottom w:w="28" w:type="dxa"/>
            </w:tcMar>
            <w:vAlign w:val="bottom"/>
          </w:tcPr>
          <w:p>
            <w:pPr>
              <w:pStyle w:val="TableContents"/>
              <w:spacing w:before="0" w:after="283"/>
              <w:rPr/>
            </w:pPr>
            <w:r>
              <w:rPr/>
              <w:t xml:space="preserve">​ </w:t>
            </w:r>
          </w:p>
        </w:tc>
        <w:tc>
          <w:tcPr>
            <w:tcW w:w="723" w:type="dxa"/>
            <w:tcBorders>
              <w:bottom w:val="single" w:sz="8" w:space="0" w:color="000000"/>
            </w:tcBorders>
            <w:shd w:fill="FFFFFF" w:val="clear"/>
            <w:tcMar>
              <w:bottom w:w="28" w:type="dxa"/>
            </w:tcMar>
            <w:vAlign w:val="bottom"/>
          </w:tcPr>
          <w:p>
            <w:pPr>
              <w:pStyle w:val="TableContents"/>
              <w:spacing w:before="0" w:after="283"/>
              <w:jc w:val="right"/>
              <w:rPr/>
            </w:pPr>
            <w:r>
              <w:rPr/>
              <w:t xml:space="preserve">​ </w:t>
            </w:r>
          </w:p>
        </w:tc>
        <w:tc>
          <w:tcPr>
            <w:tcW w:w="145" w:type="dxa"/>
            <w:tcBorders/>
            <w:shd w:fill="FFFFFF" w:val="clear"/>
            <w:vAlign w:val="bottom"/>
          </w:tcPr>
          <w:p>
            <w:pPr>
              <w:pStyle w:val="TableContents"/>
              <w:spacing w:before="0" w:after="283"/>
              <w:rPr/>
            </w:pPr>
            <w:r>
              <w:rPr/>
              <w:t>​</w:t>
            </w:r>
          </w:p>
        </w:tc>
        <w:tc>
          <w:tcPr>
            <w:tcW w:w="95" w:type="dxa"/>
            <w:tcBorders>
              <w:bottom w:val="single" w:sz="8" w:space="0" w:color="000000"/>
            </w:tcBorders>
            <w:shd w:fill="FFFFFF" w:val="clear"/>
            <w:tcMar>
              <w:bottom w:w="28" w:type="dxa"/>
            </w:tcMar>
            <w:vAlign w:val="bottom"/>
          </w:tcPr>
          <w:p>
            <w:pPr>
              <w:pStyle w:val="TableContents"/>
              <w:spacing w:before="0" w:after="283"/>
              <w:rPr/>
            </w:pPr>
            <w:r>
              <w:rPr/>
              <w:t xml:space="preserve">​ </w:t>
            </w:r>
          </w:p>
        </w:tc>
        <w:tc>
          <w:tcPr>
            <w:tcW w:w="760" w:type="dxa"/>
            <w:tcBorders>
              <w:bottom w:val="single" w:sz="8" w:space="0" w:color="000000"/>
            </w:tcBorders>
            <w:shd w:fill="FFFFFF" w:val="clear"/>
            <w:tcMar>
              <w:bottom w:w="28" w:type="dxa"/>
            </w:tcMar>
            <w:vAlign w:val="bottom"/>
          </w:tcPr>
          <w:p>
            <w:pPr>
              <w:pStyle w:val="TableContents"/>
              <w:spacing w:before="0" w:after="283"/>
              <w:jc w:val="right"/>
              <w:rPr/>
            </w:pPr>
            <w:r>
              <w:rPr/>
              <w:t xml:space="preserve">​ </w:t>
            </w:r>
          </w:p>
        </w:tc>
        <w:tc>
          <w:tcPr>
            <w:tcW w:w="146" w:type="dxa"/>
            <w:tcBorders/>
            <w:shd w:fill="FFFFFF" w:val="clear"/>
            <w:vAlign w:val="bottom"/>
          </w:tcPr>
          <w:p>
            <w:pPr>
              <w:pStyle w:val="TableContents"/>
              <w:spacing w:before="0" w:after="283"/>
              <w:rPr/>
            </w:pPr>
            <w:r>
              <w:rPr/>
              <w:t>​</w:t>
            </w:r>
          </w:p>
        </w:tc>
        <w:tc>
          <w:tcPr>
            <w:tcW w:w="95" w:type="dxa"/>
            <w:tcBorders>
              <w:bottom w:val="single" w:sz="8" w:space="0" w:color="000000"/>
            </w:tcBorders>
            <w:shd w:fill="FFFFFF" w:val="clear"/>
            <w:tcMar>
              <w:bottom w:w="28" w:type="dxa"/>
            </w:tcMar>
            <w:vAlign w:val="bottom"/>
          </w:tcPr>
          <w:p>
            <w:pPr>
              <w:pStyle w:val="TableContents"/>
              <w:spacing w:before="0" w:after="283"/>
              <w:rPr/>
            </w:pPr>
            <w:r>
              <w:rPr/>
              <w:t xml:space="preserve">​ </w:t>
            </w:r>
          </w:p>
        </w:tc>
        <w:tc>
          <w:tcPr>
            <w:tcW w:w="560" w:type="dxa"/>
            <w:tcBorders>
              <w:bottom w:val="single" w:sz="8" w:space="0" w:color="000000"/>
            </w:tcBorders>
            <w:shd w:fill="FFFFFF" w:val="clear"/>
            <w:tcMar>
              <w:bottom w:w="28" w:type="dxa"/>
            </w:tcMar>
            <w:vAlign w:val="bottom"/>
          </w:tcPr>
          <w:p>
            <w:pPr>
              <w:pStyle w:val="TableContents"/>
              <w:spacing w:before="0" w:after="283"/>
              <w:jc w:val="right"/>
              <w:rPr/>
            </w:pPr>
            <w:r>
              <w:rPr/>
              <w:t xml:space="preserve">​ </w:t>
            </w:r>
          </w:p>
        </w:tc>
        <w:tc>
          <w:tcPr>
            <w:tcW w:w="146" w:type="dxa"/>
            <w:tcBorders/>
            <w:shd w:fill="FFFFFF" w:val="clear"/>
            <w:vAlign w:val="bottom"/>
          </w:tcPr>
          <w:p>
            <w:pPr>
              <w:pStyle w:val="TableContents"/>
              <w:spacing w:before="0" w:after="283"/>
              <w:rPr/>
            </w:pPr>
            <w:r>
              <w:rPr/>
              <w:t>​</w:t>
            </w:r>
          </w:p>
        </w:tc>
        <w:tc>
          <w:tcPr>
            <w:tcW w:w="95" w:type="dxa"/>
            <w:tcBorders>
              <w:bottom w:val="single" w:sz="8" w:space="0" w:color="000000"/>
            </w:tcBorders>
            <w:shd w:fill="FFFFFF" w:val="clear"/>
            <w:tcMar>
              <w:bottom w:w="28" w:type="dxa"/>
            </w:tcMar>
            <w:vAlign w:val="bottom"/>
          </w:tcPr>
          <w:p>
            <w:pPr>
              <w:pStyle w:val="TableContents"/>
              <w:spacing w:before="0" w:after="283"/>
              <w:rPr/>
            </w:pPr>
            <w:r>
              <w:rPr/>
              <w:t xml:space="preserve">​ </w:t>
            </w:r>
          </w:p>
        </w:tc>
        <w:tc>
          <w:tcPr>
            <w:tcW w:w="723" w:type="dxa"/>
            <w:tcBorders>
              <w:bottom w:val="single" w:sz="8" w:space="0" w:color="000000"/>
            </w:tcBorders>
            <w:shd w:fill="FFFFFF" w:val="clear"/>
            <w:tcMar>
              <w:bottom w:w="28" w:type="dxa"/>
            </w:tcMar>
            <w:vAlign w:val="bottom"/>
          </w:tcPr>
          <w:p>
            <w:pPr>
              <w:pStyle w:val="TableContents"/>
              <w:spacing w:before="0" w:after="283"/>
              <w:jc w:val="right"/>
              <w:rPr/>
            </w:pPr>
            <w:r>
              <w:rPr/>
              <w:t xml:space="preserve">​ </w:t>
            </w:r>
          </w:p>
        </w:tc>
        <w:tc>
          <w:tcPr>
            <w:tcW w:w="146" w:type="dxa"/>
            <w:tcBorders/>
            <w:shd w:fill="FFFFFF" w:val="clear"/>
            <w:vAlign w:val="bottom"/>
          </w:tcPr>
          <w:p>
            <w:pPr>
              <w:pStyle w:val="TableContents"/>
              <w:spacing w:before="0" w:after="283"/>
              <w:rPr/>
            </w:pPr>
            <w:r>
              <w:rPr/>
              <w:t>​</w:t>
            </w:r>
          </w:p>
        </w:tc>
        <w:tc>
          <w:tcPr>
            <w:tcW w:w="95" w:type="dxa"/>
            <w:tcBorders>
              <w:bottom w:val="single" w:sz="8" w:space="0" w:color="000000"/>
            </w:tcBorders>
            <w:shd w:fill="FFFFFF" w:val="clear"/>
            <w:tcMar>
              <w:bottom w:w="28" w:type="dxa"/>
            </w:tcMar>
            <w:vAlign w:val="bottom"/>
          </w:tcPr>
          <w:p>
            <w:pPr>
              <w:pStyle w:val="TableContents"/>
              <w:spacing w:before="0" w:after="283"/>
              <w:rPr/>
            </w:pPr>
            <w:r>
              <w:rPr/>
              <w:t xml:space="preserve">​ </w:t>
            </w:r>
          </w:p>
        </w:tc>
        <w:tc>
          <w:tcPr>
            <w:tcW w:w="760" w:type="dxa"/>
            <w:tcBorders>
              <w:bottom w:val="single" w:sz="8" w:space="0" w:color="000000"/>
            </w:tcBorders>
            <w:shd w:fill="FFFFFF" w:val="clear"/>
            <w:tcMar>
              <w:bottom w:w="28" w:type="dxa"/>
            </w:tcMar>
            <w:vAlign w:val="bottom"/>
          </w:tcPr>
          <w:p>
            <w:pPr>
              <w:pStyle w:val="TableContents"/>
              <w:spacing w:before="0" w:after="283"/>
              <w:jc w:val="right"/>
              <w:rPr/>
            </w:pPr>
            <w:r>
              <w:rPr/>
              <w:t xml:space="preserve">​ </w:t>
            </w:r>
          </w:p>
        </w:tc>
        <w:tc>
          <w:tcPr>
            <w:tcW w:w="146" w:type="dxa"/>
            <w:tcBorders/>
            <w:shd w:fill="FFFFFF" w:val="clear"/>
            <w:vAlign w:val="bottom"/>
          </w:tcPr>
          <w:p>
            <w:pPr>
              <w:pStyle w:val="TableContents"/>
              <w:spacing w:before="0" w:after="283"/>
              <w:rPr/>
            </w:pPr>
            <w:r>
              <w:rPr/>
              <w:t>​</w:t>
            </w:r>
          </w:p>
        </w:tc>
        <w:tc>
          <w:tcPr>
            <w:tcW w:w="95" w:type="dxa"/>
            <w:tcBorders>
              <w:bottom w:val="single" w:sz="8" w:space="0" w:color="000000"/>
            </w:tcBorders>
            <w:shd w:fill="FFFFFF" w:val="clear"/>
            <w:tcMar>
              <w:bottom w:w="28" w:type="dxa"/>
            </w:tcMar>
            <w:vAlign w:val="bottom"/>
          </w:tcPr>
          <w:p>
            <w:pPr>
              <w:pStyle w:val="TableContents"/>
              <w:spacing w:before="0" w:after="283"/>
              <w:rPr/>
            </w:pPr>
            <w:r>
              <w:rPr/>
              <w:t xml:space="preserve">​ </w:t>
            </w:r>
          </w:p>
        </w:tc>
        <w:tc>
          <w:tcPr>
            <w:tcW w:w="560" w:type="dxa"/>
            <w:tcBorders>
              <w:bottom w:val="single" w:sz="8" w:space="0" w:color="000000"/>
            </w:tcBorders>
            <w:shd w:fill="FFFFFF" w:val="clear"/>
            <w:tcMar>
              <w:bottom w:w="28" w:type="dxa"/>
            </w:tcMar>
            <w:vAlign w:val="bottom"/>
          </w:tcPr>
          <w:p>
            <w:pPr>
              <w:pStyle w:val="TableContents"/>
              <w:spacing w:before="0" w:after="283"/>
              <w:jc w:val="right"/>
              <w:rPr/>
            </w:pPr>
            <w:r>
              <w:rPr/>
              <w:t xml:space="preserve">​ </w:t>
            </w:r>
          </w:p>
        </w:tc>
        <w:tc>
          <w:tcPr>
            <w:tcW w:w="156" w:type="dxa"/>
            <w:tcBorders/>
            <w:shd w:fill="FFFFFF" w:val="clear"/>
            <w:vAlign w:val="bottom"/>
          </w:tcPr>
          <w:p>
            <w:pPr>
              <w:pStyle w:val="TableContents"/>
              <w:spacing w:before="0" w:after="283"/>
              <w:rPr/>
            </w:pPr>
            <w:r>
              <w:rPr/>
              <w:t>​</w:t>
            </w:r>
          </w:p>
        </w:tc>
      </w:tr>
      <w:tr>
        <w:trPr/>
        <w:tc>
          <w:tcPr>
            <w:tcW w:w="1753" w:type="dxa"/>
            <w:tcBorders/>
            <w:shd w:fill="auto" w:val="clear"/>
            <w:vAlign w:val="bottom"/>
          </w:tcPr>
          <w:p>
            <w:pPr>
              <w:pStyle w:val="TableContents"/>
              <w:spacing w:before="0" w:after="283"/>
              <w:ind w:left="140" w:right="0" w:hanging="140"/>
              <w:rPr>
                <w:rFonts w:ascii="times" w:hAnsi="times"/>
                <w:b/>
                <w:sz w:val="14"/>
              </w:rPr>
            </w:pPr>
            <w:r>
              <w:rPr>
                <w:rFonts w:ascii="times" w:hAnsi="times"/>
                <w:b/>
                <w:sz w:val="14"/>
              </w:rPr>
              <w:t>Profit for the year</w:t>
            </w:r>
          </w:p>
        </w:tc>
        <w:tc>
          <w:tcPr>
            <w:tcW w:w="145"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rFonts w:ascii="times" w:hAnsi="times"/>
                <w:b/>
                <w:sz w:val="14"/>
              </w:rPr>
            </w:pPr>
            <w:r>
              <w:rPr>
                <w:rFonts w:ascii="times" w:hAnsi="times"/>
                <w:b/>
                <w:sz w:val="14"/>
              </w:rPr>
              <w:t>$</w:t>
            </w:r>
          </w:p>
        </w:tc>
        <w:tc>
          <w:tcPr>
            <w:tcW w:w="723" w:type="dxa"/>
            <w:tcBorders/>
            <w:shd w:fill="auto" w:val="clear"/>
            <w:vAlign w:val="bottom"/>
          </w:tcPr>
          <w:p>
            <w:pPr>
              <w:pStyle w:val="TableContents"/>
              <w:spacing w:before="0" w:after="283"/>
              <w:jc w:val="right"/>
              <w:rPr>
                <w:rFonts w:ascii="times" w:hAnsi="times"/>
                <w:b/>
                <w:sz w:val="14"/>
              </w:rPr>
            </w:pPr>
            <w:r>
              <w:rPr>
                <w:rFonts w:ascii="times" w:hAnsi="times"/>
                <w:b/>
                <w:sz w:val="14"/>
              </w:rPr>
              <w:t>29,117</w:t>
            </w:r>
          </w:p>
        </w:tc>
        <w:tc>
          <w:tcPr>
            <w:tcW w:w="146"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rFonts w:ascii="times" w:hAnsi="times"/>
                <w:b/>
                <w:sz w:val="14"/>
              </w:rPr>
            </w:pPr>
            <w:r>
              <w:rPr>
                <w:rFonts w:ascii="times" w:hAnsi="times"/>
                <w:b/>
                <w:sz w:val="14"/>
              </w:rPr>
              <w:t>$</w:t>
            </w:r>
          </w:p>
        </w:tc>
        <w:tc>
          <w:tcPr>
            <w:tcW w:w="760" w:type="dxa"/>
            <w:tcBorders/>
            <w:shd w:fill="auto" w:val="clear"/>
            <w:vAlign w:val="bottom"/>
          </w:tcPr>
          <w:p>
            <w:pPr>
              <w:pStyle w:val="TableContents"/>
              <w:spacing w:before="0" w:after="283"/>
              <w:jc w:val="right"/>
              <w:rPr>
                <w:rFonts w:ascii="times" w:hAnsi="times"/>
                <w:b/>
                <w:sz w:val="14"/>
              </w:rPr>
            </w:pPr>
            <w:r>
              <w:rPr>
                <w:rFonts w:ascii="times" w:hAnsi="times"/>
                <w:b/>
                <w:sz w:val="14"/>
              </w:rPr>
              <w:t>77,270</w:t>
            </w:r>
          </w:p>
        </w:tc>
        <w:tc>
          <w:tcPr>
            <w:tcW w:w="146"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rFonts w:ascii="times" w:hAnsi="times"/>
                <w:b/>
                <w:sz w:val="14"/>
              </w:rPr>
            </w:pPr>
            <w:r>
              <w:rPr>
                <w:rFonts w:ascii="times" w:hAnsi="times"/>
                <w:b/>
                <w:sz w:val="14"/>
              </w:rPr>
              <w:t>$</w:t>
            </w:r>
          </w:p>
        </w:tc>
        <w:tc>
          <w:tcPr>
            <w:tcW w:w="560" w:type="dxa"/>
            <w:tcBorders/>
            <w:shd w:fill="auto" w:val="clear"/>
            <w:vAlign w:val="bottom"/>
          </w:tcPr>
          <w:p>
            <w:pPr>
              <w:pStyle w:val="TableContents"/>
              <w:spacing w:before="0" w:after="283"/>
              <w:jc w:val="right"/>
              <w:rPr>
                <w:rFonts w:ascii="times" w:hAnsi="times"/>
                <w:b/>
                <w:sz w:val="14"/>
              </w:rPr>
            </w:pPr>
            <w:r>
              <w:rPr>
                <w:rFonts w:ascii="times" w:hAnsi="times"/>
                <w:b/>
                <w:sz w:val="14"/>
              </w:rPr>
              <w:t>106,387</w:t>
            </w:r>
          </w:p>
        </w:tc>
        <w:tc>
          <w:tcPr>
            <w:tcW w:w="146"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rFonts w:ascii="times" w:hAnsi="times"/>
                <w:b/>
                <w:sz w:val="14"/>
              </w:rPr>
            </w:pPr>
            <w:r>
              <w:rPr>
                <w:rFonts w:ascii="times" w:hAnsi="times"/>
                <w:b/>
                <w:sz w:val="14"/>
              </w:rPr>
              <w:t>$</w:t>
            </w:r>
          </w:p>
        </w:tc>
        <w:tc>
          <w:tcPr>
            <w:tcW w:w="723" w:type="dxa"/>
            <w:tcBorders/>
            <w:shd w:fill="auto" w:val="clear"/>
            <w:vAlign w:val="bottom"/>
          </w:tcPr>
          <w:p>
            <w:pPr>
              <w:pStyle w:val="TableContents"/>
              <w:spacing w:before="0" w:after="283"/>
              <w:jc w:val="right"/>
              <w:rPr>
                <w:rFonts w:ascii="times" w:hAnsi="times"/>
                <w:b/>
                <w:sz w:val="14"/>
              </w:rPr>
            </w:pPr>
            <w:r>
              <w:rPr>
                <w:rFonts w:ascii="times" w:hAnsi="times"/>
                <w:b/>
                <w:sz w:val="14"/>
              </w:rPr>
              <w:t>53,981</w:t>
            </w:r>
          </w:p>
        </w:tc>
        <w:tc>
          <w:tcPr>
            <w:tcW w:w="145"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rFonts w:ascii="times" w:hAnsi="times"/>
                <w:b/>
                <w:sz w:val="14"/>
              </w:rPr>
            </w:pPr>
            <w:r>
              <w:rPr>
                <w:rFonts w:ascii="times" w:hAnsi="times"/>
                <w:b/>
                <w:sz w:val="14"/>
              </w:rPr>
              <w:t>$</w:t>
            </w:r>
          </w:p>
        </w:tc>
        <w:tc>
          <w:tcPr>
            <w:tcW w:w="760" w:type="dxa"/>
            <w:tcBorders/>
            <w:shd w:fill="auto" w:val="clear"/>
            <w:vAlign w:val="bottom"/>
          </w:tcPr>
          <w:p>
            <w:pPr>
              <w:pStyle w:val="TableContents"/>
              <w:spacing w:before="0" w:after="283"/>
              <w:jc w:val="right"/>
              <w:rPr>
                <w:rFonts w:ascii="times" w:hAnsi="times"/>
                <w:b/>
                <w:sz w:val="14"/>
              </w:rPr>
            </w:pPr>
            <w:r>
              <w:rPr>
                <w:rFonts w:ascii="times" w:hAnsi="times"/>
                <w:b/>
                <w:sz w:val="14"/>
              </w:rPr>
              <w:t>94,117</w:t>
            </w:r>
          </w:p>
        </w:tc>
        <w:tc>
          <w:tcPr>
            <w:tcW w:w="146"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rFonts w:ascii="times" w:hAnsi="times"/>
                <w:b/>
                <w:sz w:val="14"/>
              </w:rPr>
            </w:pPr>
            <w:r>
              <w:rPr>
                <w:rFonts w:ascii="times" w:hAnsi="times"/>
                <w:b/>
                <w:sz w:val="14"/>
              </w:rPr>
              <w:t>$</w:t>
            </w:r>
          </w:p>
        </w:tc>
        <w:tc>
          <w:tcPr>
            <w:tcW w:w="560" w:type="dxa"/>
            <w:tcBorders/>
            <w:shd w:fill="auto" w:val="clear"/>
            <w:vAlign w:val="bottom"/>
          </w:tcPr>
          <w:p>
            <w:pPr>
              <w:pStyle w:val="TableContents"/>
              <w:spacing w:before="0" w:after="283"/>
              <w:jc w:val="right"/>
              <w:rPr>
                <w:rFonts w:ascii="times" w:hAnsi="times"/>
                <w:b/>
                <w:sz w:val="14"/>
              </w:rPr>
            </w:pPr>
            <w:r>
              <w:rPr>
                <w:rFonts w:ascii="times" w:hAnsi="times"/>
                <w:b/>
                <w:sz w:val="14"/>
              </w:rPr>
              <w:t>148,098</w:t>
            </w:r>
          </w:p>
        </w:tc>
        <w:tc>
          <w:tcPr>
            <w:tcW w:w="146"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rFonts w:ascii="times" w:hAnsi="times"/>
                <w:b/>
                <w:sz w:val="14"/>
              </w:rPr>
            </w:pPr>
            <w:r>
              <w:rPr>
                <w:rFonts w:ascii="times" w:hAnsi="times"/>
                <w:b/>
                <w:sz w:val="14"/>
              </w:rPr>
              <w:t>$</w:t>
            </w:r>
          </w:p>
        </w:tc>
        <w:tc>
          <w:tcPr>
            <w:tcW w:w="723" w:type="dxa"/>
            <w:tcBorders/>
            <w:shd w:fill="auto" w:val="clear"/>
            <w:vAlign w:val="bottom"/>
          </w:tcPr>
          <w:p>
            <w:pPr>
              <w:pStyle w:val="TableContents"/>
              <w:spacing w:before="0" w:after="283"/>
              <w:jc w:val="right"/>
              <w:rPr>
                <w:rFonts w:ascii="times" w:hAnsi="times"/>
                <w:b/>
                <w:sz w:val="14"/>
              </w:rPr>
            </w:pPr>
            <w:r>
              <w:rPr>
                <w:rFonts w:ascii="times" w:hAnsi="times"/>
                <w:b/>
                <w:sz w:val="14"/>
              </w:rPr>
              <w:t>25,449</w:t>
            </w:r>
          </w:p>
        </w:tc>
        <w:tc>
          <w:tcPr>
            <w:tcW w:w="146"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rFonts w:ascii="times" w:hAnsi="times"/>
                <w:b/>
                <w:sz w:val="14"/>
              </w:rPr>
            </w:pPr>
            <w:r>
              <w:rPr>
                <w:rFonts w:ascii="times" w:hAnsi="times"/>
                <w:b/>
                <w:sz w:val="14"/>
              </w:rPr>
              <w:t>$</w:t>
            </w:r>
          </w:p>
        </w:tc>
        <w:tc>
          <w:tcPr>
            <w:tcW w:w="760" w:type="dxa"/>
            <w:tcBorders/>
            <w:shd w:fill="auto" w:val="clear"/>
            <w:vAlign w:val="bottom"/>
          </w:tcPr>
          <w:p>
            <w:pPr>
              <w:pStyle w:val="TableContents"/>
              <w:spacing w:before="0" w:after="283"/>
              <w:jc w:val="right"/>
              <w:rPr>
                <w:rFonts w:ascii="times" w:hAnsi="times"/>
                <w:b/>
                <w:sz w:val="14"/>
              </w:rPr>
            </w:pPr>
            <w:r>
              <w:rPr>
                <w:rFonts w:ascii="times" w:hAnsi="times"/>
                <w:b/>
                <w:sz w:val="14"/>
              </w:rPr>
              <w:t>102,597</w:t>
            </w:r>
          </w:p>
        </w:tc>
        <w:tc>
          <w:tcPr>
            <w:tcW w:w="146"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rFonts w:ascii="times" w:hAnsi="times"/>
                <w:b/>
                <w:sz w:val="14"/>
              </w:rPr>
            </w:pPr>
            <w:r>
              <w:rPr>
                <w:rFonts w:ascii="times" w:hAnsi="times"/>
                <w:b/>
                <w:sz w:val="14"/>
              </w:rPr>
              <w:t>$</w:t>
            </w:r>
          </w:p>
        </w:tc>
        <w:tc>
          <w:tcPr>
            <w:tcW w:w="560" w:type="dxa"/>
            <w:tcBorders/>
            <w:shd w:fill="auto" w:val="clear"/>
            <w:vAlign w:val="bottom"/>
          </w:tcPr>
          <w:p>
            <w:pPr>
              <w:pStyle w:val="TableContents"/>
              <w:spacing w:before="0" w:after="283"/>
              <w:jc w:val="right"/>
              <w:rPr>
                <w:rFonts w:ascii="times" w:hAnsi="times"/>
                <w:b/>
                <w:sz w:val="14"/>
              </w:rPr>
            </w:pPr>
            <w:r>
              <w:rPr>
                <w:rFonts w:ascii="times" w:hAnsi="times"/>
                <w:b/>
                <w:sz w:val="14"/>
              </w:rPr>
              <w:t>128,046</w:t>
            </w:r>
          </w:p>
        </w:tc>
        <w:tc>
          <w:tcPr>
            <w:tcW w:w="156" w:type="dxa"/>
            <w:tcBorders/>
            <w:shd w:fill="auto" w:val="clear"/>
            <w:vAlign w:val="bottom"/>
          </w:tcPr>
          <w:p>
            <w:pPr>
              <w:pStyle w:val="TableContents"/>
              <w:spacing w:before="0" w:after="283"/>
              <w:rPr/>
            </w:pPr>
            <w:r>
              <w:rPr/>
              <w:t> </w:t>
            </w:r>
          </w:p>
        </w:tc>
      </w:tr>
      <w:tr>
        <w:trPr/>
        <w:tc>
          <w:tcPr>
            <w:tcW w:w="1753" w:type="dxa"/>
            <w:tcBorders/>
            <w:shd w:fill="FFFFFF" w:val="clear"/>
            <w:vAlign w:val="bottom"/>
          </w:tcPr>
          <w:p>
            <w:pPr>
              <w:pStyle w:val="TableContents"/>
              <w:spacing w:before="0" w:after="283"/>
              <w:rPr/>
            </w:pPr>
            <w:r>
              <w:rPr/>
              <w:t>​</w:t>
            </w:r>
          </w:p>
        </w:tc>
        <w:tc>
          <w:tcPr>
            <w:tcW w:w="145" w:type="dxa"/>
            <w:tcBorders/>
            <w:shd w:fill="FFFFFF" w:val="clear"/>
            <w:vAlign w:val="bottom"/>
          </w:tcPr>
          <w:p>
            <w:pPr>
              <w:pStyle w:val="TableContents"/>
              <w:spacing w:before="0" w:after="283"/>
              <w:rPr/>
            </w:pPr>
            <w:r>
              <w:rPr/>
              <w:t>​</w:t>
            </w:r>
          </w:p>
        </w:tc>
        <w:tc>
          <w:tcPr>
            <w:tcW w:w="95" w:type="dxa"/>
            <w:tcBorders>
              <w:bottom w:val="single" w:sz="8" w:space="0" w:color="000000"/>
            </w:tcBorders>
            <w:shd w:fill="FFFFFF" w:val="clear"/>
            <w:tcMar>
              <w:bottom w:w="28" w:type="dxa"/>
            </w:tcMar>
            <w:vAlign w:val="bottom"/>
          </w:tcPr>
          <w:p>
            <w:pPr>
              <w:pStyle w:val="TableContents"/>
              <w:spacing w:before="0" w:after="283"/>
              <w:rPr/>
            </w:pPr>
            <w:r>
              <w:rPr/>
              <w:t xml:space="preserve">​ </w:t>
            </w:r>
          </w:p>
        </w:tc>
        <w:tc>
          <w:tcPr>
            <w:tcW w:w="723" w:type="dxa"/>
            <w:tcBorders>
              <w:bottom w:val="single" w:sz="8" w:space="0" w:color="000000"/>
            </w:tcBorders>
            <w:shd w:fill="FFFFFF" w:val="clear"/>
            <w:tcMar>
              <w:bottom w:w="28" w:type="dxa"/>
            </w:tcMar>
            <w:vAlign w:val="bottom"/>
          </w:tcPr>
          <w:p>
            <w:pPr>
              <w:pStyle w:val="TableContents"/>
              <w:spacing w:before="0" w:after="283"/>
              <w:jc w:val="right"/>
              <w:rPr/>
            </w:pPr>
            <w:r>
              <w:rPr/>
              <w:t xml:space="preserve">​ </w:t>
            </w:r>
          </w:p>
        </w:tc>
        <w:tc>
          <w:tcPr>
            <w:tcW w:w="146" w:type="dxa"/>
            <w:tcBorders/>
            <w:shd w:fill="FFFFFF" w:val="clear"/>
            <w:vAlign w:val="bottom"/>
          </w:tcPr>
          <w:p>
            <w:pPr>
              <w:pStyle w:val="TableContents"/>
              <w:spacing w:before="0" w:after="283"/>
              <w:rPr/>
            </w:pPr>
            <w:r>
              <w:rPr/>
              <w:t>​</w:t>
            </w:r>
          </w:p>
        </w:tc>
        <w:tc>
          <w:tcPr>
            <w:tcW w:w="95" w:type="dxa"/>
            <w:tcBorders>
              <w:bottom w:val="single" w:sz="8" w:space="0" w:color="000000"/>
            </w:tcBorders>
            <w:shd w:fill="FFFFFF" w:val="clear"/>
            <w:tcMar>
              <w:bottom w:w="28" w:type="dxa"/>
            </w:tcMar>
            <w:vAlign w:val="bottom"/>
          </w:tcPr>
          <w:p>
            <w:pPr>
              <w:pStyle w:val="TableContents"/>
              <w:spacing w:before="0" w:after="283"/>
              <w:rPr/>
            </w:pPr>
            <w:r>
              <w:rPr/>
              <w:t xml:space="preserve">​ </w:t>
            </w:r>
          </w:p>
        </w:tc>
        <w:tc>
          <w:tcPr>
            <w:tcW w:w="760" w:type="dxa"/>
            <w:tcBorders>
              <w:bottom w:val="single" w:sz="8" w:space="0" w:color="000000"/>
            </w:tcBorders>
            <w:shd w:fill="FFFFFF" w:val="clear"/>
            <w:tcMar>
              <w:bottom w:w="28" w:type="dxa"/>
            </w:tcMar>
            <w:vAlign w:val="bottom"/>
          </w:tcPr>
          <w:p>
            <w:pPr>
              <w:pStyle w:val="TableContents"/>
              <w:spacing w:before="0" w:after="283"/>
              <w:jc w:val="right"/>
              <w:rPr/>
            </w:pPr>
            <w:r>
              <w:rPr/>
              <w:t xml:space="preserve">​ </w:t>
            </w:r>
          </w:p>
        </w:tc>
        <w:tc>
          <w:tcPr>
            <w:tcW w:w="146" w:type="dxa"/>
            <w:tcBorders/>
            <w:shd w:fill="FFFFFF" w:val="clear"/>
            <w:vAlign w:val="bottom"/>
          </w:tcPr>
          <w:p>
            <w:pPr>
              <w:pStyle w:val="TableContents"/>
              <w:spacing w:before="0" w:after="283"/>
              <w:rPr/>
            </w:pPr>
            <w:r>
              <w:rPr/>
              <w:t>​</w:t>
            </w:r>
          </w:p>
        </w:tc>
        <w:tc>
          <w:tcPr>
            <w:tcW w:w="95" w:type="dxa"/>
            <w:tcBorders>
              <w:bottom w:val="single" w:sz="8" w:space="0" w:color="000000"/>
            </w:tcBorders>
            <w:shd w:fill="FFFFFF" w:val="clear"/>
            <w:tcMar>
              <w:bottom w:w="28" w:type="dxa"/>
            </w:tcMar>
            <w:vAlign w:val="bottom"/>
          </w:tcPr>
          <w:p>
            <w:pPr>
              <w:pStyle w:val="TableContents"/>
              <w:spacing w:before="0" w:after="283"/>
              <w:rPr/>
            </w:pPr>
            <w:r>
              <w:rPr/>
              <w:t xml:space="preserve">​ </w:t>
            </w:r>
          </w:p>
        </w:tc>
        <w:tc>
          <w:tcPr>
            <w:tcW w:w="560" w:type="dxa"/>
            <w:tcBorders>
              <w:bottom w:val="single" w:sz="8" w:space="0" w:color="000000"/>
            </w:tcBorders>
            <w:shd w:fill="FFFFFF" w:val="clear"/>
            <w:tcMar>
              <w:bottom w:w="28" w:type="dxa"/>
            </w:tcMar>
            <w:vAlign w:val="bottom"/>
          </w:tcPr>
          <w:p>
            <w:pPr>
              <w:pStyle w:val="TableContents"/>
              <w:spacing w:before="0" w:after="283"/>
              <w:jc w:val="right"/>
              <w:rPr/>
            </w:pPr>
            <w:r>
              <w:rPr/>
              <w:t xml:space="preserve">​ </w:t>
            </w:r>
          </w:p>
        </w:tc>
        <w:tc>
          <w:tcPr>
            <w:tcW w:w="146" w:type="dxa"/>
            <w:tcBorders/>
            <w:shd w:fill="FFFFFF" w:val="clear"/>
            <w:vAlign w:val="bottom"/>
          </w:tcPr>
          <w:p>
            <w:pPr>
              <w:pStyle w:val="TableContents"/>
              <w:spacing w:before="0" w:after="283"/>
              <w:rPr/>
            </w:pPr>
            <w:r>
              <w:rPr/>
              <w:t>​</w:t>
            </w:r>
          </w:p>
        </w:tc>
        <w:tc>
          <w:tcPr>
            <w:tcW w:w="95" w:type="dxa"/>
            <w:tcBorders>
              <w:bottom w:val="single" w:sz="8" w:space="0" w:color="000000"/>
            </w:tcBorders>
            <w:shd w:fill="FFFFFF" w:val="clear"/>
            <w:tcMar>
              <w:bottom w:w="28" w:type="dxa"/>
            </w:tcMar>
            <w:vAlign w:val="bottom"/>
          </w:tcPr>
          <w:p>
            <w:pPr>
              <w:pStyle w:val="TableContents"/>
              <w:spacing w:before="0" w:after="283"/>
              <w:rPr/>
            </w:pPr>
            <w:r>
              <w:rPr/>
              <w:t xml:space="preserve">​ </w:t>
            </w:r>
          </w:p>
        </w:tc>
        <w:tc>
          <w:tcPr>
            <w:tcW w:w="723" w:type="dxa"/>
            <w:tcBorders>
              <w:bottom w:val="single" w:sz="8" w:space="0" w:color="000000"/>
            </w:tcBorders>
            <w:shd w:fill="FFFFFF" w:val="clear"/>
            <w:tcMar>
              <w:bottom w:w="28" w:type="dxa"/>
            </w:tcMar>
            <w:vAlign w:val="bottom"/>
          </w:tcPr>
          <w:p>
            <w:pPr>
              <w:pStyle w:val="TableContents"/>
              <w:spacing w:before="0" w:after="283"/>
              <w:jc w:val="right"/>
              <w:rPr/>
            </w:pPr>
            <w:r>
              <w:rPr/>
              <w:t xml:space="preserve">​ </w:t>
            </w:r>
          </w:p>
        </w:tc>
        <w:tc>
          <w:tcPr>
            <w:tcW w:w="145" w:type="dxa"/>
            <w:tcBorders/>
            <w:shd w:fill="FFFFFF" w:val="clear"/>
            <w:vAlign w:val="bottom"/>
          </w:tcPr>
          <w:p>
            <w:pPr>
              <w:pStyle w:val="TableContents"/>
              <w:spacing w:before="0" w:after="283"/>
              <w:rPr/>
            </w:pPr>
            <w:r>
              <w:rPr/>
              <w:t>​</w:t>
            </w:r>
          </w:p>
        </w:tc>
        <w:tc>
          <w:tcPr>
            <w:tcW w:w="95" w:type="dxa"/>
            <w:tcBorders>
              <w:bottom w:val="single" w:sz="8" w:space="0" w:color="000000"/>
            </w:tcBorders>
            <w:shd w:fill="FFFFFF" w:val="clear"/>
            <w:tcMar>
              <w:bottom w:w="28" w:type="dxa"/>
            </w:tcMar>
            <w:vAlign w:val="bottom"/>
          </w:tcPr>
          <w:p>
            <w:pPr>
              <w:pStyle w:val="TableContents"/>
              <w:spacing w:before="0" w:after="283"/>
              <w:rPr/>
            </w:pPr>
            <w:r>
              <w:rPr/>
              <w:t xml:space="preserve">​ </w:t>
            </w:r>
          </w:p>
        </w:tc>
        <w:tc>
          <w:tcPr>
            <w:tcW w:w="760" w:type="dxa"/>
            <w:tcBorders>
              <w:bottom w:val="single" w:sz="8" w:space="0" w:color="000000"/>
            </w:tcBorders>
            <w:shd w:fill="FFFFFF" w:val="clear"/>
            <w:tcMar>
              <w:bottom w:w="28" w:type="dxa"/>
            </w:tcMar>
            <w:vAlign w:val="bottom"/>
          </w:tcPr>
          <w:p>
            <w:pPr>
              <w:pStyle w:val="TableContents"/>
              <w:spacing w:before="0" w:after="283"/>
              <w:jc w:val="right"/>
              <w:rPr/>
            </w:pPr>
            <w:r>
              <w:rPr/>
              <w:t xml:space="preserve">​ </w:t>
            </w:r>
          </w:p>
        </w:tc>
        <w:tc>
          <w:tcPr>
            <w:tcW w:w="146" w:type="dxa"/>
            <w:tcBorders/>
            <w:shd w:fill="FFFFFF" w:val="clear"/>
            <w:vAlign w:val="bottom"/>
          </w:tcPr>
          <w:p>
            <w:pPr>
              <w:pStyle w:val="TableContents"/>
              <w:spacing w:before="0" w:after="283"/>
              <w:rPr/>
            </w:pPr>
            <w:r>
              <w:rPr/>
              <w:t>​</w:t>
            </w:r>
          </w:p>
        </w:tc>
        <w:tc>
          <w:tcPr>
            <w:tcW w:w="95" w:type="dxa"/>
            <w:tcBorders>
              <w:bottom w:val="single" w:sz="8" w:space="0" w:color="000000"/>
            </w:tcBorders>
            <w:shd w:fill="FFFFFF" w:val="clear"/>
            <w:tcMar>
              <w:bottom w:w="28" w:type="dxa"/>
            </w:tcMar>
            <w:vAlign w:val="bottom"/>
          </w:tcPr>
          <w:p>
            <w:pPr>
              <w:pStyle w:val="TableContents"/>
              <w:spacing w:before="0" w:after="283"/>
              <w:rPr/>
            </w:pPr>
            <w:r>
              <w:rPr/>
              <w:t xml:space="preserve">​ </w:t>
            </w:r>
          </w:p>
        </w:tc>
        <w:tc>
          <w:tcPr>
            <w:tcW w:w="560" w:type="dxa"/>
            <w:tcBorders>
              <w:bottom w:val="single" w:sz="8" w:space="0" w:color="000000"/>
            </w:tcBorders>
            <w:shd w:fill="FFFFFF" w:val="clear"/>
            <w:tcMar>
              <w:bottom w:w="28" w:type="dxa"/>
            </w:tcMar>
            <w:vAlign w:val="bottom"/>
          </w:tcPr>
          <w:p>
            <w:pPr>
              <w:pStyle w:val="TableContents"/>
              <w:spacing w:before="0" w:after="283"/>
              <w:jc w:val="right"/>
              <w:rPr/>
            </w:pPr>
            <w:r>
              <w:rPr/>
              <w:t xml:space="preserve">​ </w:t>
            </w:r>
          </w:p>
        </w:tc>
        <w:tc>
          <w:tcPr>
            <w:tcW w:w="146" w:type="dxa"/>
            <w:tcBorders/>
            <w:shd w:fill="FFFFFF" w:val="clear"/>
            <w:vAlign w:val="bottom"/>
          </w:tcPr>
          <w:p>
            <w:pPr>
              <w:pStyle w:val="TableContents"/>
              <w:spacing w:before="0" w:after="283"/>
              <w:rPr/>
            </w:pPr>
            <w:r>
              <w:rPr/>
              <w:t>​</w:t>
            </w:r>
          </w:p>
        </w:tc>
        <w:tc>
          <w:tcPr>
            <w:tcW w:w="95" w:type="dxa"/>
            <w:tcBorders>
              <w:bottom w:val="single" w:sz="8" w:space="0" w:color="000000"/>
            </w:tcBorders>
            <w:shd w:fill="FFFFFF" w:val="clear"/>
            <w:tcMar>
              <w:bottom w:w="28" w:type="dxa"/>
            </w:tcMar>
            <w:vAlign w:val="bottom"/>
          </w:tcPr>
          <w:p>
            <w:pPr>
              <w:pStyle w:val="TableContents"/>
              <w:spacing w:before="0" w:after="283"/>
              <w:rPr/>
            </w:pPr>
            <w:r>
              <w:rPr/>
              <w:t xml:space="preserve">​ </w:t>
            </w:r>
          </w:p>
        </w:tc>
        <w:tc>
          <w:tcPr>
            <w:tcW w:w="723" w:type="dxa"/>
            <w:tcBorders>
              <w:bottom w:val="single" w:sz="8" w:space="0" w:color="000000"/>
            </w:tcBorders>
            <w:shd w:fill="FFFFFF" w:val="clear"/>
            <w:tcMar>
              <w:bottom w:w="28" w:type="dxa"/>
            </w:tcMar>
            <w:vAlign w:val="bottom"/>
          </w:tcPr>
          <w:p>
            <w:pPr>
              <w:pStyle w:val="TableContents"/>
              <w:spacing w:before="0" w:after="283"/>
              <w:jc w:val="right"/>
              <w:rPr/>
            </w:pPr>
            <w:r>
              <w:rPr/>
              <w:t xml:space="preserve">​ </w:t>
            </w:r>
          </w:p>
        </w:tc>
        <w:tc>
          <w:tcPr>
            <w:tcW w:w="146" w:type="dxa"/>
            <w:tcBorders/>
            <w:shd w:fill="FFFFFF" w:val="clear"/>
            <w:vAlign w:val="bottom"/>
          </w:tcPr>
          <w:p>
            <w:pPr>
              <w:pStyle w:val="TableContents"/>
              <w:spacing w:before="0" w:after="283"/>
              <w:rPr/>
            </w:pPr>
            <w:r>
              <w:rPr/>
              <w:t>​</w:t>
            </w:r>
          </w:p>
        </w:tc>
        <w:tc>
          <w:tcPr>
            <w:tcW w:w="95" w:type="dxa"/>
            <w:tcBorders>
              <w:bottom w:val="single" w:sz="8" w:space="0" w:color="000000"/>
            </w:tcBorders>
            <w:shd w:fill="FFFFFF" w:val="clear"/>
            <w:tcMar>
              <w:bottom w:w="28" w:type="dxa"/>
            </w:tcMar>
            <w:vAlign w:val="bottom"/>
          </w:tcPr>
          <w:p>
            <w:pPr>
              <w:pStyle w:val="TableContents"/>
              <w:spacing w:before="0" w:after="283"/>
              <w:rPr/>
            </w:pPr>
            <w:r>
              <w:rPr/>
              <w:t xml:space="preserve">​ </w:t>
            </w:r>
          </w:p>
        </w:tc>
        <w:tc>
          <w:tcPr>
            <w:tcW w:w="760" w:type="dxa"/>
            <w:tcBorders>
              <w:bottom w:val="single" w:sz="8" w:space="0" w:color="000000"/>
            </w:tcBorders>
            <w:shd w:fill="FFFFFF" w:val="clear"/>
            <w:tcMar>
              <w:bottom w:w="28" w:type="dxa"/>
            </w:tcMar>
            <w:vAlign w:val="bottom"/>
          </w:tcPr>
          <w:p>
            <w:pPr>
              <w:pStyle w:val="TableContents"/>
              <w:spacing w:before="0" w:after="283"/>
              <w:jc w:val="right"/>
              <w:rPr/>
            </w:pPr>
            <w:r>
              <w:rPr/>
              <w:t xml:space="preserve">​ </w:t>
            </w:r>
          </w:p>
        </w:tc>
        <w:tc>
          <w:tcPr>
            <w:tcW w:w="146" w:type="dxa"/>
            <w:tcBorders/>
            <w:shd w:fill="FFFFFF" w:val="clear"/>
            <w:vAlign w:val="bottom"/>
          </w:tcPr>
          <w:p>
            <w:pPr>
              <w:pStyle w:val="TableContents"/>
              <w:spacing w:before="0" w:after="283"/>
              <w:rPr/>
            </w:pPr>
            <w:r>
              <w:rPr/>
              <w:t>​</w:t>
            </w:r>
          </w:p>
        </w:tc>
        <w:tc>
          <w:tcPr>
            <w:tcW w:w="95" w:type="dxa"/>
            <w:tcBorders>
              <w:bottom w:val="single" w:sz="8" w:space="0" w:color="000000"/>
            </w:tcBorders>
            <w:shd w:fill="FFFFFF" w:val="clear"/>
            <w:tcMar>
              <w:bottom w:w="28" w:type="dxa"/>
            </w:tcMar>
            <w:vAlign w:val="bottom"/>
          </w:tcPr>
          <w:p>
            <w:pPr>
              <w:pStyle w:val="TableContents"/>
              <w:spacing w:before="0" w:after="283"/>
              <w:rPr/>
            </w:pPr>
            <w:r>
              <w:rPr/>
              <w:t xml:space="preserve">​ </w:t>
            </w:r>
          </w:p>
        </w:tc>
        <w:tc>
          <w:tcPr>
            <w:tcW w:w="560" w:type="dxa"/>
            <w:tcBorders>
              <w:bottom w:val="single" w:sz="8" w:space="0" w:color="000000"/>
            </w:tcBorders>
            <w:shd w:fill="FFFFFF" w:val="clear"/>
            <w:tcMar>
              <w:bottom w:w="28" w:type="dxa"/>
            </w:tcMar>
            <w:vAlign w:val="bottom"/>
          </w:tcPr>
          <w:p>
            <w:pPr>
              <w:pStyle w:val="TableContents"/>
              <w:spacing w:before="0" w:after="283"/>
              <w:jc w:val="right"/>
              <w:rPr/>
            </w:pPr>
            <w:r>
              <w:rPr/>
              <w:t xml:space="preserve">​ </w:t>
            </w:r>
          </w:p>
        </w:tc>
        <w:tc>
          <w:tcPr>
            <w:tcW w:w="156" w:type="dxa"/>
            <w:tcBorders/>
            <w:shd w:fill="FFFFFF" w:val="clear"/>
            <w:vAlign w:val="bottom"/>
          </w:tcPr>
          <w:p>
            <w:pPr>
              <w:pStyle w:val="TableContents"/>
              <w:spacing w:before="0" w:after="283"/>
              <w:rPr/>
            </w:pPr>
            <w:r>
              <w:rPr/>
              <w:t>​</w:t>
            </w:r>
          </w:p>
        </w:tc>
      </w:tr>
      <w:tr>
        <w:trPr/>
        <w:tc>
          <w:tcPr>
            <w:tcW w:w="1753" w:type="dxa"/>
            <w:tcBorders/>
            <w:shd w:fill="FFFFFF" w:val="clear"/>
            <w:vAlign w:val="bottom"/>
          </w:tcPr>
          <w:p>
            <w:pPr>
              <w:pStyle w:val="TableContents"/>
              <w:spacing w:lineRule="atLeast" w:line="141" w:before="0" w:after="283"/>
              <w:rPr/>
            </w:pPr>
            <w:r>
              <w:rPr/>
              <w:t>​</w:t>
            </w:r>
          </w:p>
        </w:tc>
        <w:tc>
          <w:tcPr>
            <w:tcW w:w="145" w:type="dxa"/>
            <w:tcBorders/>
            <w:shd w:fill="FFFFFF" w:val="clear"/>
            <w:vAlign w:val="bottom"/>
          </w:tcPr>
          <w:p>
            <w:pPr>
              <w:pStyle w:val="TableContents"/>
              <w:spacing w:lineRule="atLeast" w:line="141" w:before="0" w:after="283"/>
              <w:rPr/>
            </w:pPr>
            <w:r>
              <w:rPr/>
              <w:t>​</w:t>
            </w:r>
          </w:p>
        </w:tc>
        <w:tc>
          <w:tcPr>
            <w:tcW w:w="95" w:type="dxa"/>
            <w:tcBorders/>
            <w:shd w:fill="FFFFFF" w:val="clear"/>
            <w:vAlign w:val="bottom"/>
          </w:tcPr>
          <w:p>
            <w:pPr>
              <w:pStyle w:val="TableContents"/>
              <w:spacing w:lineRule="atLeast" w:line="141" w:before="0" w:after="283"/>
              <w:rPr/>
            </w:pPr>
            <w:r>
              <w:rPr/>
              <w:t>​</w:t>
            </w:r>
          </w:p>
        </w:tc>
        <w:tc>
          <w:tcPr>
            <w:tcW w:w="723" w:type="dxa"/>
            <w:tcBorders/>
            <w:shd w:fill="FFFFFF" w:val="clear"/>
            <w:vAlign w:val="bottom"/>
          </w:tcPr>
          <w:p>
            <w:pPr>
              <w:pStyle w:val="TableContents"/>
              <w:spacing w:lineRule="atLeast" w:line="141" w:before="0" w:after="283"/>
              <w:jc w:val="right"/>
              <w:rPr/>
            </w:pPr>
            <w:r>
              <w:rPr/>
              <w:t>​</w:t>
            </w:r>
          </w:p>
        </w:tc>
        <w:tc>
          <w:tcPr>
            <w:tcW w:w="146" w:type="dxa"/>
            <w:tcBorders/>
            <w:shd w:fill="FFFFFF" w:val="clear"/>
            <w:vAlign w:val="bottom"/>
          </w:tcPr>
          <w:p>
            <w:pPr>
              <w:pStyle w:val="TableContents"/>
              <w:spacing w:lineRule="atLeast" w:line="141" w:before="0" w:after="283"/>
              <w:rPr/>
            </w:pPr>
            <w:r>
              <w:rPr/>
              <w:t>​</w:t>
            </w:r>
          </w:p>
        </w:tc>
        <w:tc>
          <w:tcPr>
            <w:tcW w:w="95" w:type="dxa"/>
            <w:tcBorders/>
            <w:shd w:fill="FFFFFF" w:val="clear"/>
            <w:vAlign w:val="bottom"/>
          </w:tcPr>
          <w:p>
            <w:pPr>
              <w:pStyle w:val="TableContents"/>
              <w:spacing w:lineRule="atLeast" w:line="141" w:before="0" w:after="283"/>
              <w:rPr/>
            </w:pPr>
            <w:r>
              <w:rPr/>
              <w:t>​</w:t>
            </w:r>
          </w:p>
        </w:tc>
        <w:tc>
          <w:tcPr>
            <w:tcW w:w="760" w:type="dxa"/>
            <w:tcBorders/>
            <w:shd w:fill="FFFFFF" w:val="clear"/>
            <w:vAlign w:val="bottom"/>
          </w:tcPr>
          <w:p>
            <w:pPr>
              <w:pStyle w:val="TableContents"/>
              <w:spacing w:lineRule="atLeast" w:line="141" w:before="0" w:after="283"/>
              <w:jc w:val="right"/>
              <w:rPr/>
            </w:pPr>
            <w:r>
              <w:rPr/>
              <w:t>​</w:t>
            </w:r>
          </w:p>
        </w:tc>
        <w:tc>
          <w:tcPr>
            <w:tcW w:w="146" w:type="dxa"/>
            <w:tcBorders/>
            <w:shd w:fill="FFFFFF" w:val="clear"/>
            <w:vAlign w:val="bottom"/>
          </w:tcPr>
          <w:p>
            <w:pPr>
              <w:pStyle w:val="TableContents"/>
              <w:spacing w:lineRule="atLeast" w:line="141" w:before="0" w:after="283"/>
              <w:rPr/>
            </w:pPr>
            <w:r>
              <w:rPr/>
              <w:t>​</w:t>
            </w:r>
          </w:p>
        </w:tc>
        <w:tc>
          <w:tcPr>
            <w:tcW w:w="95" w:type="dxa"/>
            <w:tcBorders/>
            <w:shd w:fill="FFFFFF" w:val="clear"/>
            <w:vAlign w:val="bottom"/>
          </w:tcPr>
          <w:p>
            <w:pPr>
              <w:pStyle w:val="TableContents"/>
              <w:spacing w:lineRule="atLeast" w:line="141" w:before="0" w:after="283"/>
              <w:rPr/>
            </w:pPr>
            <w:r>
              <w:rPr/>
              <w:t>​</w:t>
            </w:r>
          </w:p>
        </w:tc>
        <w:tc>
          <w:tcPr>
            <w:tcW w:w="560" w:type="dxa"/>
            <w:tcBorders/>
            <w:shd w:fill="FFFFFF" w:val="clear"/>
            <w:vAlign w:val="bottom"/>
          </w:tcPr>
          <w:p>
            <w:pPr>
              <w:pStyle w:val="TableContents"/>
              <w:spacing w:lineRule="atLeast" w:line="141" w:before="0" w:after="283"/>
              <w:jc w:val="right"/>
              <w:rPr/>
            </w:pPr>
            <w:r>
              <w:rPr/>
              <w:t>​</w:t>
            </w:r>
          </w:p>
        </w:tc>
        <w:tc>
          <w:tcPr>
            <w:tcW w:w="146" w:type="dxa"/>
            <w:tcBorders/>
            <w:shd w:fill="FFFFFF" w:val="clear"/>
            <w:vAlign w:val="bottom"/>
          </w:tcPr>
          <w:p>
            <w:pPr>
              <w:pStyle w:val="TableContents"/>
              <w:spacing w:lineRule="atLeast" w:line="141" w:before="0" w:after="283"/>
              <w:rPr/>
            </w:pPr>
            <w:r>
              <w:rPr/>
              <w:t>​</w:t>
            </w:r>
          </w:p>
        </w:tc>
        <w:tc>
          <w:tcPr>
            <w:tcW w:w="95" w:type="dxa"/>
            <w:tcBorders/>
            <w:shd w:fill="FFFFFF" w:val="clear"/>
            <w:vAlign w:val="bottom"/>
          </w:tcPr>
          <w:p>
            <w:pPr>
              <w:pStyle w:val="TableContents"/>
              <w:spacing w:lineRule="atLeast" w:line="141" w:before="0" w:after="283"/>
              <w:rPr/>
            </w:pPr>
            <w:r>
              <w:rPr/>
              <w:t>​</w:t>
            </w:r>
          </w:p>
        </w:tc>
        <w:tc>
          <w:tcPr>
            <w:tcW w:w="723" w:type="dxa"/>
            <w:tcBorders/>
            <w:shd w:fill="FFFFFF" w:val="clear"/>
            <w:vAlign w:val="bottom"/>
          </w:tcPr>
          <w:p>
            <w:pPr>
              <w:pStyle w:val="TableContents"/>
              <w:spacing w:lineRule="atLeast" w:line="141" w:before="0" w:after="283"/>
              <w:jc w:val="right"/>
              <w:rPr/>
            </w:pPr>
            <w:r>
              <w:rPr/>
              <w:t>​</w:t>
            </w:r>
          </w:p>
        </w:tc>
        <w:tc>
          <w:tcPr>
            <w:tcW w:w="145" w:type="dxa"/>
            <w:tcBorders/>
            <w:shd w:fill="FFFFFF" w:val="clear"/>
            <w:vAlign w:val="bottom"/>
          </w:tcPr>
          <w:p>
            <w:pPr>
              <w:pStyle w:val="TableContents"/>
              <w:spacing w:lineRule="atLeast" w:line="141" w:before="0" w:after="283"/>
              <w:rPr/>
            </w:pPr>
            <w:r>
              <w:rPr/>
              <w:t>​</w:t>
            </w:r>
          </w:p>
        </w:tc>
        <w:tc>
          <w:tcPr>
            <w:tcW w:w="95" w:type="dxa"/>
            <w:tcBorders/>
            <w:shd w:fill="FFFFFF" w:val="clear"/>
            <w:vAlign w:val="bottom"/>
          </w:tcPr>
          <w:p>
            <w:pPr>
              <w:pStyle w:val="TableContents"/>
              <w:spacing w:lineRule="atLeast" w:line="141" w:before="0" w:after="283"/>
              <w:rPr/>
            </w:pPr>
            <w:r>
              <w:rPr/>
              <w:t>​</w:t>
            </w:r>
          </w:p>
        </w:tc>
        <w:tc>
          <w:tcPr>
            <w:tcW w:w="760" w:type="dxa"/>
            <w:tcBorders/>
            <w:shd w:fill="FFFFFF" w:val="clear"/>
            <w:vAlign w:val="bottom"/>
          </w:tcPr>
          <w:p>
            <w:pPr>
              <w:pStyle w:val="TableContents"/>
              <w:spacing w:lineRule="atLeast" w:line="141" w:before="0" w:after="283"/>
              <w:jc w:val="right"/>
              <w:rPr/>
            </w:pPr>
            <w:r>
              <w:rPr/>
              <w:t>​</w:t>
            </w:r>
          </w:p>
        </w:tc>
        <w:tc>
          <w:tcPr>
            <w:tcW w:w="146" w:type="dxa"/>
            <w:tcBorders/>
            <w:shd w:fill="FFFFFF" w:val="clear"/>
            <w:vAlign w:val="bottom"/>
          </w:tcPr>
          <w:p>
            <w:pPr>
              <w:pStyle w:val="TableContents"/>
              <w:spacing w:lineRule="atLeast" w:line="141" w:before="0" w:after="283"/>
              <w:rPr/>
            </w:pPr>
            <w:r>
              <w:rPr/>
              <w:t>​</w:t>
            </w:r>
          </w:p>
        </w:tc>
        <w:tc>
          <w:tcPr>
            <w:tcW w:w="95" w:type="dxa"/>
            <w:tcBorders/>
            <w:shd w:fill="FFFFFF" w:val="clear"/>
            <w:vAlign w:val="bottom"/>
          </w:tcPr>
          <w:p>
            <w:pPr>
              <w:pStyle w:val="TableContents"/>
              <w:spacing w:lineRule="atLeast" w:line="141" w:before="0" w:after="283"/>
              <w:rPr/>
            </w:pPr>
            <w:r>
              <w:rPr/>
              <w:t>​</w:t>
            </w:r>
          </w:p>
        </w:tc>
        <w:tc>
          <w:tcPr>
            <w:tcW w:w="560" w:type="dxa"/>
            <w:tcBorders/>
            <w:shd w:fill="FFFFFF" w:val="clear"/>
            <w:vAlign w:val="bottom"/>
          </w:tcPr>
          <w:p>
            <w:pPr>
              <w:pStyle w:val="TableContents"/>
              <w:spacing w:lineRule="atLeast" w:line="141" w:before="0" w:after="283"/>
              <w:jc w:val="right"/>
              <w:rPr/>
            </w:pPr>
            <w:r>
              <w:rPr/>
              <w:t>​</w:t>
            </w:r>
          </w:p>
        </w:tc>
        <w:tc>
          <w:tcPr>
            <w:tcW w:w="146" w:type="dxa"/>
            <w:tcBorders/>
            <w:shd w:fill="FFFFFF" w:val="clear"/>
            <w:vAlign w:val="bottom"/>
          </w:tcPr>
          <w:p>
            <w:pPr>
              <w:pStyle w:val="TableContents"/>
              <w:spacing w:lineRule="atLeast" w:line="141" w:before="0" w:after="283"/>
              <w:rPr/>
            </w:pPr>
            <w:r>
              <w:rPr/>
              <w:t>​</w:t>
            </w:r>
          </w:p>
        </w:tc>
        <w:tc>
          <w:tcPr>
            <w:tcW w:w="95" w:type="dxa"/>
            <w:tcBorders/>
            <w:shd w:fill="FFFFFF" w:val="clear"/>
            <w:vAlign w:val="bottom"/>
          </w:tcPr>
          <w:p>
            <w:pPr>
              <w:pStyle w:val="TableContents"/>
              <w:spacing w:lineRule="atLeast" w:line="141" w:before="0" w:after="283"/>
              <w:rPr/>
            </w:pPr>
            <w:r>
              <w:rPr/>
              <w:t>​</w:t>
            </w:r>
          </w:p>
        </w:tc>
        <w:tc>
          <w:tcPr>
            <w:tcW w:w="723" w:type="dxa"/>
            <w:tcBorders/>
            <w:shd w:fill="FFFFFF" w:val="clear"/>
            <w:vAlign w:val="bottom"/>
          </w:tcPr>
          <w:p>
            <w:pPr>
              <w:pStyle w:val="TableContents"/>
              <w:spacing w:lineRule="atLeast" w:line="141" w:before="0" w:after="283"/>
              <w:jc w:val="right"/>
              <w:rPr/>
            </w:pPr>
            <w:r>
              <w:rPr/>
              <w:t>​</w:t>
            </w:r>
          </w:p>
        </w:tc>
        <w:tc>
          <w:tcPr>
            <w:tcW w:w="146" w:type="dxa"/>
            <w:tcBorders/>
            <w:shd w:fill="FFFFFF" w:val="clear"/>
            <w:vAlign w:val="bottom"/>
          </w:tcPr>
          <w:p>
            <w:pPr>
              <w:pStyle w:val="TableContents"/>
              <w:spacing w:lineRule="atLeast" w:line="141" w:before="0" w:after="283"/>
              <w:rPr/>
            </w:pPr>
            <w:r>
              <w:rPr/>
              <w:t>​</w:t>
            </w:r>
          </w:p>
        </w:tc>
        <w:tc>
          <w:tcPr>
            <w:tcW w:w="95" w:type="dxa"/>
            <w:tcBorders/>
            <w:shd w:fill="FFFFFF" w:val="clear"/>
            <w:vAlign w:val="bottom"/>
          </w:tcPr>
          <w:p>
            <w:pPr>
              <w:pStyle w:val="TableContents"/>
              <w:spacing w:lineRule="atLeast" w:line="141" w:before="0" w:after="283"/>
              <w:rPr/>
            </w:pPr>
            <w:r>
              <w:rPr/>
              <w:t>​</w:t>
            </w:r>
          </w:p>
        </w:tc>
        <w:tc>
          <w:tcPr>
            <w:tcW w:w="760" w:type="dxa"/>
            <w:tcBorders/>
            <w:shd w:fill="FFFFFF" w:val="clear"/>
            <w:vAlign w:val="bottom"/>
          </w:tcPr>
          <w:p>
            <w:pPr>
              <w:pStyle w:val="TableContents"/>
              <w:spacing w:lineRule="atLeast" w:line="141" w:before="0" w:after="283"/>
              <w:jc w:val="right"/>
              <w:rPr/>
            </w:pPr>
            <w:r>
              <w:rPr/>
              <w:t>​</w:t>
            </w:r>
          </w:p>
        </w:tc>
        <w:tc>
          <w:tcPr>
            <w:tcW w:w="146" w:type="dxa"/>
            <w:tcBorders/>
            <w:shd w:fill="FFFFFF" w:val="clear"/>
            <w:vAlign w:val="bottom"/>
          </w:tcPr>
          <w:p>
            <w:pPr>
              <w:pStyle w:val="TableContents"/>
              <w:spacing w:lineRule="atLeast" w:line="141" w:before="0" w:after="283"/>
              <w:rPr/>
            </w:pPr>
            <w:r>
              <w:rPr/>
              <w:t>​</w:t>
            </w:r>
          </w:p>
        </w:tc>
        <w:tc>
          <w:tcPr>
            <w:tcW w:w="95" w:type="dxa"/>
            <w:tcBorders/>
            <w:shd w:fill="FFFFFF" w:val="clear"/>
            <w:vAlign w:val="bottom"/>
          </w:tcPr>
          <w:p>
            <w:pPr>
              <w:pStyle w:val="TableContents"/>
              <w:spacing w:lineRule="atLeast" w:line="141" w:before="0" w:after="283"/>
              <w:rPr/>
            </w:pPr>
            <w:r>
              <w:rPr/>
              <w:t>​</w:t>
            </w:r>
          </w:p>
        </w:tc>
        <w:tc>
          <w:tcPr>
            <w:tcW w:w="560" w:type="dxa"/>
            <w:tcBorders/>
            <w:shd w:fill="FFFFFF" w:val="clear"/>
            <w:vAlign w:val="bottom"/>
          </w:tcPr>
          <w:p>
            <w:pPr>
              <w:pStyle w:val="TableContents"/>
              <w:spacing w:lineRule="atLeast" w:line="141" w:before="0" w:after="283"/>
              <w:jc w:val="right"/>
              <w:rPr/>
            </w:pPr>
            <w:r>
              <w:rPr/>
              <w:t>​</w:t>
            </w:r>
          </w:p>
        </w:tc>
        <w:tc>
          <w:tcPr>
            <w:tcW w:w="156" w:type="dxa"/>
            <w:tcBorders/>
            <w:shd w:fill="FFFFFF" w:val="clear"/>
            <w:vAlign w:val="bottom"/>
          </w:tcPr>
          <w:p>
            <w:pPr>
              <w:pStyle w:val="TableContents"/>
              <w:spacing w:lineRule="atLeast" w:line="141" w:before="0" w:after="283"/>
              <w:rPr/>
            </w:pPr>
            <w:r>
              <w:rPr/>
              <w:t>​</w:t>
            </w:r>
          </w:p>
        </w:tc>
      </w:tr>
      <w:tr>
        <w:trPr/>
        <w:tc>
          <w:tcPr>
            <w:tcW w:w="1753" w:type="dxa"/>
            <w:tcBorders/>
            <w:shd w:fill="FFFFFF" w:val="clear"/>
            <w:vAlign w:val="bottom"/>
          </w:tcPr>
          <w:p>
            <w:pPr>
              <w:pStyle w:val="TableContents"/>
              <w:spacing w:before="0" w:after="283"/>
              <w:rPr/>
            </w:pPr>
            <w:r>
              <w:rPr/>
              <w:t>​</w:t>
            </w:r>
          </w:p>
        </w:tc>
        <w:tc>
          <w:tcPr>
            <w:tcW w:w="145" w:type="dxa"/>
            <w:tcBorders/>
            <w:shd w:fill="FFFFFF" w:val="clear"/>
            <w:vAlign w:val="bottom"/>
          </w:tcPr>
          <w:p>
            <w:pPr>
              <w:pStyle w:val="TableContents"/>
              <w:spacing w:before="0" w:after="283"/>
              <w:rPr/>
            </w:pPr>
            <w:r>
              <w:rPr/>
              <w:t>​</w:t>
            </w:r>
          </w:p>
        </w:tc>
        <w:tc>
          <w:tcPr>
            <w:tcW w:w="95" w:type="dxa"/>
            <w:tcBorders>
              <w:bottom w:val="single" w:sz="8" w:space="0" w:color="000000"/>
            </w:tcBorders>
            <w:shd w:fill="FFFFFF" w:val="clear"/>
            <w:tcMar>
              <w:bottom w:w="28" w:type="dxa"/>
            </w:tcMar>
            <w:vAlign w:val="bottom"/>
          </w:tcPr>
          <w:p>
            <w:pPr>
              <w:pStyle w:val="TableContents"/>
              <w:spacing w:before="0" w:after="283"/>
              <w:rPr/>
            </w:pPr>
            <w:r>
              <w:rPr/>
              <w:t xml:space="preserve">​ </w:t>
            </w:r>
          </w:p>
        </w:tc>
        <w:tc>
          <w:tcPr>
            <w:tcW w:w="723" w:type="dxa"/>
            <w:tcBorders>
              <w:bottom w:val="single" w:sz="8" w:space="0" w:color="000000"/>
            </w:tcBorders>
            <w:shd w:fill="FFFFFF" w:val="clear"/>
            <w:tcMar>
              <w:bottom w:w="28" w:type="dxa"/>
            </w:tcMar>
            <w:vAlign w:val="bottom"/>
          </w:tcPr>
          <w:p>
            <w:pPr>
              <w:pStyle w:val="TableContents"/>
              <w:spacing w:before="0" w:after="283"/>
              <w:jc w:val="right"/>
              <w:rPr/>
            </w:pPr>
            <w:r>
              <w:rPr/>
              <w:t xml:space="preserve">​ </w:t>
            </w:r>
          </w:p>
        </w:tc>
        <w:tc>
          <w:tcPr>
            <w:tcW w:w="146" w:type="dxa"/>
            <w:tcBorders/>
            <w:shd w:fill="FFFFFF" w:val="clear"/>
            <w:vAlign w:val="bottom"/>
          </w:tcPr>
          <w:p>
            <w:pPr>
              <w:pStyle w:val="TableContents"/>
              <w:spacing w:before="0" w:after="283"/>
              <w:rPr/>
            </w:pPr>
            <w:r>
              <w:rPr/>
              <w:t>​</w:t>
            </w:r>
          </w:p>
        </w:tc>
        <w:tc>
          <w:tcPr>
            <w:tcW w:w="95" w:type="dxa"/>
            <w:tcBorders>
              <w:bottom w:val="single" w:sz="8" w:space="0" w:color="000000"/>
            </w:tcBorders>
            <w:shd w:fill="FFFFFF" w:val="clear"/>
            <w:tcMar>
              <w:bottom w:w="28" w:type="dxa"/>
            </w:tcMar>
            <w:vAlign w:val="bottom"/>
          </w:tcPr>
          <w:p>
            <w:pPr>
              <w:pStyle w:val="TableContents"/>
              <w:spacing w:before="0" w:after="283"/>
              <w:rPr/>
            </w:pPr>
            <w:r>
              <w:rPr/>
              <w:t xml:space="preserve">​ </w:t>
            </w:r>
          </w:p>
        </w:tc>
        <w:tc>
          <w:tcPr>
            <w:tcW w:w="760" w:type="dxa"/>
            <w:tcBorders>
              <w:bottom w:val="single" w:sz="8" w:space="0" w:color="000000"/>
            </w:tcBorders>
            <w:shd w:fill="FFFFFF" w:val="clear"/>
            <w:tcMar>
              <w:bottom w:w="28" w:type="dxa"/>
            </w:tcMar>
            <w:vAlign w:val="bottom"/>
          </w:tcPr>
          <w:p>
            <w:pPr>
              <w:pStyle w:val="TableContents"/>
              <w:spacing w:before="0" w:after="283"/>
              <w:jc w:val="right"/>
              <w:rPr/>
            </w:pPr>
            <w:r>
              <w:rPr/>
              <w:t xml:space="preserve">​ </w:t>
            </w:r>
          </w:p>
        </w:tc>
        <w:tc>
          <w:tcPr>
            <w:tcW w:w="146" w:type="dxa"/>
            <w:tcBorders/>
            <w:shd w:fill="FFFFFF" w:val="clear"/>
            <w:vAlign w:val="bottom"/>
          </w:tcPr>
          <w:p>
            <w:pPr>
              <w:pStyle w:val="TableContents"/>
              <w:spacing w:before="0" w:after="283"/>
              <w:rPr/>
            </w:pPr>
            <w:r>
              <w:rPr/>
              <w:t>​</w:t>
            </w:r>
          </w:p>
        </w:tc>
        <w:tc>
          <w:tcPr>
            <w:tcW w:w="95" w:type="dxa"/>
            <w:tcBorders>
              <w:bottom w:val="single" w:sz="8" w:space="0" w:color="000000"/>
            </w:tcBorders>
            <w:shd w:fill="FFFFFF" w:val="clear"/>
            <w:tcMar>
              <w:bottom w:w="28" w:type="dxa"/>
            </w:tcMar>
            <w:vAlign w:val="bottom"/>
          </w:tcPr>
          <w:p>
            <w:pPr>
              <w:pStyle w:val="TableContents"/>
              <w:spacing w:before="0" w:after="283"/>
              <w:rPr/>
            </w:pPr>
            <w:r>
              <w:rPr/>
              <w:t xml:space="preserve">​ </w:t>
            </w:r>
          </w:p>
        </w:tc>
        <w:tc>
          <w:tcPr>
            <w:tcW w:w="560" w:type="dxa"/>
            <w:tcBorders>
              <w:bottom w:val="single" w:sz="8" w:space="0" w:color="000000"/>
            </w:tcBorders>
            <w:shd w:fill="FFFFFF" w:val="clear"/>
            <w:tcMar>
              <w:bottom w:w="28" w:type="dxa"/>
            </w:tcMar>
            <w:vAlign w:val="bottom"/>
          </w:tcPr>
          <w:p>
            <w:pPr>
              <w:pStyle w:val="TableContents"/>
              <w:spacing w:before="0" w:after="283"/>
              <w:jc w:val="right"/>
              <w:rPr/>
            </w:pPr>
            <w:r>
              <w:rPr/>
              <w:t xml:space="preserve">​ </w:t>
            </w:r>
          </w:p>
        </w:tc>
        <w:tc>
          <w:tcPr>
            <w:tcW w:w="146" w:type="dxa"/>
            <w:tcBorders/>
            <w:shd w:fill="FFFFFF" w:val="clear"/>
            <w:vAlign w:val="bottom"/>
          </w:tcPr>
          <w:p>
            <w:pPr>
              <w:pStyle w:val="TableContents"/>
              <w:spacing w:before="0" w:after="283"/>
              <w:rPr/>
            </w:pPr>
            <w:r>
              <w:rPr/>
              <w:t>​</w:t>
            </w:r>
          </w:p>
        </w:tc>
        <w:tc>
          <w:tcPr>
            <w:tcW w:w="95" w:type="dxa"/>
            <w:tcBorders>
              <w:bottom w:val="single" w:sz="8" w:space="0" w:color="000000"/>
            </w:tcBorders>
            <w:shd w:fill="FFFFFF" w:val="clear"/>
            <w:tcMar>
              <w:bottom w:w="28" w:type="dxa"/>
            </w:tcMar>
            <w:vAlign w:val="bottom"/>
          </w:tcPr>
          <w:p>
            <w:pPr>
              <w:pStyle w:val="TableContents"/>
              <w:spacing w:before="0" w:after="283"/>
              <w:rPr/>
            </w:pPr>
            <w:r>
              <w:rPr/>
              <w:t xml:space="preserve">​ </w:t>
            </w:r>
          </w:p>
        </w:tc>
        <w:tc>
          <w:tcPr>
            <w:tcW w:w="723" w:type="dxa"/>
            <w:tcBorders>
              <w:bottom w:val="single" w:sz="8" w:space="0" w:color="000000"/>
            </w:tcBorders>
            <w:shd w:fill="FFFFFF" w:val="clear"/>
            <w:tcMar>
              <w:bottom w:w="28" w:type="dxa"/>
            </w:tcMar>
            <w:vAlign w:val="bottom"/>
          </w:tcPr>
          <w:p>
            <w:pPr>
              <w:pStyle w:val="TableContents"/>
              <w:spacing w:before="0" w:after="283"/>
              <w:jc w:val="right"/>
              <w:rPr/>
            </w:pPr>
            <w:r>
              <w:rPr/>
              <w:t xml:space="preserve">​ </w:t>
            </w:r>
          </w:p>
        </w:tc>
        <w:tc>
          <w:tcPr>
            <w:tcW w:w="145" w:type="dxa"/>
            <w:tcBorders/>
            <w:shd w:fill="FFFFFF" w:val="clear"/>
            <w:vAlign w:val="bottom"/>
          </w:tcPr>
          <w:p>
            <w:pPr>
              <w:pStyle w:val="TableContents"/>
              <w:spacing w:before="0" w:after="283"/>
              <w:rPr/>
            </w:pPr>
            <w:r>
              <w:rPr/>
              <w:t>​</w:t>
            </w:r>
          </w:p>
        </w:tc>
        <w:tc>
          <w:tcPr>
            <w:tcW w:w="95" w:type="dxa"/>
            <w:tcBorders>
              <w:bottom w:val="single" w:sz="8" w:space="0" w:color="000000"/>
            </w:tcBorders>
            <w:shd w:fill="FFFFFF" w:val="clear"/>
            <w:tcMar>
              <w:bottom w:w="28" w:type="dxa"/>
            </w:tcMar>
            <w:vAlign w:val="bottom"/>
          </w:tcPr>
          <w:p>
            <w:pPr>
              <w:pStyle w:val="TableContents"/>
              <w:spacing w:before="0" w:after="283"/>
              <w:rPr/>
            </w:pPr>
            <w:r>
              <w:rPr/>
              <w:t xml:space="preserve">​ </w:t>
            </w:r>
          </w:p>
        </w:tc>
        <w:tc>
          <w:tcPr>
            <w:tcW w:w="760" w:type="dxa"/>
            <w:tcBorders>
              <w:bottom w:val="single" w:sz="8" w:space="0" w:color="000000"/>
            </w:tcBorders>
            <w:shd w:fill="FFFFFF" w:val="clear"/>
            <w:tcMar>
              <w:bottom w:w="28" w:type="dxa"/>
            </w:tcMar>
            <w:vAlign w:val="bottom"/>
          </w:tcPr>
          <w:p>
            <w:pPr>
              <w:pStyle w:val="TableContents"/>
              <w:spacing w:before="0" w:after="283"/>
              <w:jc w:val="right"/>
              <w:rPr/>
            </w:pPr>
            <w:r>
              <w:rPr/>
              <w:t xml:space="preserve">​ </w:t>
            </w:r>
          </w:p>
        </w:tc>
        <w:tc>
          <w:tcPr>
            <w:tcW w:w="146" w:type="dxa"/>
            <w:tcBorders/>
            <w:shd w:fill="FFFFFF" w:val="clear"/>
            <w:vAlign w:val="bottom"/>
          </w:tcPr>
          <w:p>
            <w:pPr>
              <w:pStyle w:val="TableContents"/>
              <w:spacing w:before="0" w:after="283"/>
              <w:rPr/>
            </w:pPr>
            <w:r>
              <w:rPr/>
              <w:t>​</w:t>
            </w:r>
          </w:p>
        </w:tc>
        <w:tc>
          <w:tcPr>
            <w:tcW w:w="95" w:type="dxa"/>
            <w:tcBorders>
              <w:bottom w:val="single" w:sz="8" w:space="0" w:color="000000"/>
            </w:tcBorders>
            <w:shd w:fill="FFFFFF" w:val="clear"/>
            <w:tcMar>
              <w:bottom w:w="28" w:type="dxa"/>
            </w:tcMar>
            <w:vAlign w:val="bottom"/>
          </w:tcPr>
          <w:p>
            <w:pPr>
              <w:pStyle w:val="TableContents"/>
              <w:spacing w:before="0" w:after="283"/>
              <w:rPr/>
            </w:pPr>
            <w:r>
              <w:rPr/>
              <w:t xml:space="preserve">​ </w:t>
            </w:r>
          </w:p>
        </w:tc>
        <w:tc>
          <w:tcPr>
            <w:tcW w:w="560" w:type="dxa"/>
            <w:tcBorders>
              <w:bottom w:val="single" w:sz="8" w:space="0" w:color="000000"/>
            </w:tcBorders>
            <w:shd w:fill="FFFFFF" w:val="clear"/>
            <w:tcMar>
              <w:bottom w:w="28" w:type="dxa"/>
            </w:tcMar>
            <w:vAlign w:val="bottom"/>
          </w:tcPr>
          <w:p>
            <w:pPr>
              <w:pStyle w:val="TableContents"/>
              <w:spacing w:before="0" w:after="283"/>
              <w:jc w:val="right"/>
              <w:rPr/>
            </w:pPr>
            <w:r>
              <w:rPr/>
              <w:t xml:space="preserve">​ </w:t>
            </w:r>
          </w:p>
        </w:tc>
        <w:tc>
          <w:tcPr>
            <w:tcW w:w="146" w:type="dxa"/>
            <w:tcBorders/>
            <w:shd w:fill="FFFFFF" w:val="clear"/>
            <w:vAlign w:val="bottom"/>
          </w:tcPr>
          <w:p>
            <w:pPr>
              <w:pStyle w:val="TableContents"/>
              <w:spacing w:before="0" w:after="283"/>
              <w:rPr/>
            </w:pPr>
            <w:r>
              <w:rPr/>
              <w:t>​</w:t>
            </w:r>
          </w:p>
        </w:tc>
        <w:tc>
          <w:tcPr>
            <w:tcW w:w="95" w:type="dxa"/>
            <w:tcBorders>
              <w:bottom w:val="single" w:sz="8" w:space="0" w:color="000000"/>
            </w:tcBorders>
            <w:shd w:fill="FFFFFF" w:val="clear"/>
            <w:tcMar>
              <w:bottom w:w="28" w:type="dxa"/>
            </w:tcMar>
            <w:vAlign w:val="bottom"/>
          </w:tcPr>
          <w:p>
            <w:pPr>
              <w:pStyle w:val="TableContents"/>
              <w:spacing w:before="0" w:after="283"/>
              <w:rPr/>
            </w:pPr>
            <w:r>
              <w:rPr/>
              <w:t xml:space="preserve">​ </w:t>
            </w:r>
          </w:p>
        </w:tc>
        <w:tc>
          <w:tcPr>
            <w:tcW w:w="723" w:type="dxa"/>
            <w:tcBorders>
              <w:bottom w:val="single" w:sz="8" w:space="0" w:color="000000"/>
            </w:tcBorders>
            <w:shd w:fill="FFFFFF" w:val="clear"/>
            <w:tcMar>
              <w:bottom w:w="28" w:type="dxa"/>
            </w:tcMar>
            <w:vAlign w:val="bottom"/>
          </w:tcPr>
          <w:p>
            <w:pPr>
              <w:pStyle w:val="TableContents"/>
              <w:spacing w:before="0" w:after="283"/>
              <w:jc w:val="right"/>
              <w:rPr/>
            </w:pPr>
            <w:r>
              <w:rPr/>
              <w:t xml:space="preserve">​ </w:t>
            </w:r>
          </w:p>
        </w:tc>
        <w:tc>
          <w:tcPr>
            <w:tcW w:w="146" w:type="dxa"/>
            <w:tcBorders/>
            <w:shd w:fill="FFFFFF" w:val="clear"/>
            <w:vAlign w:val="bottom"/>
          </w:tcPr>
          <w:p>
            <w:pPr>
              <w:pStyle w:val="TableContents"/>
              <w:spacing w:before="0" w:after="283"/>
              <w:rPr/>
            </w:pPr>
            <w:r>
              <w:rPr/>
              <w:t>​</w:t>
            </w:r>
          </w:p>
        </w:tc>
        <w:tc>
          <w:tcPr>
            <w:tcW w:w="95" w:type="dxa"/>
            <w:tcBorders>
              <w:bottom w:val="single" w:sz="8" w:space="0" w:color="000000"/>
            </w:tcBorders>
            <w:shd w:fill="FFFFFF" w:val="clear"/>
            <w:tcMar>
              <w:bottom w:w="28" w:type="dxa"/>
            </w:tcMar>
            <w:vAlign w:val="bottom"/>
          </w:tcPr>
          <w:p>
            <w:pPr>
              <w:pStyle w:val="TableContents"/>
              <w:spacing w:before="0" w:after="283"/>
              <w:rPr/>
            </w:pPr>
            <w:r>
              <w:rPr/>
              <w:t xml:space="preserve">​ </w:t>
            </w:r>
          </w:p>
        </w:tc>
        <w:tc>
          <w:tcPr>
            <w:tcW w:w="760" w:type="dxa"/>
            <w:tcBorders>
              <w:bottom w:val="single" w:sz="8" w:space="0" w:color="000000"/>
            </w:tcBorders>
            <w:shd w:fill="FFFFFF" w:val="clear"/>
            <w:tcMar>
              <w:bottom w:w="28" w:type="dxa"/>
            </w:tcMar>
            <w:vAlign w:val="bottom"/>
          </w:tcPr>
          <w:p>
            <w:pPr>
              <w:pStyle w:val="TableContents"/>
              <w:spacing w:before="0" w:after="283"/>
              <w:jc w:val="right"/>
              <w:rPr/>
            </w:pPr>
            <w:r>
              <w:rPr/>
              <w:t xml:space="preserve">​ </w:t>
            </w:r>
          </w:p>
        </w:tc>
        <w:tc>
          <w:tcPr>
            <w:tcW w:w="146" w:type="dxa"/>
            <w:tcBorders/>
            <w:shd w:fill="FFFFFF" w:val="clear"/>
            <w:vAlign w:val="bottom"/>
          </w:tcPr>
          <w:p>
            <w:pPr>
              <w:pStyle w:val="TableContents"/>
              <w:spacing w:before="0" w:after="283"/>
              <w:rPr/>
            </w:pPr>
            <w:r>
              <w:rPr/>
              <w:t>​</w:t>
            </w:r>
          </w:p>
        </w:tc>
        <w:tc>
          <w:tcPr>
            <w:tcW w:w="95" w:type="dxa"/>
            <w:tcBorders>
              <w:bottom w:val="single" w:sz="8" w:space="0" w:color="000000"/>
            </w:tcBorders>
            <w:shd w:fill="FFFFFF" w:val="clear"/>
            <w:tcMar>
              <w:bottom w:w="28" w:type="dxa"/>
            </w:tcMar>
            <w:vAlign w:val="bottom"/>
          </w:tcPr>
          <w:p>
            <w:pPr>
              <w:pStyle w:val="TableContents"/>
              <w:spacing w:before="0" w:after="283"/>
              <w:rPr/>
            </w:pPr>
            <w:r>
              <w:rPr/>
              <w:t xml:space="preserve">​ </w:t>
            </w:r>
          </w:p>
        </w:tc>
        <w:tc>
          <w:tcPr>
            <w:tcW w:w="560" w:type="dxa"/>
            <w:tcBorders>
              <w:bottom w:val="single" w:sz="8" w:space="0" w:color="000000"/>
            </w:tcBorders>
            <w:shd w:fill="FFFFFF" w:val="clear"/>
            <w:tcMar>
              <w:bottom w:w="28" w:type="dxa"/>
            </w:tcMar>
            <w:vAlign w:val="bottom"/>
          </w:tcPr>
          <w:p>
            <w:pPr>
              <w:pStyle w:val="TableContents"/>
              <w:spacing w:before="0" w:after="283"/>
              <w:jc w:val="right"/>
              <w:rPr/>
            </w:pPr>
            <w:r>
              <w:rPr/>
              <w:t xml:space="preserve">​ </w:t>
            </w:r>
          </w:p>
        </w:tc>
        <w:tc>
          <w:tcPr>
            <w:tcW w:w="156" w:type="dxa"/>
            <w:tcBorders/>
            <w:shd w:fill="FFFFFF" w:val="clear"/>
            <w:vAlign w:val="bottom"/>
          </w:tcPr>
          <w:p>
            <w:pPr>
              <w:pStyle w:val="TableContents"/>
              <w:spacing w:before="0" w:after="283"/>
              <w:rPr/>
            </w:pPr>
            <w:r>
              <w:rPr/>
              <w:t xml:space="preserve">​ </w:t>
            </w:r>
          </w:p>
        </w:tc>
      </w:tr>
    </w:tbl>
    <w:p>
      <w:pPr>
        <w:pStyle w:val="TextBody"/>
        <w:jc w:val="center"/>
        <w:rPr>
          <w:rFonts w:ascii="times" w:hAnsi="times"/>
          <w:sz w:val="20"/>
        </w:rPr>
      </w:pPr>
      <w:r>
        <w:rPr>
          <w:rFonts w:ascii="times" w:hAnsi="times"/>
          <w:sz w:val="20"/>
        </w:rPr>
        <w:t>S-17</w:t>
      </w:r>
    </w:p>
    <w:p>
      <w:pPr>
        <w:pStyle w:val="HorizontalLine"/>
        <w:pBdr>
          <w:bottom w:val="single" w:sz="20" w:space="0" w:color="808080"/>
        </w:pBdr>
        <w:rPr/>
      </w:pPr>
      <w:r>
        <w:rPr/>
      </w:r>
      <w:r>
        <w:br w:type="page"/>
      </w:r>
    </w:p>
    <w:p>
      <w:pPr>
        <w:pStyle w:val="TextBody"/>
        <w:rPr/>
      </w:pPr>
      <w:hyperlink w:anchor="bE43504A_main_toc">
        <w:bookmarkStart w:id="54" w:name="page_bm43504_1_18"/>
        <w:bookmarkEnd w:id="54"/>
        <w:r>
          <w:rPr>
            <w:rStyle w:val="InternetLink"/>
            <w:rFonts w:ascii="times" w:hAnsi="times"/>
            <w:sz w:val="20"/>
          </w:rPr>
          <w:t>Table of Contents</w:t>
        </w:r>
      </w:hyperlink>
    </w:p>
    <w:p>
      <w:pPr>
        <w:pStyle w:val="TextBody"/>
        <w:jc w:val="left"/>
        <w:rPr>
          <w:sz w:val="20"/>
        </w:rPr>
      </w:pPr>
      <w:r>
        <w:rPr>
          <w:sz w:val="20"/>
        </w:rPr>
      </w:r>
    </w:p>
    <w:tbl>
      <w:tblPr>
        <w:tblW w:w="5000" w:type="pct"/>
        <w:jc w:val="center"/>
        <w:tblInd w:w="0" w:type="dxa"/>
        <w:tblCellMar>
          <w:top w:w="0" w:type="dxa"/>
          <w:left w:w="0" w:type="dxa"/>
          <w:bottom w:w="0" w:type="dxa"/>
          <w:right w:w="0" w:type="dxa"/>
        </w:tblCellMar>
      </w:tblPr>
      <w:tblGrid>
        <w:gridCol w:w="2264"/>
        <w:gridCol w:w="187"/>
        <w:gridCol w:w="99"/>
        <w:gridCol w:w="1012"/>
        <w:gridCol w:w="187"/>
        <w:gridCol w:w="99"/>
        <w:gridCol w:w="1013"/>
        <w:gridCol w:w="187"/>
        <w:gridCol w:w="98"/>
        <w:gridCol w:w="1013"/>
        <w:gridCol w:w="187"/>
        <w:gridCol w:w="62"/>
        <w:gridCol w:w="1013"/>
        <w:gridCol w:w="187"/>
        <w:gridCol w:w="99"/>
        <w:gridCol w:w="1012"/>
        <w:gridCol w:w="187"/>
        <w:gridCol w:w="99"/>
        <w:gridCol w:w="1013"/>
        <w:gridCol w:w="187"/>
      </w:tblGrid>
      <w:tr>
        <w:trPr/>
        <w:tc>
          <w:tcPr>
            <w:tcW w:w="2264" w:type="dxa"/>
            <w:tcBorders/>
            <w:shd w:fill="auto" w:val="clear"/>
            <w:vAlign w:val="center"/>
          </w:tcPr>
          <w:p>
            <w:pPr>
              <w:pStyle w:val="TableContents"/>
              <w:spacing w:before="0" w:after="283"/>
              <w:rPr>
                <w:sz w:val="4"/>
                <w:szCs w:val="4"/>
              </w:rPr>
            </w:pPr>
            <w:r>
              <w:rPr>
                <w:sz w:val="4"/>
                <w:szCs w:val="4"/>
              </w:rPr>
            </w:r>
          </w:p>
        </w:tc>
        <w:tc>
          <w:tcPr>
            <w:tcW w:w="187" w:type="dxa"/>
            <w:tcBorders/>
            <w:shd w:fill="auto" w:val="clear"/>
            <w:vAlign w:val="center"/>
          </w:tcPr>
          <w:p>
            <w:pPr>
              <w:pStyle w:val="TableContents"/>
              <w:spacing w:before="0" w:after="283"/>
              <w:rPr>
                <w:sz w:val="4"/>
                <w:szCs w:val="4"/>
              </w:rPr>
            </w:pPr>
            <w:r>
              <w:rPr>
                <w:sz w:val="4"/>
                <w:szCs w:val="4"/>
              </w:rPr>
            </w:r>
          </w:p>
        </w:tc>
        <w:tc>
          <w:tcPr>
            <w:tcW w:w="99" w:type="dxa"/>
            <w:tcBorders/>
            <w:shd w:fill="auto" w:val="clear"/>
            <w:vAlign w:val="center"/>
          </w:tcPr>
          <w:p>
            <w:pPr>
              <w:pStyle w:val="TableContents"/>
              <w:spacing w:before="0" w:after="283"/>
              <w:rPr>
                <w:sz w:val="4"/>
                <w:szCs w:val="4"/>
              </w:rPr>
            </w:pPr>
            <w:r>
              <w:rPr>
                <w:sz w:val="4"/>
                <w:szCs w:val="4"/>
              </w:rPr>
            </w:r>
          </w:p>
        </w:tc>
        <w:tc>
          <w:tcPr>
            <w:tcW w:w="1012" w:type="dxa"/>
            <w:tcBorders/>
            <w:shd w:fill="auto" w:val="clear"/>
            <w:vAlign w:val="center"/>
          </w:tcPr>
          <w:p>
            <w:pPr>
              <w:pStyle w:val="TableContents"/>
              <w:spacing w:before="0" w:after="283"/>
              <w:rPr>
                <w:sz w:val="4"/>
                <w:szCs w:val="4"/>
              </w:rPr>
            </w:pPr>
            <w:r>
              <w:rPr>
                <w:sz w:val="4"/>
                <w:szCs w:val="4"/>
              </w:rPr>
            </w:r>
          </w:p>
        </w:tc>
        <w:tc>
          <w:tcPr>
            <w:tcW w:w="187" w:type="dxa"/>
            <w:tcBorders/>
            <w:shd w:fill="auto" w:val="clear"/>
            <w:vAlign w:val="center"/>
          </w:tcPr>
          <w:p>
            <w:pPr>
              <w:pStyle w:val="TableContents"/>
              <w:spacing w:before="0" w:after="283"/>
              <w:rPr>
                <w:sz w:val="4"/>
                <w:szCs w:val="4"/>
              </w:rPr>
            </w:pPr>
            <w:r>
              <w:rPr>
                <w:sz w:val="4"/>
                <w:szCs w:val="4"/>
              </w:rPr>
            </w:r>
          </w:p>
        </w:tc>
        <w:tc>
          <w:tcPr>
            <w:tcW w:w="99" w:type="dxa"/>
            <w:tcBorders/>
            <w:shd w:fill="auto" w:val="clear"/>
            <w:vAlign w:val="center"/>
          </w:tcPr>
          <w:p>
            <w:pPr>
              <w:pStyle w:val="TableContents"/>
              <w:spacing w:before="0" w:after="283"/>
              <w:rPr>
                <w:sz w:val="4"/>
                <w:szCs w:val="4"/>
              </w:rPr>
            </w:pPr>
            <w:r>
              <w:rPr>
                <w:sz w:val="4"/>
                <w:szCs w:val="4"/>
              </w:rPr>
            </w:r>
          </w:p>
        </w:tc>
        <w:tc>
          <w:tcPr>
            <w:tcW w:w="1013" w:type="dxa"/>
            <w:tcBorders/>
            <w:shd w:fill="auto" w:val="clear"/>
            <w:vAlign w:val="center"/>
          </w:tcPr>
          <w:p>
            <w:pPr>
              <w:pStyle w:val="TableContents"/>
              <w:spacing w:before="0" w:after="283"/>
              <w:rPr>
                <w:sz w:val="4"/>
                <w:szCs w:val="4"/>
              </w:rPr>
            </w:pPr>
            <w:r>
              <w:rPr>
                <w:sz w:val="4"/>
                <w:szCs w:val="4"/>
              </w:rPr>
            </w:r>
          </w:p>
        </w:tc>
        <w:tc>
          <w:tcPr>
            <w:tcW w:w="187" w:type="dxa"/>
            <w:tcBorders/>
            <w:shd w:fill="auto" w:val="clear"/>
            <w:vAlign w:val="center"/>
          </w:tcPr>
          <w:p>
            <w:pPr>
              <w:pStyle w:val="TableContents"/>
              <w:spacing w:before="0" w:after="283"/>
              <w:rPr>
                <w:sz w:val="4"/>
                <w:szCs w:val="4"/>
              </w:rPr>
            </w:pPr>
            <w:r>
              <w:rPr>
                <w:sz w:val="4"/>
                <w:szCs w:val="4"/>
              </w:rPr>
            </w:r>
          </w:p>
        </w:tc>
        <w:tc>
          <w:tcPr>
            <w:tcW w:w="98" w:type="dxa"/>
            <w:tcBorders/>
            <w:shd w:fill="auto" w:val="clear"/>
            <w:vAlign w:val="center"/>
          </w:tcPr>
          <w:p>
            <w:pPr>
              <w:pStyle w:val="TableContents"/>
              <w:spacing w:before="0" w:after="283"/>
              <w:rPr>
                <w:sz w:val="4"/>
                <w:szCs w:val="4"/>
              </w:rPr>
            </w:pPr>
            <w:r>
              <w:rPr>
                <w:sz w:val="4"/>
                <w:szCs w:val="4"/>
              </w:rPr>
            </w:r>
          </w:p>
        </w:tc>
        <w:tc>
          <w:tcPr>
            <w:tcW w:w="1013" w:type="dxa"/>
            <w:tcBorders/>
            <w:shd w:fill="auto" w:val="clear"/>
            <w:vAlign w:val="center"/>
          </w:tcPr>
          <w:p>
            <w:pPr>
              <w:pStyle w:val="TableContents"/>
              <w:spacing w:before="0" w:after="283"/>
              <w:rPr>
                <w:sz w:val="4"/>
                <w:szCs w:val="4"/>
              </w:rPr>
            </w:pPr>
            <w:r>
              <w:rPr>
                <w:sz w:val="4"/>
                <w:szCs w:val="4"/>
              </w:rPr>
            </w:r>
          </w:p>
        </w:tc>
        <w:tc>
          <w:tcPr>
            <w:tcW w:w="187" w:type="dxa"/>
            <w:tcBorders/>
            <w:shd w:fill="auto" w:val="clear"/>
            <w:vAlign w:val="center"/>
          </w:tcPr>
          <w:p>
            <w:pPr>
              <w:pStyle w:val="TableContents"/>
              <w:spacing w:before="0" w:after="283"/>
              <w:rPr>
                <w:sz w:val="4"/>
                <w:szCs w:val="4"/>
              </w:rPr>
            </w:pPr>
            <w:r>
              <w:rPr>
                <w:sz w:val="4"/>
                <w:szCs w:val="4"/>
              </w:rPr>
            </w:r>
          </w:p>
        </w:tc>
        <w:tc>
          <w:tcPr>
            <w:tcW w:w="62" w:type="dxa"/>
            <w:tcBorders/>
            <w:shd w:fill="auto" w:val="clear"/>
            <w:vAlign w:val="center"/>
          </w:tcPr>
          <w:p>
            <w:pPr>
              <w:pStyle w:val="TableContents"/>
              <w:spacing w:before="0" w:after="283"/>
              <w:rPr>
                <w:sz w:val="4"/>
                <w:szCs w:val="4"/>
              </w:rPr>
            </w:pPr>
            <w:r>
              <w:rPr>
                <w:sz w:val="4"/>
                <w:szCs w:val="4"/>
              </w:rPr>
            </w:r>
          </w:p>
        </w:tc>
        <w:tc>
          <w:tcPr>
            <w:tcW w:w="1013" w:type="dxa"/>
            <w:tcBorders/>
            <w:shd w:fill="auto" w:val="clear"/>
            <w:vAlign w:val="center"/>
          </w:tcPr>
          <w:p>
            <w:pPr>
              <w:pStyle w:val="TableContents"/>
              <w:spacing w:before="0" w:after="283"/>
              <w:rPr>
                <w:sz w:val="4"/>
                <w:szCs w:val="4"/>
              </w:rPr>
            </w:pPr>
            <w:r>
              <w:rPr>
                <w:sz w:val="4"/>
                <w:szCs w:val="4"/>
              </w:rPr>
            </w:r>
          </w:p>
        </w:tc>
        <w:tc>
          <w:tcPr>
            <w:tcW w:w="187" w:type="dxa"/>
            <w:tcBorders/>
            <w:shd w:fill="auto" w:val="clear"/>
            <w:vAlign w:val="center"/>
          </w:tcPr>
          <w:p>
            <w:pPr>
              <w:pStyle w:val="TableContents"/>
              <w:spacing w:before="0" w:after="283"/>
              <w:rPr>
                <w:sz w:val="4"/>
                <w:szCs w:val="4"/>
              </w:rPr>
            </w:pPr>
            <w:r>
              <w:rPr>
                <w:sz w:val="4"/>
                <w:szCs w:val="4"/>
              </w:rPr>
            </w:r>
          </w:p>
        </w:tc>
        <w:tc>
          <w:tcPr>
            <w:tcW w:w="99" w:type="dxa"/>
            <w:tcBorders/>
            <w:shd w:fill="auto" w:val="clear"/>
            <w:vAlign w:val="center"/>
          </w:tcPr>
          <w:p>
            <w:pPr>
              <w:pStyle w:val="TableContents"/>
              <w:spacing w:before="0" w:after="283"/>
              <w:rPr>
                <w:sz w:val="4"/>
                <w:szCs w:val="4"/>
              </w:rPr>
            </w:pPr>
            <w:r>
              <w:rPr>
                <w:sz w:val="4"/>
                <w:szCs w:val="4"/>
              </w:rPr>
            </w:r>
          </w:p>
        </w:tc>
        <w:tc>
          <w:tcPr>
            <w:tcW w:w="1012" w:type="dxa"/>
            <w:tcBorders/>
            <w:shd w:fill="auto" w:val="clear"/>
            <w:vAlign w:val="center"/>
          </w:tcPr>
          <w:p>
            <w:pPr>
              <w:pStyle w:val="TableContents"/>
              <w:spacing w:before="0" w:after="283"/>
              <w:rPr>
                <w:sz w:val="4"/>
                <w:szCs w:val="4"/>
              </w:rPr>
            </w:pPr>
            <w:r>
              <w:rPr>
                <w:sz w:val="4"/>
                <w:szCs w:val="4"/>
              </w:rPr>
            </w:r>
          </w:p>
        </w:tc>
        <w:tc>
          <w:tcPr>
            <w:tcW w:w="187" w:type="dxa"/>
            <w:tcBorders/>
            <w:shd w:fill="auto" w:val="clear"/>
            <w:vAlign w:val="center"/>
          </w:tcPr>
          <w:p>
            <w:pPr>
              <w:pStyle w:val="TableContents"/>
              <w:spacing w:before="0" w:after="283"/>
              <w:rPr>
                <w:sz w:val="4"/>
                <w:szCs w:val="4"/>
              </w:rPr>
            </w:pPr>
            <w:r>
              <w:rPr>
                <w:sz w:val="4"/>
                <w:szCs w:val="4"/>
              </w:rPr>
            </w:r>
          </w:p>
        </w:tc>
        <w:tc>
          <w:tcPr>
            <w:tcW w:w="99" w:type="dxa"/>
            <w:tcBorders/>
            <w:shd w:fill="auto" w:val="clear"/>
            <w:vAlign w:val="center"/>
          </w:tcPr>
          <w:p>
            <w:pPr>
              <w:pStyle w:val="TableContents"/>
              <w:spacing w:before="0" w:after="283"/>
              <w:rPr>
                <w:sz w:val="4"/>
                <w:szCs w:val="4"/>
              </w:rPr>
            </w:pPr>
            <w:r>
              <w:rPr>
                <w:sz w:val="4"/>
                <w:szCs w:val="4"/>
              </w:rPr>
            </w:r>
          </w:p>
        </w:tc>
        <w:tc>
          <w:tcPr>
            <w:tcW w:w="1013" w:type="dxa"/>
            <w:tcBorders/>
            <w:shd w:fill="auto" w:val="clear"/>
            <w:vAlign w:val="center"/>
          </w:tcPr>
          <w:p>
            <w:pPr>
              <w:pStyle w:val="TableContents"/>
              <w:spacing w:before="0" w:after="283"/>
              <w:rPr>
                <w:sz w:val="4"/>
                <w:szCs w:val="4"/>
              </w:rPr>
            </w:pPr>
            <w:r>
              <w:rPr>
                <w:sz w:val="4"/>
                <w:szCs w:val="4"/>
              </w:rPr>
            </w:r>
          </w:p>
        </w:tc>
        <w:tc>
          <w:tcPr>
            <w:tcW w:w="187" w:type="dxa"/>
            <w:tcBorders/>
            <w:shd w:fill="auto" w:val="clear"/>
            <w:vAlign w:val="center"/>
          </w:tcPr>
          <w:p>
            <w:pPr>
              <w:pStyle w:val="TableContents"/>
              <w:spacing w:before="0" w:after="283"/>
              <w:rPr>
                <w:sz w:val="4"/>
                <w:szCs w:val="4"/>
              </w:rPr>
            </w:pPr>
            <w:r>
              <w:rPr>
                <w:sz w:val="4"/>
                <w:szCs w:val="4"/>
              </w:rPr>
            </w:r>
          </w:p>
        </w:tc>
      </w:tr>
      <w:tr>
        <w:trPr/>
        <w:tc>
          <w:tcPr>
            <w:tcW w:w="2264" w:type="dxa"/>
            <w:tcBorders/>
            <w:shd w:fill="auto" w:val="clear"/>
            <w:vAlign w:val="bottom"/>
          </w:tcPr>
          <w:p>
            <w:pPr>
              <w:pStyle w:val="TableHeading"/>
              <w:spacing w:before="0" w:after="283"/>
              <w:jc w:val="left"/>
              <w:rPr/>
            </w:pPr>
            <w:r>
              <w:rPr/>
              <w:t> </w:t>
            </w:r>
          </w:p>
        </w:tc>
        <w:tc>
          <w:tcPr>
            <w:tcW w:w="187" w:type="dxa"/>
            <w:tcBorders/>
            <w:shd w:fill="auto" w:val="clear"/>
            <w:vAlign w:val="bottom"/>
          </w:tcPr>
          <w:p>
            <w:pPr>
              <w:pStyle w:val="TableHeading"/>
              <w:suppressLineNumbers/>
              <w:spacing w:before="0" w:after="283"/>
              <w:jc w:val="center"/>
              <w:rPr/>
            </w:pPr>
            <w:r>
              <w:rPr/>
              <w:t> </w:t>
            </w:r>
          </w:p>
        </w:tc>
        <w:tc>
          <w:tcPr>
            <w:tcW w:w="3708" w:type="dxa"/>
            <w:gridSpan w:val="8"/>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Year ended December 31, 2019 </w:t>
            </w:r>
          </w:p>
        </w:tc>
        <w:tc>
          <w:tcPr>
            <w:tcW w:w="187" w:type="dxa"/>
            <w:tcBorders/>
            <w:shd w:fill="auto" w:val="clear"/>
            <w:vAlign w:val="bottom"/>
          </w:tcPr>
          <w:p>
            <w:pPr>
              <w:pStyle w:val="TableHeading"/>
              <w:suppressLineNumbers/>
              <w:spacing w:before="0" w:after="283"/>
              <w:jc w:val="center"/>
              <w:rPr/>
            </w:pPr>
            <w:r>
              <w:rPr/>
              <w:t> </w:t>
            </w:r>
          </w:p>
        </w:tc>
        <w:tc>
          <w:tcPr>
            <w:tcW w:w="3672" w:type="dxa"/>
            <w:gridSpan w:val="8"/>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Year ended December 31, 2020 </w:t>
            </w:r>
          </w:p>
        </w:tc>
        <w:tc>
          <w:tcPr>
            <w:tcW w:w="187" w:type="dxa"/>
            <w:tcBorders/>
            <w:shd w:fill="auto" w:val="clear"/>
            <w:vAlign w:val="bottom"/>
          </w:tcPr>
          <w:p>
            <w:pPr>
              <w:pStyle w:val="TableHeading"/>
              <w:suppressLineNumbers/>
              <w:spacing w:before="0" w:after="283"/>
              <w:jc w:val="center"/>
              <w:rPr/>
            </w:pPr>
            <w:r>
              <w:rPr/>
              <w:t> </w:t>
            </w:r>
          </w:p>
        </w:tc>
      </w:tr>
      <w:tr>
        <w:trPr/>
        <w:tc>
          <w:tcPr>
            <w:tcW w:w="2264" w:type="dxa"/>
            <w:tcBorders/>
            <w:shd w:fill="auto" w:val="clear"/>
            <w:vAlign w:val="bottom"/>
          </w:tcPr>
          <w:p>
            <w:pPr>
              <w:pStyle w:val="TableHeading"/>
              <w:spacing w:before="0" w:after="283"/>
              <w:jc w:val="left"/>
              <w:rPr/>
            </w:pPr>
            <w:r>
              <w:rPr/>
              <w:t> </w:t>
            </w:r>
          </w:p>
        </w:tc>
        <w:tc>
          <w:tcPr>
            <w:tcW w:w="187" w:type="dxa"/>
            <w:tcBorders/>
            <w:shd w:fill="auto" w:val="clear"/>
            <w:vAlign w:val="bottom"/>
          </w:tcPr>
          <w:p>
            <w:pPr>
              <w:pStyle w:val="TableHeading"/>
              <w:suppressLineNumbers/>
              <w:spacing w:before="0" w:after="283"/>
              <w:jc w:val="center"/>
              <w:rPr/>
            </w:pPr>
            <w:r>
              <w:rPr/>
              <w:t> </w:t>
            </w:r>
          </w:p>
        </w:tc>
        <w:tc>
          <w:tcPr>
            <w:tcW w:w="1111" w:type="dxa"/>
            <w:gridSpan w:val="2"/>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Results</w:t>
              <w:br/>
              <w:t>Attributable</w:t>
              <w:br/>
              <w:t xml:space="preserve">to GasLog </w:t>
            </w:r>
          </w:p>
        </w:tc>
        <w:tc>
          <w:tcPr>
            <w:tcW w:w="187" w:type="dxa"/>
            <w:tcBorders/>
            <w:shd w:fill="auto" w:val="clear"/>
            <w:vAlign w:val="bottom"/>
          </w:tcPr>
          <w:p>
            <w:pPr>
              <w:pStyle w:val="TableHeading"/>
              <w:suppressLineNumbers/>
              <w:spacing w:before="0" w:after="283"/>
              <w:jc w:val="center"/>
              <w:rPr/>
            </w:pPr>
            <w:r>
              <w:rPr/>
              <w:t> </w:t>
            </w:r>
          </w:p>
        </w:tc>
        <w:tc>
          <w:tcPr>
            <w:tcW w:w="1112" w:type="dxa"/>
            <w:gridSpan w:val="2"/>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Partnership</w:t>
              <w:br/>
              <w:t>Performance</w:t>
              <w:br/>
              <w:t xml:space="preserve">Results </w:t>
            </w:r>
          </w:p>
        </w:tc>
        <w:tc>
          <w:tcPr>
            <w:tcW w:w="187" w:type="dxa"/>
            <w:tcBorders/>
            <w:shd w:fill="auto" w:val="clear"/>
            <w:vAlign w:val="bottom"/>
          </w:tcPr>
          <w:p>
            <w:pPr>
              <w:pStyle w:val="TableHeading"/>
              <w:suppressLineNumbers/>
              <w:spacing w:before="0" w:after="283"/>
              <w:jc w:val="center"/>
              <w:rPr/>
            </w:pPr>
            <w:r>
              <w:rPr/>
              <w:t> </w:t>
            </w:r>
          </w:p>
        </w:tc>
        <w:tc>
          <w:tcPr>
            <w:tcW w:w="1111" w:type="dxa"/>
            <w:gridSpan w:val="2"/>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IFRS</w:t>
              <w:br/>
              <w:t>Common</w:t>
              <w:br/>
              <w:t>Control</w:t>
              <w:br/>
              <w:t>Reported</w:t>
              <w:br/>
              <w:t xml:space="preserve">Results </w:t>
            </w:r>
          </w:p>
        </w:tc>
        <w:tc>
          <w:tcPr>
            <w:tcW w:w="187" w:type="dxa"/>
            <w:tcBorders/>
            <w:shd w:fill="auto" w:val="clear"/>
            <w:vAlign w:val="bottom"/>
          </w:tcPr>
          <w:p>
            <w:pPr>
              <w:pStyle w:val="TableHeading"/>
              <w:suppressLineNumbers/>
              <w:spacing w:before="0" w:after="283"/>
              <w:jc w:val="center"/>
              <w:rPr/>
            </w:pPr>
            <w:r>
              <w:rPr/>
              <w:t> </w:t>
            </w:r>
          </w:p>
        </w:tc>
        <w:tc>
          <w:tcPr>
            <w:tcW w:w="1075" w:type="dxa"/>
            <w:gridSpan w:val="2"/>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Results</w:t>
              <w:br/>
              <w:t>Attributable</w:t>
              <w:br/>
              <w:t xml:space="preserve">to GasLog </w:t>
            </w:r>
          </w:p>
        </w:tc>
        <w:tc>
          <w:tcPr>
            <w:tcW w:w="187" w:type="dxa"/>
            <w:tcBorders/>
            <w:shd w:fill="auto" w:val="clear"/>
            <w:vAlign w:val="bottom"/>
          </w:tcPr>
          <w:p>
            <w:pPr>
              <w:pStyle w:val="TableHeading"/>
              <w:suppressLineNumbers/>
              <w:spacing w:before="0" w:after="283"/>
              <w:jc w:val="center"/>
              <w:rPr/>
            </w:pPr>
            <w:r>
              <w:rPr/>
              <w:t> </w:t>
            </w:r>
          </w:p>
        </w:tc>
        <w:tc>
          <w:tcPr>
            <w:tcW w:w="1111" w:type="dxa"/>
            <w:gridSpan w:val="2"/>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Partnership</w:t>
              <w:br/>
              <w:t>Performance</w:t>
              <w:br/>
              <w:t xml:space="preserve">Results </w:t>
            </w:r>
          </w:p>
        </w:tc>
        <w:tc>
          <w:tcPr>
            <w:tcW w:w="187" w:type="dxa"/>
            <w:tcBorders/>
            <w:shd w:fill="auto" w:val="clear"/>
            <w:vAlign w:val="bottom"/>
          </w:tcPr>
          <w:p>
            <w:pPr>
              <w:pStyle w:val="TableHeading"/>
              <w:suppressLineNumbers/>
              <w:spacing w:before="0" w:after="283"/>
              <w:jc w:val="center"/>
              <w:rPr/>
            </w:pPr>
            <w:r>
              <w:rPr/>
              <w:t> </w:t>
            </w:r>
          </w:p>
        </w:tc>
        <w:tc>
          <w:tcPr>
            <w:tcW w:w="1112" w:type="dxa"/>
            <w:gridSpan w:val="2"/>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IFRS</w:t>
              <w:br/>
              <w:t>Common</w:t>
              <w:br/>
              <w:t>Control</w:t>
              <w:br/>
              <w:t>Reported</w:t>
              <w:br/>
              <w:t xml:space="preserve">Results </w:t>
            </w:r>
          </w:p>
        </w:tc>
        <w:tc>
          <w:tcPr>
            <w:tcW w:w="187" w:type="dxa"/>
            <w:tcBorders/>
            <w:shd w:fill="auto" w:val="clear"/>
            <w:vAlign w:val="bottom"/>
          </w:tcPr>
          <w:p>
            <w:pPr>
              <w:pStyle w:val="TableHeading"/>
              <w:suppressLineNumbers/>
              <w:spacing w:before="0" w:after="283"/>
              <w:jc w:val="center"/>
              <w:rPr/>
            </w:pPr>
            <w:r>
              <w:rPr/>
              <w:t> </w:t>
            </w:r>
          </w:p>
        </w:tc>
      </w:tr>
      <w:tr>
        <w:trPr/>
        <w:tc>
          <w:tcPr>
            <w:tcW w:w="2264" w:type="dxa"/>
            <w:tcBorders/>
            <w:shd w:fill="auto" w:val="clear"/>
            <w:vAlign w:val="bottom"/>
          </w:tcPr>
          <w:p>
            <w:pPr>
              <w:pStyle w:val="TableHeading"/>
              <w:spacing w:before="0" w:after="283"/>
              <w:jc w:val="left"/>
              <w:rPr/>
            </w:pPr>
            <w:r>
              <w:rPr/>
              <w:t> </w:t>
            </w:r>
          </w:p>
        </w:tc>
        <w:tc>
          <w:tcPr>
            <w:tcW w:w="187" w:type="dxa"/>
            <w:tcBorders/>
            <w:shd w:fill="auto" w:val="clear"/>
            <w:vAlign w:val="bottom"/>
          </w:tcPr>
          <w:p>
            <w:pPr>
              <w:pStyle w:val="TableHeading"/>
              <w:suppressLineNumbers/>
              <w:spacing w:before="0" w:after="283"/>
              <w:jc w:val="center"/>
              <w:rPr/>
            </w:pPr>
            <w:r>
              <w:rPr/>
              <w:t> </w:t>
            </w:r>
          </w:p>
        </w:tc>
        <w:tc>
          <w:tcPr>
            <w:tcW w:w="1111" w:type="dxa"/>
            <w:gridSpan w:val="2"/>
            <w:tcBorders/>
            <w:shd w:fill="auto" w:val="clear"/>
            <w:vAlign w:val="bottom"/>
          </w:tcPr>
          <w:p>
            <w:pPr>
              <w:pStyle w:val="TableHeading"/>
              <w:spacing w:before="0" w:after="283"/>
              <w:jc w:val="left"/>
              <w:rPr/>
            </w:pPr>
            <w:r>
              <w:rPr/>
              <w:t> </w:t>
            </w:r>
          </w:p>
        </w:tc>
        <w:tc>
          <w:tcPr>
            <w:tcW w:w="187" w:type="dxa"/>
            <w:tcBorders/>
            <w:shd w:fill="auto" w:val="clear"/>
            <w:vAlign w:val="bottom"/>
          </w:tcPr>
          <w:p>
            <w:pPr>
              <w:pStyle w:val="TableHeading"/>
              <w:suppressLineNumbers/>
              <w:spacing w:before="0" w:after="283"/>
              <w:jc w:val="center"/>
              <w:rPr/>
            </w:pPr>
            <w:r>
              <w:rPr/>
              <w:t> </w:t>
            </w:r>
          </w:p>
        </w:tc>
        <w:tc>
          <w:tcPr>
            <w:tcW w:w="3672" w:type="dxa"/>
            <w:gridSpan w:val="8"/>
            <w:tcBorders/>
            <w:shd w:fill="auto" w:val="clear"/>
            <w:vAlign w:val="bottom"/>
          </w:tcPr>
          <w:p>
            <w:pPr>
              <w:pStyle w:val="TableHeading"/>
              <w:spacing w:before="0" w:after="283"/>
              <w:jc w:val="center"/>
              <w:rPr>
                <w:rFonts w:ascii="times" w:hAnsi="times"/>
                <w:b/>
                <w:sz w:val="14"/>
              </w:rPr>
            </w:pPr>
            <w:r>
              <w:rPr>
                <w:rFonts w:ascii="times" w:hAnsi="times"/>
                <w:b/>
                <w:sz w:val="14"/>
              </w:rPr>
              <w:t>(In thousands of U.S. dollars)</w:t>
            </w:r>
          </w:p>
        </w:tc>
        <w:tc>
          <w:tcPr>
            <w:tcW w:w="187" w:type="dxa"/>
            <w:tcBorders/>
            <w:shd w:fill="auto" w:val="clear"/>
            <w:vAlign w:val="bottom"/>
          </w:tcPr>
          <w:p>
            <w:pPr>
              <w:pStyle w:val="TableHeading"/>
              <w:suppressLineNumbers/>
              <w:spacing w:before="0" w:after="283"/>
              <w:jc w:val="center"/>
              <w:rPr/>
            </w:pPr>
            <w:r>
              <w:rPr/>
              <w:t> </w:t>
            </w:r>
          </w:p>
        </w:tc>
        <w:tc>
          <w:tcPr>
            <w:tcW w:w="1111" w:type="dxa"/>
            <w:gridSpan w:val="2"/>
            <w:tcBorders/>
            <w:shd w:fill="auto" w:val="clear"/>
            <w:vAlign w:val="bottom"/>
          </w:tcPr>
          <w:p>
            <w:pPr>
              <w:pStyle w:val="TableHeading"/>
              <w:spacing w:before="0" w:after="283"/>
              <w:jc w:val="left"/>
              <w:rPr/>
            </w:pPr>
            <w:r>
              <w:rPr/>
              <w:t> </w:t>
            </w:r>
          </w:p>
        </w:tc>
        <w:tc>
          <w:tcPr>
            <w:tcW w:w="187" w:type="dxa"/>
            <w:tcBorders/>
            <w:shd w:fill="auto" w:val="clear"/>
            <w:vAlign w:val="bottom"/>
          </w:tcPr>
          <w:p>
            <w:pPr>
              <w:pStyle w:val="TableHeading"/>
              <w:suppressLineNumbers/>
              <w:spacing w:before="0" w:after="283"/>
              <w:jc w:val="center"/>
              <w:rPr/>
            </w:pPr>
            <w:r>
              <w:rPr/>
              <w:t> </w:t>
            </w:r>
          </w:p>
        </w:tc>
        <w:tc>
          <w:tcPr>
            <w:tcW w:w="1112" w:type="dxa"/>
            <w:gridSpan w:val="2"/>
            <w:tcBorders/>
            <w:shd w:fill="auto" w:val="clear"/>
            <w:vAlign w:val="bottom"/>
          </w:tcPr>
          <w:p>
            <w:pPr>
              <w:pStyle w:val="TableHeading"/>
              <w:spacing w:before="0" w:after="283"/>
              <w:jc w:val="left"/>
              <w:rPr/>
            </w:pPr>
            <w:r>
              <w:rPr/>
              <w:t> </w:t>
            </w:r>
          </w:p>
        </w:tc>
        <w:tc>
          <w:tcPr>
            <w:tcW w:w="187" w:type="dxa"/>
            <w:tcBorders/>
            <w:shd w:fill="auto" w:val="clear"/>
            <w:vAlign w:val="bottom"/>
          </w:tcPr>
          <w:p>
            <w:pPr>
              <w:pStyle w:val="TableHeading"/>
              <w:suppressLineNumbers/>
              <w:spacing w:before="0" w:after="283"/>
              <w:jc w:val="center"/>
              <w:rPr/>
            </w:pPr>
            <w:r>
              <w:rPr/>
              <w:t> </w:t>
            </w:r>
          </w:p>
        </w:tc>
      </w:tr>
      <w:tr>
        <w:trPr/>
        <w:tc>
          <w:tcPr>
            <w:tcW w:w="2264" w:type="dxa"/>
            <w:tcBorders/>
            <w:shd w:fill="auto" w:val="clear"/>
            <w:vAlign w:val="bottom"/>
          </w:tcPr>
          <w:p>
            <w:pPr>
              <w:pStyle w:val="TableContents"/>
              <w:spacing w:before="0" w:after="283"/>
              <w:ind w:left="140" w:right="0" w:hanging="140"/>
              <w:rPr>
                <w:rFonts w:ascii="times" w:hAnsi="times"/>
                <w:b/>
                <w:sz w:val="14"/>
              </w:rPr>
            </w:pPr>
            <w:r>
              <w:rPr>
                <w:rFonts w:ascii="times" w:hAnsi="times"/>
                <w:b/>
                <w:sz w:val="14"/>
              </w:rPr>
              <w:t>STATEMENT OF PROFIT OR LOSS</w:t>
            </w:r>
          </w:p>
        </w:tc>
        <w:tc>
          <w:tcPr>
            <w:tcW w:w="187" w:type="dxa"/>
            <w:tcBorders/>
            <w:shd w:fill="auto" w:val="clear"/>
            <w:vAlign w:val="bottom"/>
          </w:tcPr>
          <w:p>
            <w:pPr>
              <w:pStyle w:val="TableContents"/>
              <w:spacing w:before="0" w:after="283"/>
              <w:rPr/>
            </w:pPr>
            <w:r>
              <w:rPr/>
              <w:t> </w:t>
            </w:r>
          </w:p>
        </w:tc>
        <w:tc>
          <w:tcPr>
            <w:tcW w:w="99" w:type="dxa"/>
            <w:tcBorders/>
            <w:shd w:fill="auto" w:val="clear"/>
            <w:vAlign w:val="bottom"/>
          </w:tcPr>
          <w:p>
            <w:pPr>
              <w:pStyle w:val="TableContents"/>
              <w:spacing w:before="0" w:after="283"/>
              <w:rPr/>
            </w:pPr>
            <w:r>
              <w:rPr/>
              <w:t> </w:t>
            </w:r>
          </w:p>
        </w:tc>
        <w:tc>
          <w:tcPr>
            <w:tcW w:w="1012" w:type="dxa"/>
            <w:tcBorders/>
            <w:shd w:fill="auto" w:val="clear"/>
            <w:vAlign w:val="bottom"/>
          </w:tcPr>
          <w:p>
            <w:pPr>
              <w:pStyle w:val="TableContents"/>
              <w:spacing w:before="0" w:after="283"/>
              <w:jc w:val="right"/>
              <w:rPr/>
            </w:pPr>
            <w:r>
              <w:rPr/>
              <w:t> </w:t>
            </w:r>
          </w:p>
        </w:tc>
        <w:tc>
          <w:tcPr>
            <w:tcW w:w="187" w:type="dxa"/>
            <w:tcBorders/>
            <w:shd w:fill="auto" w:val="clear"/>
            <w:vAlign w:val="bottom"/>
          </w:tcPr>
          <w:p>
            <w:pPr>
              <w:pStyle w:val="TableContents"/>
              <w:spacing w:before="0" w:after="283"/>
              <w:rPr/>
            </w:pPr>
            <w:r>
              <w:rPr/>
              <w:t> </w:t>
            </w:r>
          </w:p>
        </w:tc>
        <w:tc>
          <w:tcPr>
            <w:tcW w:w="99" w:type="dxa"/>
            <w:tcBorders/>
            <w:shd w:fill="auto" w:val="clear"/>
            <w:vAlign w:val="bottom"/>
          </w:tcPr>
          <w:p>
            <w:pPr>
              <w:pStyle w:val="TableContents"/>
              <w:spacing w:before="0" w:after="283"/>
              <w:rPr/>
            </w:pPr>
            <w:r>
              <w:rPr/>
              <w:t> </w:t>
            </w:r>
          </w:p>
        </w:tc>
        <w:tc>
          <w:tcPr>
            <w:tcW w:w="1013" w:type="dxa"/>
            <w:tcBorders/>
            <w:shd w:fill="auto" w:val="clear"/>
            <w:vAlign w:val="bottom"/>
          </w:tcPr>
          <w:p>
            <w:pPr>
              <w:pStyle w:val="TableContents"/>
              <w:spacing w:before="0" w:after="283"/>
              <w:jc w:val="right"/>
              <w:rPr/>
            </w:pPr>
            <w:r>
              <w:rPr/>
              <w:t> </w:t>
            </w:r>
          </w:p>
        </w:tc>
        <w:tc>
          <w:tcPr>
            <w:tcW w:w="187" w:type="dxa"/>
            <w:tcBorders/>
            <w:shd w:fill="auto" w:val="clear"/>
            <w:vAlign w:val="bottom"/>
          </w:tcPr>
          <w:p>
            <w:pPr>
              <w:pStyle w:val="TableContents"/>
              <w:spacing w:before="0" w:after="283"/>
              <w:rPr/>
            </w:pPr>
            <w:r>
              <w:rPr/>
              <w:t> </w:t>
            </w:r>
          </w:p>
        </w:tc>
        <w:tc>
          <w:tcPr>
            <w:tcW w:w="98" w:type="dxa"/>
            <w:tcBorders/>
            <w:shd w:fill="auto" w:val="clear"/>
            <w:vAlign w:val="bottom"/>
          </w:tcPr>
          <w:p>
            <w:pPr>
              <w:pStyle w:val="TableContents"/>
              <w:spacing w:before="0" w:after="283"/>
              <w:rPr/>
            </w:pPr>
            <w:r>
              <w:rPr/>
              <w:t> </w:t>
            </w:r>
          </w:p>
        </w:tc>
        <w:tc>
          <w:tcPr>
            <w:tcW w:w="1013" w:type="dxa"/>
            <w:tcBorders/>
            <w:shd w:fill="auto" w:val="clear"/>
            <w:vAlign w:val="bottom"/>
          </w:tcPr>
          <w:p>
            <w:pPr>
              <w:pStyle w:val="TableContents"/>
              <w:spacing w:before="0" w:after="283"/>
              <w:jc w:val="right"/>
              <w:rPr/>
            </w:pPr>
            <w:r>
              <w:rPr/>
              <w:t> </w:t>
            </w:r>
          </w:p>
        </w:tc>
        <w:tc>
          <w:tcPr>
            <w:tcW w:w="187" w:type="dxa"/>
            <w:tcBorders/>
            <w:shd w:fill="auto" w:val="clear"/>
            <w:vAlign w:val="bottom"/>
          </w:tcPr>
          <w:p>
            <w:pPr>
              <w:pStyle w:val="TableContents"/>
              <w:spacing w:before="0" w:after="283"/>
              <w:rPr/>
            </w:pPr>
            <w:r>
              <w:rPr/>
              <w:t> </w:t>
            </w:r>
          </w:p>
        </w:tc>
        <w:tc>
          <w:tcPr>
            <w:tcW w:w="62" w:type="dxa"/>
            <w:tcBorders/>
            <w:shd w:fill="auto" w:val="clear"/>
            <w:vAlign w:val="bottom"/>
          </w:tcPr>
          <w:p>
            <w:pPr>
              <w:pStyle w:val="TableContents"/>
              <w:spacing w:before="0" w:after="283"/>
              <w:rPr/>
            </w:pPr>
            <w:r>
              <w:rPr/>
              <w:t> </w:t>
            </w:r>
          </w:p>
        </w:tc>
        <w:tc>
          <w:tcPr>
            <w:tcW w:w="1013" w:type="dxa"/>
            <w:tcBorders/>
            <w:shd w:fill="auto" w:val="clear"/>
            <w:vAlign w:val="bottom"/>
          </w:tcPr>
          <w:p>
            <w:pPr>
              <w:pStyle w:val="TableContents"/>
              <w:spacing w:before="0" w:after="283"/>
              <w:jc w:val="right"/>
              <w:rPr/>
            </w:pPr>
            <w:r>
              <w:rPr/>
              <w:t> </w:t>
            </w:r>
          </w:p>
        </w:tc>
        <w:tc>
          <w:tcPr>
            <w:tcW w:w="187" w:type="dxa"/>
            <w:tcBorders/>
            <w:shd w:fill="auto" w:val="clear"/>
            <w:vAlign w:val="bottom"/>
          </w:tcPr>
          <w:p>
            <w:pPr>
              <w:pStyle w:val="TableContents"/>
              <w:spacing w:before="0" w:after="283"/>
              <w:rPr/>
            </w:pPr>
            <w:r>
              <w:rPr/>
              <w:t> </w:t>
            </w:r>
          </w:p>
        </w:tc>
        <w:tc>
          <w:tcPr>
            <w:tcW w:w="99" w:type="dxa"/>
            <w:tcBorders/>
            <w:shd w:fill="auto" w:val="clear"/>
            <w:vAlign w:val="bottom"/>
          </w:tcPr>
          <w:p>
            <w:pPr>
              <w:pStyle w:val="TableContents"/>
              <w:spacing w:before="0" w:after="283"/>
              <w:rPr/>
            </w:pPr>
            <w:r>
              <w:rPr/>
              <w:t> </w:t>
            </w:r>
          </w:p>
        </w:tc>
        <w:tc>
          <w:tcPr>
            <w:tcW w:w="1012" w:type="dxa"/>
            <w:tcBorders/>
            <w:shd w:fill="auto" w:val="clear"/>
            <w:vAlign w:val="bottom"/>
          </w:tcPr>
          <w:p>
            <w:pPr>
              <w:pStyle w:val="TableContents"/>
              <w:spacing w:before="0" w:after="283"/>
              <w:jc w:val="right"/>
              <w:rPr/>
            </w:pPr>
            <w:r>
              <w:rPr/>
              <w:t> </w:t>
            </w:r>
          </w:p>
        </w:tc>
        <w:tc>
          <w:tcPr>
            <w:tcW w:w="187" w:type="dxa"/>
            <w:tcBorders/>
            <w:shd w:fill="auto" w:val="clear"/>
            <w:vAlign w:val="bottom"/>
          </w:tcPr>
          <w:p>
            <w:pPr>
              <w:pStyle w:val="TableContents"/>
              <w:spacing w:before="0" w:after="283"/>
              <w:rPr/>
            </w:pPr>
            <w:r>
              <w:rPr/>
              <w:t> </w:t>
            </w:r>
          </w:p>
        </w:tc>
        <w:tc>
          <w:tcPr>
            <w:tcW w:w="99" w:type="dxa"/>
            <w:tcBorders/>
            <w:shd w:fill="auto" w:val="clear"/>
            <w:vAlign w:val="bottom"/>
          </w:tcPr>
          <w:p>
            <w:pPr>
              <w:pStyle w:val="TableContents"/>
              <w:spacing w:before="0" w:after="283"/>
              <w:rPr/>
            </w:pPr>
            <w:r>
              <w:rPr/>
              <w:t> </w:t>
            </w:r>
          </w:p>
        </w:tc>
        <w:tc>
          <w:tcPr>
            <w:tcW w:w="1013" w:type="dxa"/>
            <w:tcBorders/>
            <w:shd w:fill="auto" w:val="clear"/>
            <w:vAlign w:val="bottom"/>
          </w:tcPr>
          <w:p>
            <w:pPr>
              <w:pStyle w:val="TableContents"/>
              <w:spacing w:before="0" w:after="283"/>
              <w:jc w:val="right"/>
              <w:rPr/>
            </w:pPr>
            <w:r>
              <w:rPr/>
              <w:t> </w:t>
            </w:r>
          </w:p>
        </w:tc>
        <w:tc>
          <w:tcPr>
            <w:tcW w:w="187" w:type="dxa"/>
            <w:tcBorders/>
            <w:shd w:fill="auto" w:val="clear"/>
            <w:vAlign w:val="bottom"/>
          </w:tcPr>
          <w:p>
            <w:pPr>
              <w:pStyle w:val="TableContents"/>
              <w:spacing w:before="0" w:after="283"/>
              <w:rPr/>
            </w:pPr>
            <w:r>
              <w:rPr/>
              <w:t> </w:t>
            </w:r>
          </w:p>
        </w:tc>
      </w:tr>
      <w:tr>
        <w:trPr/>
        <w:tc>
          <w:tcPr>
            <w:tcW w:w="2264" w:type="dxa"/>
            <w:tcBorders/>
            <w:shd w:fill="auto" w:val="clear"/>
            <w:vAlign w:val="bottom"/>
          </w:tcPr>
          <w:p>
            <w:pPr>
              <w:pStyle w:val="TableContents"/>
              <w:spacing w:before="0" w:after="283"/>
              <w:ind w:left="140" w:right="0" w:hanging="140"/>
              <w:rPr>
                <w:rFonts w:ascii="times" w:hAnsi="times"/>
                <w:sz w:val="14"/>
              </w:rPr>
            </w:pPr>
            <w:r>
              <w:rPr>
                <w:rFonts w:ascii="times" w:hAnsi="times"/>
                <w:sz w:val="14"/>
              </w:rPr>
              <w:t>Revenues</w:t>
            </w:r>
          </w:p>
        </w:tc>
        <w:tc>
          <w:tcPr>
            <w:tcW w:w="187" w:type="dxa"/>
            <w:tcBorders/>
            <w:shd w:fill="auto" w:val="clear"/>
            <w:vAlign w:val="bottom"/>
          </w:tcPr>
          <w:p>
            <w:pPr>
              <w:pStyle w:val="TableContents"/>
              <w:spacing w:before="0" w:after="283"/>
              <w:rPr/>
            </w:pPr>
            <w:r>
              <w:rPr/>
              <w:t> </w:t>
            </w:r>
          </w:p>
        </w:tc>
        <w:tc>
          <w:tcPr>
            <w:tcW w:w="99" w:type="dxa"/>
            <w:tcBorders/>
            <w:shd w:fill="auto" w:val="clear"/>
            <w:vAlign w:val="bottom"/>
          </w:tcPr>
          <w:p>
            <w:pPr>
              <w:pStyle w:val="TableContents"/>
              <w:spacing w:before="0" w:after="283"/>
              <w:rPr>
                <w:rFonts w:ascii="times" w:hAnsi="times"/>
                <w:sz w:val="14"/>
              </w:rPr>
            </w:pPr>
            <w:r>
              <w:rPr>
                <w:rFonts w:ascii="times" w:hAnsi="times"/>
                <w:sz w:val="14"/>
              </w:rPr>
              <w:t>$</w:t>
            </w:r>
          </w:p>
        </w:tc>
        <w:tc>
          <w:tcPr>
            <w:tcW w:w="1012" w:type="dxa"/>
            <w:tcBorders/>
            <w:shd w:fill="auto" w:val="clear"/>
            <w:vAlign w:val="bottom"/>
          </w:tcPr>
          <w:p>
            <w:pPr>
              <w:pStyle w:val="TableContents"/>
              <w:spacing w:before="0" w:after="283"/>
              <w:jc w:val="right"/>
              <w:rPr>
                <w:rFonts w:ascii="times" w:hAnsi="times"/>
                <w:sz w:val="14"/>
              </w:rPr>
            </w:pPr>
            <w:r>
              <w:rPr>
                <w:rFonts w:ascii="times" w:hAnsi="times"/>
                <w:sz w:val="14"/>
              </w:rPr>
              <w:t>7,560</w:t>
            </w:r>
          </w:p>
        </w:tc>
        <w:tc>
          <w:tcPr>
            <w:tcW w:w="187" w:type="dxa"/>
            <w:tcBorders/>
            <w:shd w:fill="auto" w:val="clear"/>
            <w:vAlign w:val="bottom"/>
          </w:tcPr>
          <w:p>
            <w:pPr>
              <w:pStyle w:val="TableContents"/>
              <w:spacing w:before="0" w:after="283"/>
              <w:rPr/>
            </w:pPr>
            <w:r>
              <w:rPr/>
              <w:t> </w:t>
            </w:r>
          </w:p>
        </w:tc>
        <w:tc>
          <w:tcPr>
            <w:tcW w:w="99" w:type="dxa"/>
            <w:tcBorders/>
            <w:shd w:fill="auto" w:val="clear"/>
            <w:vAlign w:val="bottom"/>
          </w:tcPr>
          <w:p>
            <w:pPr>
              <w:pStyle w:val="TableContents"/>
              <w:spacing w:before="0" w:after="283"/>
              <w:rPr>
                <w:rFonts w:ascii="times" w:hAnsi="times"/>
                <w:sz w:val="14"/>
              </w:rPr>
            </w:pPr>
            <w:r>
              <w:rPr>
                <w:rFonts w:ascii="times" w:hAnsi="times"/>
                <w:sz w:val="14"/>
              </w:rPr>
              <w:t>$</w:t>
            </w:r>
          </w:p>
        </w:tc>
        <w:tc>
          <w:tcPr>
            <w:tcW w:w="1013" w:type="dxa"/>
            <w:tcBorders/>
            <w:shd w:fill="auto" w:val="clear"/>
            <w:vAlign w:val="bottom"/>
          </w:tcPr>
          <w:p>
            <w:pPr>
              <w:pStyle w:val="TableContents"/>
              <w:spacing w:before="0" w:after="283"/>
              <w:jc w:val="right"/>
              <w:rPr>
                <w:rFonts w:ascii="times" w:hAnsi="times"/>
                <w:sz w:val="14"/>
              </w:rPr>
            </w:pPr>
            <w:r>
              <w:rPr>
                <w:rFonts w:ascii="times" w:hAnsi="times"/>
                <w:sz w:val="14"/>
              </w:rPr>
              <w:t>371,127</w:t>
            </w:r>
          </w:p>
        </w:tc>
        <w:tc>
          <w:tcPr>
            <w:tcW w:w="187" w:type="dxa"/>
            <w:tcBorders/>
            <w:shd w:fill="auto" w:val="clear"/>
            <w:vAlign w:val="bottom"/>
          </w:tcPr>
          <w:p>
            <w:pPr>
              <w:pStyle w:val="TableContents"/>
              <w:spacing w:before="0" w:after="283"/>
              <w:rPr/>
            </w:pPr>
            <w:r>
              <w:rPr/>
              <w:t> </w:t>
            </w:r>
          </w:p>
        </w:tc>
        <w:tc>
          <w:tcPr>
            <w:tcW w:w="98" w:type="dxa"/>
            <w:tcBorders/>
            <w:shd w:fill="auto" w:val="clear"/>
            <w:vAlign w:val="bottom"/>
          </w:tcPr>
          <w:p>
            <w:pPr>
              <w:pStyle w:val="TableContents"/>
              <w:spacing w:before="0" w:after="283"/>
              <w:rPr>
                <w:rFonts w:ascii="times" w:hAnsi="times"/>
                <w:sz w:val="14"/>
              </w:rPr>
            </w:pPr>
            <w:r>
              <w:rPr>
                <w:rFonts w:ascii="times" w:hAnsi="times"/>
                <w:sz w:val="14"/>
              </w:rPr>
              <w:t>$</w:t>
            </w:r>
          </w:p>
        </w:tc>
        <w:tc>
          <w:tcPr>
            <w:tcW w:w="1013" w:type="dxa"/>
            <w:tcBorders/>
            <w:shd w:fill="auto" w:val="clear"/>
            <w:vAlign w:val="bottom"/>
          </w:tcPr>
          <w:p>
            <w:pPr>
              <w:pStyle w:val="TableContents"/>
              <w:spacing w:before="0" w:after="283"/>
              <w:jc w:val="right"/>
              <w:rPr>
                <w:rFonts w:ascii="times" w:hAnsi="times"/>
                <w:sz w:val="14"/>
              </w:rPr>
            </w:pPr>
            <w:r>
              <w:rPr>
                <w:rFonts w:ascii="times" w:hAnsi="times"/>
                <w:sz w:val="14"/>
              </w:rPr>
              <w:t>378,687</w:t>
            </w:r>
          </w:p>
        </w:tc>
        <w:tc>
          <w:tcPr>
            <w:tcW w:w="187" w:type="dxa"/>
            <w:tcBorders/>
            <w:shd w:fill="auto" w:val="clear"/>
            <w:vAlign w:val="bottom"/>
          </w:tcPr>
          <w:p>
            <w:pPr>
              <w:pStyle w:val="TableContents"/>
              <w:spacing w:before="0" w:after="283"/>
              <w:rPr/>
            </w:pPr>
            <w:r>
              <w:rPr/>
              <w:t> </w:t>
            </w:r>
          </w:p>
        </w:tc>
        <w:tc>
          <w:tcPr>
            <w:tcW w:w="62" w:type="dxa"/>
            <w:tcBorders/>
            <w:shd w:fill="auto" w:val="clear"/>
            <w:vAlign w:val="bottom"/>
          </w:tcPr>
          <w:p>
            <w:pPr>
              <w:pStyle w:val="TableContents"/>
              <w:spacing w:before="0" w:after="283"/>
              <w:rPr/>
            </w:pPr>
            <w:r>
              <w:rPr/>
              <w:t> </w:t>
            </w:r>
          </w:p>
        </w:tc>
        <w:tc>
          <w:tcPr>
            <w:tcW w:w="1013" w:type="dxa"/>
            <w:tcBorders/>
            <w:shd w:fill="auto" w:val="clear"/>
            <w:vAlign w:val="bottom"/>
          </w:tcPr>
          <w:p>
            <w:pPr>
              <w:pStyle w:val="TableContents"/>
              <w:spacing w:before="0" w:after="283"/>
              <w:jc w:val="right"/>
              <w:rPr>
                <w:rFonts w:ascii="times" w:hAnsi="times"/>
                <w:sz w:val="14"/>
              </w:rPr>
            </w:pPr>
            <w:r>
              <w:rPr>
                <w:rFonts w:ascii="times" w:hAnsi="times"/>
                <w:sz w:val="14"/>
              </w:rPr>
              <w:t></w:t>
            </w:r>
          </w:p>
        </w:tc>
        <w:tc>
          <w:tcPr>
            <w:tcW w:w="187" w:type="dxa"/>
            <w:tcBorders/>
            <w:shd w:fill="auto" w:val="clear"/>
            <w:vAlign w:val="bottom"/>
          </w:tcPr>
          <w:p>
            <w:pPr>
              <w:pStyle w:val="TableContents"/>
              <w:spacing w:before="0" w:after="283"/>
              <w:rPr/>
            </w:pPr>
            <w:r>
              <w:rPr/>
              <w:t> </w:t>
            </w:r>
          </w:p>
        </w:tc>
        <w:tc>
          <w:tcPr>
            <w:tcW w:w="99" w:type="dxa"/>
            <w:tcBorders/>
            <w:shd w:fill="auto" w:val="clear"/>
            <w:vAlign w:val="bottom"/>
          </w:tcPr>
          <w:p>
            <w:pPr>
              <w:pStyle w:val="TableContents"/>
              <w:spacing w:before="0" w:after="283"/>
              <w:rPr>
                <w:rFonts w:ascii="times" w:hAnsi="times"/>
                <w:sz w:val="14"/>
              </w:rPr>
            </w:pPr>
            <w:r>
              <w:rPr>
                <w:rFonts w:ascii="times" w:hAnsi="times"/>
                <w:sz w:val="14"/>
              </w:rPr>
              <w:t>$</w:t>
            </w:r>
          </w:p>
        </w:tc>
        <w:tc>
          <w:tcPr>
            <w:tcW w:w="1012" w:type="dxa"/>
            <w:tcBorders/>
            <w:shd w:fill="auto" w:val="clear"/>
            <w:vAlign w:val="bottom"/>
          </w:tcPr>
          <w:p>
            <w:pPr>
              <w:pStyle w:val="TableContents"/>
              <w:spacing w:before="0" w:after="283"/>
              <w:jc w:val="right"/>
              <w:rPr>
                <w:rFonts w:ascii="times" w:hAnsi="times"/>
                <w:sz w:val="14"/>
              </w:rPr>
            </w:pPr>
            <w:r>
              <w:rPr>
                <w:rFonts w:ascii="times" w:hAnsi="times"/>
                <w:sz w:val="14"/>
              </w:rPr>
              <w:t>333,662</w:t>
            </w:r>
          </w:p>
        </w:tc>
        <w:tc>
          <w:tcPr>
            <w:tcW w:w="187" w:type="dxa"/>
            <w:tcBorders/>
            <w:shd w:fill="auto" w:val="clear"/>
            <w:vAlign w:val="bottom"/>
          </w:tcPr>
          <w:p>
            <w:pPr>
              <w:pStyle w:val="TableContents"/>
              <w:spacing w:before="0" w:after="283"/>
              <w:rPr/>
            </w:pPr>
            <w:r>
              <w:rPr/>
              <w:t> </w:t>
            </w:r>
          </w:p>
        </w:tc>
        <w:tc>
          <w:tcPr>
            <w:tcW w:w="99" w:type="dxa"/>
            <w:tcBorders/>
            <w:shd w:fill="auto" w:val="clear"/>
            <w:vAlign w:val="bottom"/>
          </w:tcPr>
          <w:p>
            <w:pPr>
              <w:pStyle w:val="TableContents"/>
              <w:spacing w:before="0" w:after="283"/>
              <w:rPr>
                <w:rFonts w:ascii="times" w:hAnsi="times"/>
                <w:sz w:val="14"/>
              </w:rPr>
            </w:pPr>
            <w:r>
              <w:rPr>
                <w:rFonts w:ascii="times" w:hAnsi="times"/>
                <w:sz w:val="14"/>
              </w:rPr>
              <w:t>$</w:t>
            </w:r>
          </w:p>
        </w:tc>
        <w:tc>
          <w:tcPr>
            <w:tcW w:w="1013" w:type="dxa"/>
            <w:tcBorders/>
            <w:shd w:fill="auto" w:val="clear"/>
            <w:vAlign w:val="bottom"/>
          </w:tcPr>
          <w:p>
            <w:pPr>
              <w:pStyle w:val="TableContents"/>
              <w:spacing w:before="0" w:after="283"/>
              <w:jc w:val="right"/>
              <w:rPr>
                <w:rFonts w:ascii="times" w:hAnsi="times"/>
                <w:sz w:val="14"/>
              </w:rPr>
            </w:pPr>
            <w:r>
              <w:rPr>
                <w:rFonts w:ascii="times" w:hAnsi="times"/>
                <w:sz w:val="14"/>
              </w:rPr>
              <w:t>333,662</w:t>
            </w:r>
          </w:p>
        </w:tc>
        <w:tc>
          <w:tcPr>
            <w:tcW w:w="187" w:type="dxa"/>
            <w:tcBorders/>
            <w:shd w:fill="auto" w:val="clear"/>
            <w:vAlign w:val="bottom"/>
          </w:tcPr>
          <w:p>
            <w:pPr>
              <w:pStyle w:val="TableContents"/>
              <w:spacing w:before="0" w:after="283"/>
              <w:rPr/>
            </w:pPr>
            <w:r>
              <w:rPr/>
              <w:t> </w:t>
            </w:r>
          </w:p>
        </w:tc>
      </w:tr>
      <w:tr>
        <w:trPr/>
        <w:tc>
          <w:tcPr>
            <w:tcW w:w="2264" w:type="dxa"/>
            <w:tcBorders/>
            <w:shd w:fill="auto" w:val="clear"/>
            <w:vAlign w:val="bottom"/>
          </w:tcPr>
          <w:p>
            <w:pPr>
              <w:pStyle w:val="TableContents"/>
              <w:spacing w:before="0" w:after="283"/>
              <w:ind w:left="140" w:right="0" w:hanging="140"/>
              <w:rPr>
                <w:rFonts w:ascii="times" w:hAnsi="times"/>
                <w:sz w:val="14"/>
              </w:rPr>
            </w:pPr>
            <w:r>
              <w:rPr>
                <w:rFonts w:ascii="times" w:hAnsi="times"/>
                <w:sz w:val="14"/>
              </w:rPr>
              <w:t>Net pool allocation</w:t>
            </w:r>
          </w:p>
        </w:tc>
        <w:tc>
          <w:tcPr>
            <w:tcW w:w="187" w:type="dxa"/>
            <w:tcBorders/>
            <w:shd w:fill="auto" w:val="clear"/>
            <w:vAlign w:val="bottom"/>
          </w:tcPr>
          <w:p>
            <w:pPr>
              <w:pStyle w:val="TableContents"/>
              <w:spacing w:before="0" w:after="283"/>
              <w:rPr/>
            </w:pPr>
            <w:r>
              <w:rPr/>
              <w:t> </w:t>
            </w:r>
          </w:p>
        </w:tc>
        <w:tc>
          <w:tcPr>
            <w:tcW w:w="99" w:type="dxa"/>
            <w:tcBorders/>
            <w:shd w:fill="auto" w:val="clear"/>
            <w:vAlign w:val="bottom"/>
          </w:tcPr>
          <w:p>
            <w:pPr>
              <w:pStyle w:val="TableContents"/>
              <w:spacing w:before="0" w:after="283"/>
              <w:rPr/>
            </w:pPr>
            <w:r>
              <w:rPr/>
              <w:t> </w:t>
            </w:r>
          </w:p>
        </w:tc>
        <w:tc>
          <w:tcPr>
            <w:tcW w:w="1012" w:type="dxa"/>
            <w:tcBorders/>
            <w:shd w:fill="auto" w:val="clear"/>
            <w:vAlign w:val="bottom"/>
          </w:tcPr>
          <w:p>
            <w:pPr>
              <w:pStyle w:val="TableContents"/>
              <w:spacing w:before="0" w:after="283"/>
              <w:jc w:val="right"/>
              <w:rPr>
                <w:rFonts w:ascii="times" w:hAnsi="times"/>
                <w:sz w:val="14"/>
              </w:rPr>
            </w:pPr>
            <w:r>
              <w:rPr>
                <w:rFonts w:ascii="times" w:hAnsi="times"/>
                <w:sz w:val="14"/>
              </w:rPr>
              <w:t></w:t>
            </w:r>
          </w:p>
        </w:tc>
        <w:tc>
          <w:tcPr>
            <w:tcW w:w="187" w:type="dxa"/>
            <w:tcBorders/>
            <w:shd w:fill="auto" w:val="clear"/>
            <w:vAlign w:val="bottom"/>
          </w:tcPr>
          <w:p>
            <w:pPr>
              <w:pStyle w:val="TableContents"/>
              <w:spacing w:before="0" w:after="283"/>
              <w:rPr/>
            </w:pPr>
            <w:r>
              <w:rPr/>
              <w:t> </w:t>
            </w:r>
          </w:p>
        </w:tc>
        <w:tc>
          <w:tcPr>
            <w:tcW w:w="99" w:type="dxa"/>
            <w:tcBorders/>
            <w:shd w:fill="auto" w:val="clear"/>
            <w:vAlign w:val="bottom"/>
          </w:tcPr>
          <w:p>
            <w:pPr>
              <w:pStyle w:val="TableContents"/>
              <w:spacing w:before="0" w:after="283"/>
              <w:rPr/>
            </w:pPr>
            <w:r>
              <w:rPr/>
              <w:t> </w:t>
            </w:r>
          </w:p>
        </w:tc>
        <w:tc>
          <w:tcPr>
            <w:tcW w:w="1013" w:type="dxa"/>
            <w:tcBorders/>
            <w:shd w:fill="auto" w:val="clear"/>
            <w:vAlign w:val="bottom"/>
          </w:tcPr>
          <w:p>
            <w:pPr>
              <w:pStyle w:val="TableContents"/>
              <w:spacing w:before="0" w:after="283"/>
              <w:jc w:val="right"/>
              <w:rPr>
                <w:rFonts w:ascii="times" w:hAnsi="times"/>
                <w:sz w:val="14"/>
              </w:rPr>
            </w:pPr>
            <w:r>
              <w:rPr>
                <w:rFonts w:ascii="times" w:hAnsi="times"/>
                <w:sz w:val="14"/>
              </w:rPr>
              <w:t>1,058</w:t>
            </w:r>
          </w:p>
        </w:tc>
        <w:tc>
          <w:tcPr>
            <w:tcW w:w="187" w:type="dxa"/>
            <w:tcBorders/>
            <w:shd w:fill="auto" w:val="clear"/>
            <w:vAlign w:val="bottom"/>
          </w:tcPr>
          <w:p>
            <w:pPr>
              <w:pStyle w:val="TableContents"/>
              <w:spacing w:before="0" w:after="283"/>
              <w:rPr/>
            </w:pPr>
            <w:r>
              <w:rPr/>
              <w:t> </w:t>
            </w:r>
          </w:p>
        </w:tc>
        <w:tc>
          <w:tcPr>
            <w:tcW w:w="98" w:type="dxa"/>
            <w:tcBorders/>
            <w:shd w:fill="auto" w:val="clear"/>
            <w:vAlign w:val="bottom"/>
          </w:tcPr>
          <w:p>
            <w:pPr>
              <w:pStyle w:val="TableContents"/>
              <w:spacing w:before="0" w:after="283"/>
              <w:rPr/>
            </w:pPr>
            <w:r>
              <w:rPr/>
              <w:t> </w:t>
            </w:r>
          </w:p>
        </w:tc>
        <w:tc>
          <w:tcPr>
            <w:tcW w:w="1013" w:type="dxa"/>
            <w:tcBorders/>
            <w:shd w:fill="auto" w:val="clear"/>
            <w:vAlign w:val="bottom"/>
          </w:tcPr>
          <w:p>
            <w:pPr>
              <w:pStyle w:val="TableContents"/>
              <w:spacing w:before="0" w:after="283"/>
              <w:jc w:val="right"/>
              <w:rPr>
                <w:rFonts w:ascii="times" w:hAnsi="times"/>
                <w:sz w:val="14"/>
              </w:rPr>
            </w:pPr>
            <w:r>
              <w:rPr>
                <w:rFonts w:ascii="times" w:hAnsi="times"/>
                <w:sz w:val="14"/>
              </w:rPr>
              <w:t>1,058</w:t>
            </w:r>
          </w:p>
        </w:tc>
        <w:tc>
          <w:tcPr>
            <w:tcW w:w="187" w:type="dxa"/>
            <w:tcBorders/>
            <w:shd w:fill="auto" w:val="clear"/>
            <w:vAlign w:val="bottom"/>
          </w:tcPr>
          <w:p>
            <w:pPr>
              <w:pStyle w:val="TableContents"/>
              <w:spacing w:before="0" w:after="283"/>
              <w:rPr/>
            </w:pPr>
            <w:r>
              <w:rPr/>
              <w:t> </w:t>
            </w:r>
          </w:p>
        </w:tc>
        <w:tc>
          <w:tcPr>
            <w:tcW w:w="62" w:type="dxa"/>
            <w:tcBorders/>
            <w:shd w:fill="auto" w:val="clear"/>
            <w:vAlign w:val="bottom"/>
          </w:tcPr>
          <w:p>
            <w:pPr>
              <w:pStyle w:val="TableContents"/>
              <w:spacing w:before="0" w:after="283"/>
              <w:rPr/>
            </w:pPr>
            <w:r>
              <w:rPr/>
              <w:t> </w:t>
            </w:r>
          </w:p>
        </w:tc>
        <w:tc>
          <w:tcPr>
            <w:tcW w:w="1013" w:type="dxa"/>
            <w:tcBorders/>
            <w:shd w:fill="auto" w:val="clear"/>
            <w:vAlign w:val="bottom"/>
          </w:tcPr>
          <w:p>
            <w:pPr>
              <w:pStyle w:val="TableContents"/>
              <w:spacing w:before="0" w:after="283"/>
              <w:jc w:val="right"/>
              <w:rPr>
                <w:rFonts w:ascii="times" w:hAnsi="times"/>
                <w:sz w:val="14"/>
              </w:rPr>
            </w:pPr>
            <w:r>
              <w:rPr>
                <w:rFonts w:ascii="times" w:hAnsi="times"/>
                <w:sz w:val="14"/>
              </w:rPr>
              <w:t></w:t>
            </w:r>
          </w:p>
        </w:tc>
        <w:tc>
          <w:tcPr>
            <w:tcW w:w="187" w:type="dxa"/>
            <w:tcBorders/>
            <w:shd w:fill="auto" w:val="clear"/>
            <w:vAlign w:val="bottom"/>
          </w:tcPr>
          <w:p>
            <w:pPr>
              <w:pStyle w:val="TableContents"/>
              <w:spacing w:before="0" w:after="283"/>
              <w:rPr/>
            </w:pPr>
            <w:r>
              <w:rPr/>
              <w:t> </w:t>
            </w:r>
          </w:p>
        </w:tc>
        <w:tc>
          <w:tcPr>
            <w:tcW w:w="99" w:type="dxa"/>
            <w:tcBorders/>
            <w:shd w:fill="auto" w:val="clear"/>
            <w:vAlign w:val="bottom"/>
          </w:tcPr>
          <w:p>
            <w:pPr>
              <w:pStyle w:val="TableContents"/>
              <w:spacing w:before="0" w:after="283"/>
              <w:rPr/>
            </w:pPr>
            <w:r>
              <w:rPr/>
              <w:t> </w:t>
            </w:r>
          </w:p>
        </w:tc>
        <w:tc>
          <w:tcPr>
            <w:tcW w:w="1012" w:type="dxa"/>
            <w:tcBorders/>
            <w:shd w:fill="auto" w:val="clear"/>
            <w:vAlign w:val="bottom"/>
          </w:tcPr>
          <w:p>
            <w:pPr>
              <w:pStyle w:val="TableContents"/>
              <w:spacing w:before="0" w:after="283"/>
              <w:jc w:val="right"/>
              <w:rPr>
                <w:rFonts w:ascii="times" w:hAnsi="times"/>
                <w:sz w:val="14"/>
              </w:rPr>
            </w:pPr>
            <w:r>
              <w:rPr>
                <w:rFonts w:ascii="times" w:hAnsi="times"/>
                <w:sz w:val="14"/>
              </w:rPr>
              <w:t></w:t>
            </w:r>
          </w:p>
        </w:tc>
        <w:tc>
          <w:tcPr>
            <w:tcW w:w="187" w:type="dxa"/>
            <w:tcBorders/>
            <w:shd w:fill="auto" w:val="clear"/>
            <w:vAlign w:val="bottom"/>
          </w:tcPr>
          <w:p>
            <w:pPr>
              <w:pStyle w:val="TableContents"/>
              <w:spacing w:before="0" w:after="283"/>
              <w:rPr/>
            </w:pPr>
            <w:r>
              <w:rPr/>
              <w:t> </w:t>
            </w:r>
          </w:p>
        </w:tc>
        <w:tc>
          <w:tcPr>
            <w:tcW w:w="99" w:type="dxa"/>
            <w:tcBorders/>
            <w:shd w:fill="auto" w:val="clear"/>
            <w:vAlign w:val="bottom"/>
          </w:tcPr>
          <w:p>
            <w:pPr>
              <w:pStyle w:val="TableContents"/>
              <w:spacing w:before="0" w:after="283"/>
              <w:rPr/>
            </w:pPr>
            <w:r>
              <w:rPr/>
              <w:t> </w:t>
            </w:r>
          </w:p>
        </w:tc>
        <w:tc>
          <w:tcPr>
            <w:tcW w:w="1013" w:type="dxa"/>
            <w:tcBorders/>
            <w:shd w:fill="auto" w:val="clear"/>
            <w:vAlign w:val="bottom"/>
          </w:tcPr>
          <w:p>
            <w:pPr>
              <w:pStyle w:val="TableContents"/>
              <w:spacing w:before="0" w:after="283"/>
              <w:jc w:val="right"/>
              <w:rPr>
                <w:rFonts w:ascii="times" w:hAnsi="times"/>
                <w:sz w:val="14"/>
              </w:rPr>
            </w:pPr>
            <w:r>
              <w:rPr>
                <w:rFonts w:ascii="times" w:hAnsi="times"/>
                <w:sz w:val="14"/>
              </w:rPr>
              <w:t></w:t>
            </w:r>
          </w:p>
        </w:tc>
        <w:tc>
          <w:tcPr>
            <w:tcW w:w="187" w:type="dxa"/>
            <w:tcBorders/>
            <w:shd w:fill="auto" w:val="clear"/>
            <w:vAlign w:val="bottom"/>
          </w:tcPr>
          <w:p>
            <w:pPr>
              <w:pStyle w:val="TableContents"/>
              <w:spacing w:before="0" w:after="283"/>
              <w:rPr/>
            </w:pPr>
            <w:r>
              <w:rPr/>
              <w:t> </w:t>
            </w:r>
          </w:p>
        </w:tc>
      </w:tr>
      <w:tr>
        <w:trPr/>
        <w:tc>
          <w:tcPr>
            <w:tcW w:w="2264" w:type="dxa"/>
            <w:tcBorders/>
            <w:shd w:fill="auto" w:val="clear"/>
            <w:vAlign w:val="bottom"/>
          </w:tcPr>
          <w:p>
            <w:pPr>
              <w:pStyle w:val="TableContents"/>
              <w:spacing w:before="0" w:after="283"/>
              <w:ind w:left="140" w:right="0" w:hanging="140"/>
              <w:rPr>
                <w:rFonts w:ascii="times" w:hAnsi="times"/>
                <w:sz w:val="14"/>
              </w:rPr>
            </w:pPr>
            <w:r>
              <w:rPr>
                <w:rFonts w:ascii="times" w:hAnsi="times"/>
                <w:sz w:val="14"/>
              </w:rPr>
              <w:t>Voyage expenses and commissions</w:t>
            </w:r>
          </w:p>
        </w:tc>
        <w:tc>
          <w:tcPr>
            <w:tcW w:w="187" w:type="dxa"/>
            <w:tcBorders/>
            <w:shd w:fill="auto" w:val="clear"/>
            <w:vAlign w:val="bottom"/>
          </w:tcPr>
          <w:p>
            <w:pPr>
              <w:pStyle w:val="TableContents"/>
              <w:spacing w:before="0" w:after="283"/>
              <w:rPr/>
            </w:pPr>
            <w:r>
              <w:rPr/>
              <w:t> </w:t>
            </w:r>
          </w:p>
        </w:tc>
        <w:tc>
          <w:tcPr>
            <w:tcW w:w="99" w:type="dxa"/>
            <w:tcBorders/>
            <w:shd w:fill="auto" w:val="clear"/>
            <w:vAlign w:val="bottom"/>
          </w:tcPr>
          <w:p>
            <w:pPr>
              <w:pStyle w:val="TableContents"/>
              <w:spacing w:before="0" w:after="283"/>
              <w:rPr/>
            </w:pPr>
            <w:r>
              <w:rPr/>
              <w:t> </w:t>
            </w:r>
          </w:p>
        </w:tc>
        <w:tc>
          <w:tcPr>
            <w:tcW w:w="1012" w:type="dxa"/>
            <w:tcBorders/>
            <w:shd w:fill="auto" w:val="clear"/>
            <w:vAlign w:val="bottom"/>
          </w:tcPr>
          <w:p>
            <w:pPr>
              <w:pStyle w:val="TableContents"/>
              <w:spacing w:before="0" w:after="283"/>
              <w:jc w:val="right"/>
              <w:rPr>
                <w:rFonts w:ascii="times" w:hAnsi="times"/>
                <w:sz w:val="14"/>
              </w:rPr>
            </w:pPr>
            <w:r>
              <w:rPr>
                <w:rFonts w:ascii="times" w:hAnsi="times"/>
                <w:sz w:val="14"/>
              </w:rPr>
              <w:t>(95</w:t>
            </w:r>
          </w:p>
        </w:tc>
        <w:tc>
          <w:tcPr>
            <w:tcW w:w="187" w:type="dxa"/>
            <w:tcBorders/>
            <w:shd w:fill="auto" w:val="clear"/>
            <w:vAlign w:val="bottom"/>
          </w:tcPr>
          <w:p>
            <w:pPr>
              <w:pStyle w:val="TableContents"/>
              <w:spacing w:before="0" w:after="283"/>
              <w:rPr>
                <w:rFonts w:ascii="times" w:hAnsi="times"/>
                <w:sz w:val="14"/>
              </w:rPr>
            </w:pPr>
            <w:r>
              <w:rPr>
                <w:rFonts w:ascii="times" w:hAnsi="times"/>
                <w:sz w:val="14"/>
              </w:rPr>
              <w:t>)</w:t>
            </w:r>
          </w:p>
        </w:tc>
        <w:tc>
          <w:tcPr>
            <w:tcW w:w="99" w:type="dxa"/>
            <w:tcBorders/>
            <w:shd w:fill="auto" w:val="clear"/>
            <w:vAlign w:val="bottom"/>
          </w:tcPr>
          <w:p>
            <w:pPr>
              <w:pStyle w:val="TableContents"/>
              <w:spacing w:before="0" w:after="283"/>
              <w:rPr/>
            </w:pPr>
            <w:r>
              <w:rPr/>
              <w:t> </w:t>
            </w:r>
          </w:p>
        </w:tc>
        <w:tc>
          <w:tcPr>
            <w:tcW w:w="1013" w:type="dxa"/>
            <w:tcBorders/>
            <w:shd w:fill="auto" w:val="clear"/>
            <w:vAlign w:val="bottom"/>
          </w:tcPr>
          <w:p>
            <w:pPr>
              <w:pStyle w:val="TableContents"/>
              <w:spacing w:before="0" w:after="283"/>
              <w:jc w:val="right"/>
              <w:rPr>
                <w:rFonts w:ascii="times" w:hAnsi="times"/>
                <w:sz w:val="14"/>
              </w:rPr>
            </w:pPr>
            <w:r>
              <w:rPr>
                <w:rFonts w:ascii="times" w:hAnsi="times"/>
                <w:sz w:val="14"/>
              </w:rPr>
              <w:t>(7,213</w:t>
            </w:r>
          </w:p>
        </w:tc>
        <w:tc>
          <w:tcPr>
            <w:tcW w:w="187" w:type="dxa"/>
            <w:tcBorders/>
            <w:shd w:fill="auto" w:val="clear"/>
            <w:vAlign w:val="bottom"/>
          </w:tcPr>
          <w:p>
            <w:pPr>
              <w:pStyle w:val="TableContents"/>
              <w:spacing w:before="0" w:after="283"/>
              <w:rPr>
                <w:rFonts w:ascii="times" w:hAnsi="times"/>
                <w:sz w:val="14"/>
              </w:rPr>
            </w:pPr>
            <w:r>
              <w:rPr>
                <w:rFonts w:ascii="times" w:hAnsi="times"/>
                <w:sz w:val="14"/>
              </w:rPr>
              <w:t>)</w:t>
            </w:r>
          </w:p>
        </w:tc>
        <w:tc>
          <w:tcPr>
            <w:tcW w:w="98" w:type="dxa"/>
            <w:tcBorders/>
            <w:shd w:fill="auto" w:val="clear"/>
            <w:vAlign w:val="bottom"/>
          </w:tcPr>
          <w:p>
            <w:pPr>
              <w:pStyle w:val="TableContents"/>
              <w:spacing w:before="0" w:after="283"/>
              <w:rPr/>
            </w:pPr>
            <w:r>
              <w:rPr/>
              <w:t> </w:t>
            </w:r>
          </w:p>
        </w:tc>
        <w:tc>
          <w:tcPr>
            <w:tcW w:w="1013" w:type="dxa"/>
            <w:tcBorders/>
            <w:shd w:fill="auto" w:val="clear"/>
            <w:vAlign w:val="bottom"/>
          </w:tcPr>
          <w:p>
            <w:pPr>
              <w:pStyle w:val="TableContents"/>
              <w:spacing w:before="0" w:after="283"/>
              <w:jc w:val="right"/>
              <w:rPr>
                <w:rFonts w:ascii="times" w:hAnsi="times"/>
                <w:sz w:val="14"/>
              </w:rPr>
            </w:pPr>
            <w:r>
              <w:rPr>
                <w:rFonts w:ascii="times" w:hAnsi="times"/>
                <w:sz w:val="14"/>
              </w:rPr>
              <w:t>(7,308</w:t>
            </w:r>
          </w:p>
        </w:tc>
        <w:tc>
          <w:tcPr>
            <w:tcW w:w="187" w:type="dxa"/>
            <w:tcBorders/>
            <w:shd w:fill="auto" w:val="clear"/>
            <w:vAlign w:val="bottom"/>
          </w:tcPr>
          <w:p>
            <w:pPr>
              <w:pStyle w:val="TableContents"/>
              <w:spacing w:before="0" w:after="283"/>
              <w:rPr>
                <w:rFonts w:ascii="times" w:hAnsi="times"/>
                <w:sz w:val="14"/>
              </w:rPr>
            </w:pPr>
            <w:r>
              <w:rPr>
                <w:rFonts w:ascii="times" w:hAnsi="times"/>
                <w:sz w:val="14"/>
              </w:rPr>
              <w:t>)</w:t>
            </w:r>
          </w:p>
        </w:tc>
        <w:tc>
          <w:tcPr>
            <w:tcW w:w="62" w:type="dxa"/>
            <w:tcBorders/>
            <w:shd w:fill="auto" w:val="clear"/>
            <w:vAlign w:val="bottom"/>
          </w:tcPr>
          <w:p>
            <w:pPr>
              <w:pStyle w:val="TableContents"/>
              <w:spacing w:before="0" w:after="283"/>
              <w:rPr/>
            </w:pPr>
            <w:r>
              <w:rPr/>
              <w:t> </w:t>
            </w:r>
          </w:p>
        </w:tc>
        <w:tc>
          <w:tcPr>
            <w:tcW w:w="1013" w:type="dxa"/>
            <w:tcBorders/>
            <w:shd w:fill="auto" w:val="clear"/>
            <w:vAlign w:val="bottom"/>
          </w:tcPr>
          <w:p>
            <w:pPr>
              <w:pStyle w:val="TableContents"/>
              <w:spacing w:before="0" w:after="283"/>
              <w:jc w:val="right"/>
              <w:rPr>
                <w:rFonts w:ascii="times" w:hAnsi="times"/>
                <w:sz w:val="14"/>
              </w:rPr>
            </w:pPr>
            <w:r>
              <w:rPr>
                <w:rFonts w:ascii="times" w:hAnsi="times"/>
                <w:sz w:val="14"/>
              </w:rPr>
              <w:t></w:t>
            </w:r>
          </w:p>
        </w:tc>
        <w:tc>
          <w:tcPr>
            <w:tcW w:w="187" w:type="dxa"/>
            <w:tcBorders/>
            <w:shd w:fill="auto" w:val="clear"/>
            <w:vAlign w:val="bottom"/>
          </w:tcPr>
          <w:p>
            <w:pPr>
              <w:pStyle w:val="TableContents"/>
              <w:spacing w:before="0" w:after="283"/>
              <w:rPr/>
            </w:pPr>
            <w:r>
              <w:rPr/>
              <w:t> </w:t>
            </w:r>
          </w:p>
        </w:tc>
        <w:tc>
          <w:tcPr>
            <w:tcW w:w="99" w:type="dxa"/>
            <w:tcBorders/>
            <w:shd w:fill="auto" w:val="clear"/>
            <w:vAlign w:val="bottom"/>
          </w:tcPr>
          <w:p>
            <w:pPr>
              <w:pStyle w:val="TableContents"/>
              <w:spacing w:before="0" w:after="283"/>
              <w:rPr/>
            </w:pPr>
            <w:r>
              <w:rPr/>
              <w:t> </w:t>
            </w:r>
          </w:p>
        </w:tc>
        <w:tc>
          <w:tcPr>
            <w:tcW w:w="1012" w:type="dxa"/>
            <w:tcBorders/>
            <w:shd w:fill="auto" w:val="clear"/>
            <w:vAlign w:val="bottom"/>
          </w:tcPr>
          <w:p>
            <w:pPr>
              <w:pStyle w:val="TableContents"/>
              <w:spacing w:before="0" w:after="283"/>
              <w:jc w:val="right"/>
              <w:rPr>
                <w:rFonts w:ascii="times" w:hAnsi="times"/>
                <w:sz w:val="14"/>
              </w:rPr>
            </w:pPr>
            <w:r>
              <w:rPr>
                <w:rFonts w:ascii="times" w:hAnsi="times"/>
                <w:sz w:val="14"/>
              </w:rPr>
              <w:t>(10,443</w:t>
            </w:r>
          </w:p>
        </w:tc>
        <w:tc>
          <w:tcPr>
            <w:tcW w:w="187" w:type="dxa"/>
            <w:tcBorders/>
            <w:shd w:fill="auto" w:val="clear"/>
            <w:vAlign w:val="bottom"/>
          </w:tcPr>
          <w:p>
            <w:pPr>
              <w:pStyle w:val="TableContents"/>
              <w:spacing w:before="0" w:after="283"/>
              <w:rPr>
                <w:rFonts w:ascii="times" w:hAnsi="times"/>
                <w:sz w:val="14"/>
              </w:rPr>
            </w:pPr>
            <w:r>
              <w:rPr>
                <w:rFonts w:ascii="times" w:hAnsi="times"/>
                <w:sz w:val="14"/>
              </w:rPr>
              <w:t>)</w:t>
            </w:r>
          </w:p>
        </w:tc>
        <w:tc>
          <w:tcPr>
            <w:tcW w:w="99" w:type="dxa"/>
            <w:tcBorders/>
            <w:shd w:fill="auto" w:val="clear"/>
            <w:vAlign w:val="bottom"/>
          </w:tcPr>
          <w:p>
            <w:pPr>
              <w:pStyle w:val="TableContents"/>
              <w:spacing w:before="0" w:after="283"/>
              <w:rPr/>
            </w:pPr>
            <w:r>
              <w:rPr/>
              <w:t> </w:t>
            </w:r>
          </w:p>
        </w:tc>
        <w:tc>
          <w:tcPr>
            <w:tcW w:w="1013" w:type="dxa"/>
            <w:tcBorders/>
            <w:shd w:fill="auto" w:val="clear"/>
            <w:vAlign w:val="bottom"/>
          </w:tcPr>
          <w:p>
            <w:pPr>
              <w:pStyle w:val="TableContents"/>
              <w:spacing w:before="0" w:after="283"/>
              <w:jc w:val="right"/>
              <w:rPr>
                <w:rFonts w:ascii="times" w:hAnsi="times"/>
                <w:sz w:val="14"/>
              </w:rPr>
            </w:pPr>
            <w:r>
              <w:rPr>
                <w:rFonts w:ascii="times" w:hAnsi="times"/>
                <w:sz w:val="14"/>
              </w:rPr>
              <w:t>(10,443</w:t>
            </w:r>
          </w:p>
        </w:tc>
        <w:tc>
          <w:tcPr>
            <w:tcW w:w="187" w:type="dxa"/>
            <w:tcBorders/>
            <w:shd w:fill="auto" w:val="clear"/>
            <w:vAlign w:val="bottom"/>
          </w:tcPr>
          <w:p>
            <w:pPr>
              <w:pStyle w:val="TableContents"/>
              <w:spacing w:before="0" w:after="283"/>
              <w:rPr>
                <w:rFonts w:ascii="times" w:hAnsi="times"/>
                <w:sz w:val="14"/>
              </w:rPr>
            </w:pPr>
            <w:r>
              <w:rPr>
                <w:rFonts w:ascii="times" w:hAnsi="times"/>
                <w:sz w:val="14"/>
              </w:rPr>
              <w:t>)</w:t>
            </w:r>
          </w:p>
        </w:tc>
      </w:tr>
      <w:tr>
        <w:trPr/>
        <w:tc>
          <w:tcPr>
            <w:tcW w:w="2264" w:type="dxa"/>
            <w:tcBorders/>
            <w:shd w:fill="auto" w:val="clear"/>
            <w:vAlign w:val="bottom"/>
          </w:tcPr>
          <w:p>
            <w:pPr>
              <w:pStyle w:val="TableContents"/>
              <w:spacing w:before="0" w:after="283"/>
              <w:ind w:left="140" w:right="0" w:hanging="140"/>
              <w:rPr>
                <w:rFonts w:ascii="times" w:hAnsi="times"/>
                <w:sz w:val="14"/>
              </w:rPr>
            </w:pPr>
            <w:r>
              <w:rPr>
                <w:rFonts w:ascii="times" w:hAnsi="times"/>
                <w:sz w:val="14"/>
              </w:rPr>
              <w:t>Vessel operating costs</w:t>
            </w:r>
          </w:p>
        </w:tc>
        <w:tc>
          <w:tcPr>
            <w:tcW w:w="187" w:type="dxa"/>
            <w:tcBorders/>
            <w:shd w:fill="auto" w:val="clear"/>
            <w:vAlign w:val="bottom"/>
          </w:tcPr>
          <w:p>
            <w:pPr>
              <w:pStyle w:val="TableContents"/>
              <w:spacing w:before="0" w:after="283"/>
              <w:rPr/>
            </w:pPr>
            <w:r>
              <w:rPr/>
              <w:t> </w:t>
            </w:r>
          </w:p>
        </w:tc>
        <w:tc>
          <w:tcPr>
            <w:tcW w:w="99" w:type="dxa"/>
            <w:tcBorders/>
            <w:shd w:fill="auto" w:val="clear"/>
            <w:vAlign w:val="bottom"/>
          </w:tcPr>
          <w:p>
            <w:pPr>
              <w:pStyle w:val="TableContents"/>
              <w:spacing w:before="0" w:after="283"/>
              <w:rPr/>
            </w:pPr>
            <w:r>
              <w:rPr/>
              <w:t> </w:t>
            </w:r>
          </w:p>
        </w:tc>
        <w:tc>
          <w:tcPr>
            <w:tcW w:w="1012" w:type="dxa"/>
            <w:tcBorders/>
            <w:shd w:fill="auto" w:val="clear"/>
            <w:vAlign w:val="bottom"/>
          </w:tcPr>
          <w:p>
            <w:pPr>
              <w:pStyle w:val="TableContents"/>
              <w:spacing w:before="0" w:after="283"/>
              <w:jc w:val="right"/>
              <w:rPr>
                <w:rFonts w:ascii="times" w:hAnsi="times"/>
                <w:sz w:val="14"/>
              </w:rPr>
            </w:pPr>
            <w:r>
              <w:rPr>
                <w:rFonts w:ascii="times" w:hAnsi="times"/>
                <w:sz w:val="14"/>
              </w:rPr>
              <w:t>(1,513</w:t>
            </w:r>
          </w:p>
        </w:tc>
        <w:tc>
          <w:tcPr>
            <w:tcW w:w="187" w:type="dxa"/>
            <w:tcBorders/>
            <w:shd w:fill="auto" w:val="clear"/>
            <w:vAlign w:val="bottom"/>
          </w:tcPr>
          <w:p>
            <w:pPr>
              <w:pStyle w:val="TableContents"/>
              <w:spacing w:before="0" w:after="283"/>
              <w:rPr>
                <w:rFonts w:ascii="times" w:hAnsi="times"/>
                <w:sz w:val="14"/>
              </w:rPr>
            </w:pPr>
            <w:r>
              <w:rPr>
                <w:rFonts w:ascii="times" w:hAnsi="times"/>
                <w:sz w:val="14"/>
              </w:rPr>
              <w:t>)</w:t>
            </w:r>
          </w:p>
        </w:tc>
        <w:tc>
          <w:tcPr>
            <w:tcW w:w="99" w:type="dxa"/>
            <w:tcBorders/>
            <w:shd w:fill="auto" w:val="clear"/>
            <w:vAlign w:val="bottom"/>
          </w:tcPr>
          <w:p>
            <w:pPr>
              <w:pStyle w:val="TableContents"/>
              <w:spacing w:before="0" w:after="283"/>
              <w:rPr/>
            </w:pPr>
            <w:r>
              <w:rPr/>
              <w:t> </w:t>
            </w:r>
          </w:p>
        </w:tc>
        <w:tc>
          <w:tcPr>
            <w:tcW w:w="1013" w:type="dxa"/>
            <w:tcBorders/>
            <w:shd w:fill="auto" w:val="clear"/>
            <w:vAlign w:val="bottom"/>
          </w:tcPr>
          <w:p>
            <w:pPr>
              <w:pStyle w:val="TableContents"/>
              <w:spacing w:before="0" w:after="283"/>
              <w:jc w:val="right"/>
              <w:rPr>
                <w:rFonts w:ascii="times" w:hAnsi="times"/>
                <w:sz w:val="14"/>
              </w:rPr>
            </w:pPr>
            <w:r>
              <w:rPr>
                <w:rFonts w:ascii="times" w:hAnsi="times"/>
                <w:sz w:val="14"/>
              </w:rPr>
              <w:t>(75,229</w:t>
            </w:r>
          </w:p>
        </w:tc>
        <w:tc>
          <w:tcPr>
            <w:tcW w:w="187" w:type="dxa"/>
            <w:tcBorders/>
            <w:shd w:fill="auto" w:val="clear"/>
            <w:vAlign w:val="bottom"/>
          </w:tcPr>
          <w:p>
            <w:pPr>
              <w:pStyle w:val="TableContents"/>
              <w:spacing w:before="0" w:after="283"/>
              <w:rPr>
                <w:rFonts w:ascii="times" w:hAnsi="times"/>
                <w:sz w:val="14"/>
              </w:rPr>
            </w:pPr>
            <w:r>
              <w:rPr>
                <w:rFonts w:ascii="times" w:hAnsi="times"/>
                <w:sz w:val="14"/>
              </w:rPr>
              <w:t>)</w:t>
            </w:r>
          </w:p>
        </w:tc>
        <w:tc>
          <w:tcPr>
            <w:tcW w:w="98" w:type="dxa"/>
            <w:tcBorders/>
            <w:shd w:fill="auto" w:val="clear"/>
            <w:vAlign w:val="bottom"/>
          </w:tcPr>
          <w:p>
            <w:pPr>
              <w:pStyle w:val="TableContents"/>
              <w:spacing w:before="0" w:after="283"/>
              <w:rPr/>
            </w:pPr>
            <w:r>
              <w:rPr/>
              <w:t> </w:t>
            </w:r>
          </w:p>
        </w:tc>
        <w:tc>
          <w:tcPr>
            <w:tcW w:w="1013" w:type="dxa"/>
            <w:tcBorders/>
            <w:shd w:fill="auto" w:val="clear"/>
            <w:vAlign w:val="bottom"/>
          </w:tcPr>
          <w:p>
            <w:pPr>
              <w:pStyle w:val="TableContents"/>
              <w:spacing w:before="0" w:after="283"/>
              <w:jc w:val="right"/>
              <w:rPr>
                <w:rFonts w:ascii="times" w:hAnsi="times"/>
                <w:sz w:val="14"/>
              </w:rPr>
            </w:pPr>
            <w:r>
              <w:rPr>
                <w:rFonts w:ascii="times" w:hAnsi="times"/>
                <w:sz w:val="14"/>
              </w:rPr>
              <w:t>(76,742</w:t>
            </w:r>
          </w:p>
        </w:tc>
        <w:tc>
          <w:tcPr>
            <w:tcW w:w="187" w:type="dxa"/>
            <w:tcBorders/>
            <w:shd w:fill="auto" w:val="clear"/>
            <w:vAlign w:val="bottom"/>
          </w:tcPr>
          <w:p>
            <w:pPr>
              <w:pStyle w:val="TableContents"/>
              <w:spacing w:before="0" w:after="283"/>
              <w:rPr>
                <w:rFonts w:ascii="times" w:hAnsi="times"/>
                <w:sz w:val="14"/>
              </w:rPr>
            </w:pPr>
            <w:r>
              <w:rPr>
                <w:rFonts w:ascii="times" w:hAnsi="times"/>
                <w:sz w:val="14"/>
              </w:rPr>
              <w:t>)</w:t>
            </w:r>
          </w:p>
        </w:tc>
        <w:tc>
          <w:tcPr>
            <w:tcW w:w="62" w:type="dxa"/>
            <w:tcBorders/>
            <w:shd w:fill="auto" w:val="clear"/>
            <w:vAlign w:val="bottom"/>
          </w:tcPr>
          <w:p>
            <w:pPr>
              <w:pStyle w:val="TableContents"/>
              <w:spacing w:before="0" w:after="283"/>
              <w:rPr/>
            </w:pPr>
            <w:r>
              <w:rPr/>
              <w:t> </w:t>
            </w:r>
          </w:p>
        </w:tc>
        <w:tc>
          <w:tcPr>
            <w:tcW w:w="1013" w:type="dxa"/>
            <w:tcBorders/>
            <w:shd w:fill="auto" w:val="clear"/>
            <w:vAlign w:val="bottom"/>
          </w:tcPr>
          <w:p>
            <w:pPr>
              <w:pStyle w:val="TableContents"/>
              <w:spacing w:before="0" w:after="283"/>
              <w:jc w:val="right"/>
              <w:rPr>
                <w:rFonts w:ascii="times" w:hAnsi="times"/>
                <w:sz w:val="14"/>
              </w:rPr>
            </w:pPr>
            <w:r>
              <w:rPr>
                <w:rFonts w:ascii="times" w:hAnsi="times"/>
                <w:sz w:val="14"/>
              </w:rPr>
              <w:t></w:t>
            </w:r>
          </w:p>
        </w:tc>
        <w:tc>
          <w:tcPr>
            <w:tcW w:w="187" w:type="dxa"/>
            <w:tcBorders/>
            <w:shd w:fill="auto" w:val="clear"/>
            <w:vAlign w:val="bottom"/>
          </w:tcPr>
          <w:p>
            <w:pPr>
              <w:pStyle w:val="TableContents"/>
              <w:spacing w:before="0" w:after="283"/>
              <w:rPr/>
            </w:pPr>
            <w:r>
              <w:rPr/>
              <w:t> </w:t>
            </w:r>
          </w:p>
        </w:tc>
        <w:tc>
          <w:tcPr>
            <w:tcW w:w="99" w:type="dxa"/>
            <w:tcBorders/>
            <w:shd w:fill="auto" w:val="clear"/>
            <w:vAlign w:val="bottom"/>
          </w:tcPr>
          <w:p>
            <w:pPr>
              <w:pStyle w:val="TableContents"/>
              <w:spacing w:before="0" w:after="283"/>
              <w:rPr/>
            </w:pPr>
            <w:r>
              <w:rPr/>
              <w:t> </w:t>
            </w:r>
          </w:p>
        </w:tc>
        <w:tc>
          <w:tcPr>
            <w:tcW w:w="1012" w:type="dxa"/>
            <w:tcBorders/>
            <w:shd w:fill="auto" w:val="clear"/>
            <w:vAlign w:val="bottom"/>
          </w:tcPr>
          <w:p>
            <w:pPr>
              <w:pStyle w:val="TableContents"/>
              <w:spacing w:before="0" w:after="283"/>
              <w:jc w:val="right"/>
              <w:rPr>
                <w:rFonts w:ascii="times" w:hAnsi="times"/>
                <w:sz w:val="14"/>
              </w:rPr>
            </w:pPr>
            <w:r>
              <w:rPr>
                <w:rFonts w:ascii="times" w:hAnsi="times"/>
                <w:sz w:val="14"/>
              </w:rPr>
              <w:t>(74,798</w:t>
            </w:r>
          </w:p>
        </w:tc>
        <w:tc>
          <w:tcPr>
            <w:tcW w:w="187" w:type="dxa"/>
            <w:tcBorders/>
            <w:shd w:fill="auto" w:val="clear"/>
            <w:vAlign w:val="bottom"/>
          </w:tcPr>
          <w:p>
            <w:pPr>
              <w:pStyle w:val="TableContents"/>
              <w:spacing w:before="0" w:after="283"/>
              <w:rPr>
                <w:rFonts w:ascii="times" w:hAnsi="times"/>
                <w:sz w:val="14"/>
              </w:rPr>
            </w:pPr>
            <w:r>
              <w:rPr>
                <w:rFonts w:ascii="times" w:hAnsi="times"/>
                <w:sz w:val="14"/>
              </w:rPr>
              <w:t>)</w:t>
            </w:r>
          </w:p>
        </w:tc>
        <w:tc>
          <w:tcPr>
            <w:tcW w:w="99" w:type="dxa"/>
            <w:tcBorders/>
            <w:shd w:fill="auto" w:val="clear"/>
            <w:vAlign w:val="bottom"/>
          </w:tcPr>
          <w:p>
            <w:pPr>
              <w:pStyle w:val="TableContents"/>
              <w:spacing w:before="0" w:after="283"/>
              <w:rPr/>
            </w:pPr>
            <w:r>
              <w:rPr/>
              <w:t> </w:t>
            </w:r>
          </w:p>
        </w:tc>
        <w:tc>
          <w:tcPr>
            <w:tcW w:w="1013" w:type="dxa"/>
            <w:tcBorders/>
            <w:shd w:fill="auto" w:val="clear"/>
            <w:vAlign w:val="bottom"/>
          </w:tcPr>
          <w:p>
            <w:pPr>
              <w:pStyle w:val="TableContents"/>
              <w:spacing w:before="0" w:after="283"/>
              <w:jc w:val="right"/>
              <w:rPr>
                <w:rFonts w:ascii="times" w:hAnsi="times"/>
                <w:sz w:val="14"/>
              </w:rPr>
            </w:pPr>
            <w:r>
              <w:rPr>
                <w:rFonts w:ascii="times" w:hAnsi="times"/>
                <w:sz w:val="14"/>
              </w:rPr>
              <w:t>(74,798</w:t>
            </w:r>
          </w:p>
        </w:tc>
        <w:tc>
          <w:tcPr>
            <w:tcW w:w="187" w:type="dxa"/>
            <w:tcBorders/>
            <w:shd w:fill="auto" w:val="clear"/>
            <w:vAlign w:val="bottom"/>
          </w:tcPr>
          <w:p>
            <w:pPr>
              <w:pStyle w:val="TableContents"/>
              <w:spacing w:before="0" w:after="283"/>
              <w:rPr>
                <w:rFonts w:ascii="times" w:hAnsi="times"/>
                <w:sz w:val="14"/>
              </w:rPr>
            </w:pPr>
            <w:r>
              <w:rPr>
                <w:rFonts w:ascii="times" w:hAnsi="times"/>
                <w:sz w:val="14"/>
              </w:rPr>
              <w:t>)</w:t>
            </w:r>
          </w:p>
        </w:tc>
      </w:tr>
      <w:tr>
        <w:trPr/>
        <w:tc>
          <w:tcPr>
            <w:tcW w:w="2264" w:type="dxa"/>
            <w:tcBorders/>
            <w:shd w:fill="auto" w:val="clear"/>
            <w:vAlign w:val="bottom"/>
          </w:tcPr>
          <w:p>
            <w:pPr>
              <w:pStyle w:val="TableContents"/>
              <w:spacing w:before="0" w:after="283"/>
              <w:ind w:left="140" w:right="0" w:hanging="140"/>
              <w:rPr>
                <w:rFonts w:ascii="times" w:hAnsi="times"/>
                <w:sz w:val="14"/>
              </w:rPr>
            </w:pPr>
            <w:r>
              <w:rPr>
                <w:rFonts w:ascii="times" w:hAnsi="times"/>
                <w:sz w:val="14"/>
              </w:rPr>
              <w:t>Depreciation</w:t>
            </w:r>
          </w:p>
        </w:tc>
        <w:tc>
          <w:tcPr>
            <w:tcW w:w="187" w:type="dxa"/>
            <w:tcBorders/>
            <w:shd w:fill="auto" w:val="clear"/>
            <w:vAlign w:val="bottom"/>
          </w:tcPr>
          <w:p>
            <w:pPr>
              <w:pStyle w:val="TableContents"/>
              <w:spacing w:before="0" w:after="283"/>
              <w:rPr/>
            </w:pPr>
            <w:r>
              <w:rPr/>
              <w:t> </w:t>
            </w:r>
          </w:p>
        </w:tc>
        <w:tc>
          <w:tcPr>
            <w:tcW w:w="99" w:type="dxa"/>
            <w:tcBorders/>
            <w:shd w:fill="auto" w:val="clear"/>
            <w:vAlign w:val="bottom"/>
          </w:tcPr>
          <w:p>
            <w:pPr>
              <w:pStyle w:val="TableContents"/>
              <w:spacing w:before="0" w:after="283"/>
              <w:rPr/>
            </w:pPr>
            <w:r>
              <w:rPr/>
              <w:t> </w:t>
            </w:r>
          </w:p>
        </w:tc>
        <w:tc>
          <w:tcPr>
            <w:tcW w:w="1012" w:type="dxa"/>
            <w:tcBorders/>
            <w:shd w:fill="auto" w:val="clear"/>
            <w:vAlign w:val="bottom"/>
          </w:tcPr>
          <w:p>
            <w:pPr>
              <w:pStyle w:val="TableContents"/>
              <w:spacing w:before="0" w:after="283"/>
              <w:jc w:val="right"/>
              <w:rPr>
                <w:rFonts w:ascii="times" w:hAnsi="times"/>
                <w:sz w:val="14"/>
              </w:rPr>
            </w:pPr>
            <w:r>
              <w:rPr>
                <w:rFonts w:ascii="times" w:hAnsi="times"/>
                <w:sz w:val="14"/>
              </w:rPr>
              <w:t>(1,490</w:t>
            </w:r>
          </w:p>
        </w:tc>
        <w:tc>
          <w:tcPr>
            <w:tcW w:w="187" w:type="dxa"/>
            <w:tcBorders/>
            <w:shd w:fill="auto" w:val="clear"/>
            <w:vAlign w:val="bottom"/>
          </w:tcPr>
          <w:p>
            <w:pPr>
              <w:pStyle w:val="TableContents"/>
              <w:spacing w:before="0" w:after="283"/>
              <w:rPr>
                <w:rFonts w:ascii="times" w:hAnsi="times"/>
                <w:sz w:val="14"/>
              </w:rPr>
            </w:pPr>
            <w:r>
              <w:rPr>
                <w:rFonts w:ascii="times" w:hAnsi="times"/>
                <w:sz w:val="14"/>
              </w:rPr>
              <w:t>)</w:t>
            </w:r>
          </w:p>
        </w:tc>
        <w:tc>
          <w:tcPr>
            <w:tcW w:w="99" w:type="dxa"/>
            <w:tcBorders/>
            <w:shd w:fill="auto" w:val="clear"/>
            <w:vAlign w:val="bottom"/>
          </w:tcPr>
          <w:p>
            <w:pPr>
              <w:pStyle w:val="TableContents"/>
              <w:spacing w:before="0" w:after="283"/>
              <w:rPr/>
            </w:pPr>
            <w:r>
              <w:rPr/>
              <w:t> </w:t>
            </w:r>
          </w:p>
        </w:tc>
        <w:tc>
          <w:tcPr>
            <w:tcW w:w="1013" w:type="dxa"/>
            <w:tcBorders/>
            <w:shd w:fill="auto" w:val="clear"/>
            <w:vAlign w:val="bottom"/>
          </w:tcPr>
          <w:p>
            <w:pPr>
              <w:pStyle w:val="TableContents"/>
              <w:spacing w:before="0" w:after="283"/>
              <w:jc w:val="right"/>
              <w:rPr>
                <w:rFonts w:ascii="times" w:hAnsi="times"/>
                <w:sz w:val="14"/>
              </w:rPr>
            </w:pPr>
            <w:r>
              <w:rPr>
                <w:rFonts w:ascii="times" w:hAnsi="times"/>
                <w:sz w:val="14"/>
              </w:rPr>
              <w:t>(87,819</w:t>
            </w:r>
          </w:p>
        </w:tc>
        <w:tc>
          <w:tcPr>
            <w:tcW w:w="187" w:type="dxa"/>
            <w:tcBorders/>
            <w:shd w:fill="auto" w:val="clear"/>
            <w:vAlign w:val="bottom"/>
          </w:tcPr>
          <w:p>
            <w:pPr>
              <w:pStyle w:val="TableContents"/>
              <w:spacing w:before="0" w:after="283"/>
              <w:rPr>
                <w:rFonts w:ascii="times" w:hAnsi="times"/>
                <w:sz w:val="14"/>
              </w:rPr>
            </w:pPr>
            <w:r>
              <w:rPr>
                <w:rFonts w:ascii="times" w:hAnsi="times"/>
                <w:sz w:val="14"/>
              </w:rPr>
              <w:t>)</w:t>
            </w:r>
          </w:p>
        </w:tc>
        <w:tc>
          <w:tcPr>
            <w:tcW w:w="98" w:type="dxa"/>
            <w:tcBorders/>
            <w:shd w:fill="auto" w:val="clear"/>
            <w:vAlign w:val="bottom"/>
          </w:tcPr>
          <w:p>
            <w:pPr>
              <w:pStyle w:val="TableContents"/>
              <w:spacing w:before="0" w:after="283"/>
              <w:rPr/>
            </w:pPr>
            <w:r>
              <w:rPr/>
              <w:t> </w:t>
            </w:r>
          </w:p>
        </w:tc>
        <w:tc>
          <w:tcPr>
            <w:tcW w:w="1013" w:type="dxa"/>
            <w:tcBorders/>
            <w:shd w:fill="auto" w:val="clear"/>
            <w:vAlign w:val="bottom"/>
          </w:tcPr>
          <w:p>
            <w:pPr>
              <w:pStyle w:val="TableContents"/>
              <w:spacing w:before="0" w:after="283"/>
              <w:jc w:val="right"/>
              <w:rPr>
                <w:rFonts w:ascii="times" w:hAnsi="times"/>
                <w:sz w:val="14"/>
              </w:rPr>
            </w:pPr>
            <w:r>
              <w:rPr>
                <w:rFonts w:ascii="times" w:hAnsi="times"/>
                <w:sz w:val="14"/>
              </w:rPr>
              <w:t>(89,309</w:t>
            </w:r>
          </w:p>
        </w:tc>
        <w:tc>
          <w:tcPr>
            <w:tcW w:w="187" w:type="dxa"/>
            <w:tcBorders/>
            <w:shd w:fill="auto" w:val="clear"/>
            <w:vAlign w:val="bottom"/>
          </w:tcPr>
          <w:p>
            <w:pPr>
              <w:pStyle w:val="TableContents"/>
              <w:spacing w:before="0" w:after="283"/>
              <w:rPr>
                <w:rFonts w:ascii="times" w:hAnsi="times"/>
                <w:sz w:val="14"/>
              </w:rPr>
            </w:pPr>
            <w:r>
              <w:rPr>
                <w:rFonts w:ascii="times" w:hAnsi="times"/>
                <w:sz w:val="14"/>
              </w:rPr>
              <w:t>)</w:t>
            </w:r>
          </w:p>
        </w:tc>
        <w:tc>
          <w:tcPr>
            <w:tcW w:w="62" w:type="dxa"/>
            <w:tcBorders/>
            <w:shd w:fill="auto" w:val="clear"/>
            <w:vAlign w:val="bottom"/>
          </w:tcPr>
          <w:p>
            <w:pPr>
              <w:pStyle w:val="TableContents"/>
              <w:spacing w:before="0" w:after="283"/>
              <w:rPr/>
            </w:pPr>
            <w:r>
              <w:rPr/>
              <w:t> </w:t>
            </w:r>
          </w:p>
        </w:tc>
        <w:tc>
          <w:tcPr>
            <w:tcW w:w="1013" w:type="dxa"/>
            <w:tcBorders/>
            <w:shd w:fill="auto" w:val="clear"/>
            <w:vAlign w:val="bottom"/>
          </w:tcPr>
          <w:p>
            <w:pPr>
              <w:pStyle w:val="TableContents"/>
              <w:spacing w:before="0" w:after="283"/>
              <w:jc w:val="right"/>
              <w:rPr>
                <w:rFonts w:ascii="times" w:hAnsi="times"/>
                <w:sz w:val="14"/>
              </w:rPr>
            </w:pPr>
            <w:r>
              <w:rPr>
                <w:rFonts w:ascii="times" w:hAnsi="times"/>
                <w:sz w:val="14"/>
              </w:rPr>
              <w:t></w:t>
            </w:r>
          </w:p>
        </w:tc>
        <w:tc>
          <w:tcPr>
            <w:tcW w:w="187" w:type="dxa"/>
            <w:tcBorders/>
            <w:shd w:fill="auto" w:val="clear"/>
            <w:vAlign w:val="bottom"/>
          </w:tcPr>
          <w:p>
            <w:pPr>
              <w:pStyle w:val="TableContents"/>
              <w:spacing w:before="0" w:after="283"/>
              <w:rPr/>
            </w:pPr>
            <w:r>
              <w:rPr/>
              <w:t> </w:t>
            </w:r>
          </w:p>
        </w:tc>
        <w:tc>
          <w:tcPr>
            <w:tcW w:w="99" w:type="dxa"/>
            <w:tcBorders/>
            <w:shd w:fill="auto" w:val="clear"/>
            <w:vAlign w:val="bottom"/>
          </w:tcPr>
          <w:p>
            <w:pPr>
              <w:pStyle w:val="TableContents"/>
              <w:spacing w:before="0" w:after="283"/>
              <w:rPr/>
            </w:pPr>
            <w:r>
              <w:rPr/>
              <w:t> </w:t>
            </w:r>
          </w:p>
        </w:tc>
        <w:tc>
          <w:tcPr>
            <w:tcW w:w="1012" w:type="dxa"/>
            <w:tcBorders/>
            <w:shd w:fill="auto" w:val="clear"/>
            <w:vAlign w:val="bottom"/>
          </w:tcPr>
          <w:p>
            <w:pPr>
              <w:pStyle w:val="TableContents"/>
              <w:spacing w:before="0" w:after="283"/>
              <w:jc w:val="right"/>
              <w:rPr>
                <w:rFonts w:ascii="times" w:hAnsi="times"/>
                <w:sz w:val="14"/>
              </w:rPr>
            </w:pPr>
            <w:r>
              <w:rPr>
                <w:rFonts w:ascii="times" w:hAnsi="times"/>
                <w:sz w:val="14"/>
              </w:rPr>
              <w:t>(83,058</w:t>
            </w:r>
          </w:p>
        </w:tc>
        <w:tc>
          <w:tcPr>
            <w:tcW w:w="187" w:type="dxa"/>
            <w:tcBorders/>
            <w:shd w:fill="auto" w:val="clear"/>
            <w:vAlign w:val="bottom"/>
          </w:tcPr>
          <w:p>
            <w:pPr>
              <w:pStyle w:val="TableContents"/>
              <w:spacing w:before="0" w:after="283"/>
              <w:rPr>
                <w:rFonts w:ascii="times" w:hAnsi="times"/>
                <w:sz w:val="14"/>
              </w:rPr>
            </w:pPr>
            <w:r>
              <w:rPr>
                <w:rFonts w:ascii="times" w:hAnsi="times"/>
                <w:sz w:val="14"/>
              </w:rPr>
              <w:t>)</w:t>
            </w:r>
          </w:p>
        </w:tc>
        <w:tc>
          <w:tcPr>
            <w:tcW w:w="99" w:type="dxa"/>
            <w:tcBorders/>
            <w:shd w:fill="auto" w:val="clear"/>
            <w:vAlign w:val="bottom"/>
          </w:tcPr>
          <w:p>
            <w:pPr>
              <w:pStyle w:val="TableContents"/>
              <w:spacing w:before="0" w:after="283"/>
              <w:rPr/>
            </w:pPr>
            <w:r>
              <w:rPr/>
              <w:t> </w:t>
            </w:r>
          </w:p>
        </w:tc>
        <w:tc>
          <w:tcPr>
            <w:tcW w:w="1013" w:type="dxa"/>
            <w:tcBorders/>
            <w:shd w:fill="auto" w:val="clear"/>
            <w:vAlign w:val="bottom"/>
          </w:tcPr>
          <w:p>
            <w:pPr>
              <w:pStyle w:val="TableContents"/>
              <w:spacing w:before="0" w:after="283"/>
              <w:jc w:val="right"/>
              <w:rPr>
                <w:rFonts w:ascii="times" w:hAnsi="times"/>
                <w:sz w:val="14"/>
              </w:rPr>
            </w:pPr>
            <w:r>
              <w:rPr>
                <w:rFonts w:ascii="times" w:hAnsi="times"/>
                <w:sz w:val="14"/>
              </w:rPr>
              <w:t>(83,058</w:t>
            </w:r>
          </w:p>
        </w:tc>
        <w:tc>
          <w:tcPr>
            <w:tcW w:w="187" w:type="dxa"/>
            <w:tcBorders/>
            <w:shd w:fill="auto" w:val="clear"/>
            <w:vAlign w:val="bottom"/>
          </w:tcPr>
          <w:p>
            <w:pPr>
              <w:pStyle w:val="TableContents"/>
              <w:spacing w:before="0" w:after="283"/>
              <w:rPr>
                <w:rFonts w:ascii="times" w:hAnsi="times"/>
                <w:sz w:val="14"/>
              </w:rPr>
            </w:pPr>
            <w:r>
              <w:rPr>
                <w:rFonts w:ascii="times" w:hAnsi="times"/>
                <w:sz w:val="14"/>
              </w:rPr>
              <w:t>)</w:t>
            </w:r>
          </w:p>
        </w:tc>
      </w:tr>
      <w:tr>
        <w:trPr/>
        <w:tc>
          <w:tcPr>
            <w:tcW w:w="2264" w:type="dxa"/>
            <w:tcBorders/>
            <w:shd w:fill="auto" w:val="clear"/>
            <w:vAlign w:val="bottom"/>
          </w:tcPr>
          <w:p>
            <w:pPr>
              <w:pStyle w:val="TableContents"/>
              <w:spacing w:before="0" w:after="283"/>
              <w:ind w:left="140" w:right="0" w:hanging="140"/>
              <w:rPr>
                <w:rFonts w:ascii="times" w:hAnsi="times"/>
                <w:sz w:val="14"/>
              </w:rPr>
            </w:pPr>
            <w:r>
              <w:rPr>
                <w:rFonts w:ascii="times" w:hAnsi="times"/>
                <w:sz w:val="14"/>
              </w:rPr>
              <w:t>General and administrative expenses</w:t>
            </w:r>
          </w:p>
        </w:tc>
        <w:tc>
          <w:tcPr>
            <w:tcW w:w="187" w:type="dxa"/>
            <w:tcBorders/>
            <w:shd w:fill="auto" w:val="clear"/>
            <w:vAlign w:val="bottom"/>
          </w:tcPr>
          <w:p>
            <w:pPr>
              <w:pStyle w:val="TableContents"/>
              <w:spacing w:before="0" w:after="283"/>
              <w:rPr/>
            </w:pPr>
            <w:r>
              <w:rPr/>
              <w:t> </w:t>
            </w:r>
          </w:p>
        </w:tc>
        <w:tc>
          <w:tcPr>
            <w:tcW w:w="99" w:type="dxa"/>
            <w:tcBorders/>
            <w:shd w:fill="auto" w:val="clear"/>
            <w:vAlign w:val="bottom"/>
          </w:tcPr>
          <w:p>
            <w:pPr>
              <w:pStyle w:val="TableContents"/>
              <w:spacing w:before="0" w:after="283"/>
              <w:rPr/>
            </w:pPr>
            <w:r>
              <w:rPr/>
              <w:t> </w:t>
            </w:r>
          </w:p>
        </w:tc>
        <w:tc>
          <w:tcPr>
            <w:tcW w:w="1012" w:type="dxa"/>
            <w:tcBorders/>
            <w:shd w:fill="auto" w:val="clear"/>
            <w:vAlign w:val="bottom"/>
          </w:tcPr>
          <w:p>
            <w:pPr>
              <w:pStyle w:val="TableContents"/>
              <w:spacing w:before="0" w:after="283"/>
              <w:jc w:val="right"/>
              <w:rPr>
                <w:rFonts w:ascii="times" w:hAnsi="times"/>
                <w:sz w:val="14"/>
              </w:rPr>
            </w:pPr>
            <w:r>
              <w:rPr>
                <w:rFonts w:ascii="times" w:hAnsi="times"/>
                <w:sz w:val="14"/>
              </w:rPr>
              <w:t>(96</w:t>
            </w:r>
          </w:p>
        </w:tc>
        <w:tc>
          <w:tcPr>
            <w:tcW w:w="187" w:type="dxa"/>
            <w:tcBorders/>
            <w:shd w:fill="auto" w:val="clear"/>
            <w:vAlign w:val="bottom"/>
          </w:tcPr>
          <w:p>
            <w:pPr>
              <w:pStyle w:val="TableContents"/>
              <w:spacing w:before="0" w:after="283"/>
              <w:rPr>
                <w:rFonts w:ascii="times" w:hAnsi="times"/>
                <w:sz w:val="14"/>
              </w:rPr>
            </w:pPr>
            <w:r>
              <w:rPr>
                <w:rFonts w:ascii="times" w:hAnsi="times"/>
                <w:sz w:val="14"/>
              </w:rPr>
              <w:t>)</w:t>
            </w:r>
          </w:p>
        </w:tc>
        <w:tc>
          <w:tcPr>
            <w:tcW w:w="99" w:type="dxa"/>
            <w:tcBorders/>
            <w:shd w:fill="auto" w:val="clear"/>
            <w:vAlign w:val="bottom"/>
          </w:tcPr>
          <w:p>
            <w:pPr>
              <w:pStyle w:val="TableContents"/>
              <w:spacing w:before="0" w:after="283"/>
              <w:rPr/>
            </w:pPr>
            <w:r>
              <w:rPr/>
              <w:t> </w:t>
            </w:r>
          </w:p>
        </w:tc>
        <w:tc>
          <w:tcPr>
            <w:tcW w:w="1013" w:type="dxa"/>
            <w:tcBorders/>
            <w:shd w:fill="auto" w:val="clear"/>
            <w:vAlign w:val="bottom"/>
          </w:tcPr>
          <w:p>
            <w:pPr>
              <w:pStyle w:val="TableContents"/>
              <w:spacing w:before="0" w:after="283"/>
              <w:jc w:val="right"/>
              <w:rPr>
                <w:rFonts w:ascii="times" w:hAnsi="times"/>
                <w:sz w:val="14"/>
              </w:rPr>
            </w:pPr>
            <w:r>
              <w:rPr>
                <w:rFonts w:ascii="times" w:hAnsi="times"/>
                <w:sz w:val="14"/>
              </w:rPr>
              <w:t>(19,305</w:t>
            </w:r>
          </w:p>
        </w:tc>
        <w:tc>
          <w:tcPr>
            <w:tcW w:w="187" w:type="dxa"/>
            <w:tcBorders/>
            <w:shd w:fill="auto" w:val="clear"/>
            <w:vAlign w:val="bottom"/>
          </w:tcPr>
          <w:p>
            <w:pPr>
              <w:pStyle w:val="TableContents"/>
              <w:spacing w:before="0" w:after="283"/>
              <w:rPr>
                <w:rFonts w:ascii="times" w:hAnsi="times"/>
                <w:sz w:val="14"/>
              </w:rPr>
            </w:pPr>
            <w:r>
              <w:rPr>
                <w:rFonts w:ascii="times" w:hAnsi="times"/>
                <w:sz w:val="14"/>
              </w:rPr>
              <w:t>)</w:t>
            </w:r>
          </w:p>
        </w:tc>
        <w:tc>
          <w:tcPr>
            <w:tcW w:w="98" w:type="dxa"/>
            <w:tcBorders/>
            <w:shd w:fill="auto" w:val="clear"/>
            <w:vAlign w:val="bottom"/>
          </w:tcPr>
          <w:p>
            <w:pPr>
              <w:pStyle w:val="TableContents"/>
              <w:spacing w:before="0" w:after="283"/>
              <w:rPr/>
            </w:pPr>
            <w:r>
              <w:rPr/>
              <w:t> </w:t>
            </w:r>
          </w:p>
        </w:tc>
        <w:tc>
          <w:tcPr>
            <w:tcW w:w="1013" w:type="dxa"/>
            <w:tcBorders/>
            <w:shd w:fill="auto" w:val="clear"/>
            <w:vAlign w:val="bottom"/>
          </w:tcPr>
          <w:p>
            <w:pPr>
              <w:pStyle w:val="TableContents"/>
              <w:spacing w:before="0" w:after="283"/>
              <w:jc w:val="right"/>
              <w:rPr>
                <w:rFonts w:ascii="times" w:hAnsi="times"/>
                <w:sz w:val="14"/>
              </w:rPr>
            </w:pPr>
            <w:r>
              <w:rPr>
                <w:rFonts w:ascii="times" w:hAnsi="times"/>
                <w:sz w:val="14"/>
              </w:rPr>
              <w:t>(19,401</w:t>
            </w:r>
          </w:p>
        </w:tc>
        <w:tc>
          <w:tcPr>
            <w:tcW w:w="187" w:type="dxa"/>
            <w:tcBorders/>
            <w:shd w:fill="auto" w:val="clear"/>
            <w:vAlign w:val="bottom"/>
          </w:tcPr>
          <w:p>
            <w:pPr>
              <w:pStyle w:val="TableContents"/>
              <w:spacing w:before="0" w:after="283"/>
              <w:rPr>
                <w:rFonts w:ascii="times" w:hAnsi="times"/>
                <w:sz w:val="14"/>
              </w:rPr>
            </w:pPr>
            <w:r>
              <w:rPr>
                <w:rFonts w:ascii="times" w:hAnsi="times"/>
                <w:sz w:val="14"/>
              </w:rPr>
              <w:t>)</w:t>
            </w:r>
          </w:p>
        </w:tc>
        <w:tc>
          <w:tcPr>
            <w:tcW w:w="62" w:type="dxa"/>
            <w:tcBorders/>
            <w:shd w:fill="auto" w:val="clear"/>
            <w:vAlign w:val="bottom"/>
          </w:tcPr>
          <w:p>
            <w:pPr>
              <w:pStyle w:val="TableContents"/>
              <w:spacing w:before="0" w:after="283"/>
              <w:rPr/>
            </w:pPr>
            <w:r>
              <w:rPr/>
              <w:t> </w:t>
            </w:r>
          </w:p>
        </w:tc>
        <w:tc>
          <w:tcPr>
            <w:tcW w:w="1013" w:type="dxa"/>
            <w:tcBorders/>
            <w:shd w:fill="auto" w:val="clear"/>
            <w:vAlign w:val="bottom"/>
          </w:tcPr>
          <w:p>
            <w:pPr>
              <w:pStyle w:val="TableContents"/>
              <w:spacing w:before="0" w:after="283"/>
              <w:jc w:val="right"/>
              <w:rPr>
                <w:rFonts w:ascii="times" w:hAnsi="times"/>
                <w:sz w:val="14"/>
              </w:rPr>
            </w:pPr>
            <w:r>
              <w:rPr>
                <w:rFonts w:ascii="times" w:hAnsi="times"/>
                <w:sz w:val="14"/>
              </w:rPr>
              <w:t></w:t>
            </w:r>
          </w:p>
        </w:tc>
        <w:tc>
          <w:tcPr>
            <w:tcW w:w="187" w:type="dxa"/>
            <w:tcBorders/>
            <w:shd w:fill="auto" w:val="clear"/>
            <w:vAlign w:val="bottom"/>
          </w:tcPr>
          <w:p>
            <w:pPr>
              <w:pStyle w:val="TableContents"/>
              <w:spacing w:before="0" w:after="283"/>
              <w:rPr/>
            </w:pPr>
            <w:r>
              <w:rPr/>
              <w:t> </w:t>
            </w:r>
          </w:p>
        </w:tc>
        <w:tc>
          <w:tcPr>
            <w:tcW w:w="99" w:type="dxa"/>
            <w:tcBorders/>
            <w:shd w:fill="auto" w:val="clear"/>
            <w:vAlign w:val="bottom"/>
          </w:tcPr>
          <w:p>
            <w:pPr>
              <w:pStyle w:val="TableContents"/>
              <w:spacing w:before="0" w:after="283"/>
              <w:rPr/>
            </w:pPr>
            <w:r>
              <w:rPr/>
              <w:t> </w:t>
            </w:r>
          </w:p>
        </w:tc>
        <w:tc>
          <w:tcPr>
            <w:tcW w:w="1012" w:type="dxa"/>
            <w:tcBorders/>
            <w:shd w:fill="auto" w:val="clear"/>
            <w:vAlign w:val="bottom"/>
          </w:tcPr>
          <w:p>
            <w:pPr>
              <w:pStyle w:val="TableContents"/>
              <w:spacing w:before="0" w:after="283"/>
              <w:jc w:val="right"/>
              <w:rPr>
                <w:rFonts w:ascii="times" w:hAnsi="times"/>
                <w:sz w:val="14"/>
              </w:rPr>
            </w:pPr>
            <w:r>
              <w:rPr>
                <w:rFonts w:ascii="times" w:hAnsi="times"/>
                <w:sz w:val="14"/>
              </w:rPr>
              <w:t>(18,960</w:t>
            </w:r>
          </w:p>
        </w:tc>
        <w:tc>
          <w:tcPr>
            <w:tcW w:w="187" w:type="dxa"/>
            <w:tcBorders/>
            <w:shd w:fill="auto" w:val="clear"/>
            <w:vAlign w:val="bottom"/>
          </w:tcPr>
          <w:p>
            <w:pPr>
              <w:pStyle w:val="TableContents"/>
              <w:spacing w:before="0" w:after="283"/>
              <w:rPr>
                <w:rFonts w:ascii="times" w:hAnsi="times"/>
                <w:sz w:val="14"/>
              </w:rPr>
            </w:pPr>
            <w:r>
              <w:rPr>
                <w:rFonts w:ascii="times" w:hAnsi="times"/>
                <w:sz w:val="14"/>
              </w:rPr>
              <w:t>)</w:t>
            </w:r>
          </w:p>
        </w:tc>
        <w:tc>
          <w:tcPr>
            <w:tcW w:w="99" w:type="dxa"/>
            <w:tcBorders/>
            <w:shd w:fill="auto" w:val="clear"/>
            <w:vAlign w:val="bottom"/>
          </w:tcPr>
          <w:p>
            <w:pPr>
              <w:pStyle w:val="TableContents"/>
              <w:spacing w:before="0" w:after="283"/>
              <w:rPr/>
            </w:pPr>
            <w:r>
              <w:rPr/>
              <w:t> </w:t>
            </w:r>
          </w:p>
        </w:tc>
        <w:tc>
          <w:tcPr>
            <w:tcW w:w="1013" w:type="dxa"/>
            <w:tcBorders/>
            <w:shd w:fill="auto" w:val="clear"/>
            <w:vAlign w:val="bottom"/>
          </w:tcPr>
          <w:p>
            <w:pPr>
              <w:pStyle w:val="TableContents"/>
              <w:spacing w:before="0" w:after="283"/>
              <w:jc w:val="right"/>
              <w:rPr>
                <w:rFonts w:ascii="times" w:hAnsi="times"/>
                <w:sz w:val="14"/>
              </w:rPr>
            </w:pPr>
            <w:r>
              <w:rPr>
                <w:rFonts w:ascii="times" w:hAnsi="times"/>
                <w:sz w:val="14"/>
              </w:rPr>
              <w:t>(18,960</w:t>
            </w:r>
          </w:p>
        </w:tc>
        <w:tc>
          <w:tcPr>
            <w:tcW w:w="187" w:type="dxa"/>
            <w:tcBorders/>
            <w:shd w:fill="auto" w:val="clear"/>
            <w:vAlign w:val="bottom"/>
          </w:tcPr>
          <w:p>
            <w:pPr>
              <w:pStyle w:val="TableContents"/>
              <w:spacing w:before="0" w:after="283"/>
              <w:rPr>
                <w:rFonts w:ascii="times" w:hAnsi="times"/>
                <w:sz w:val="14"/>
              </w:rPr>
            </w:pPr>
            <w:r>
              <w:rPr>
                <w:rFonts w:ascii="times" w:hAnsi="times"/>
                <w:sz w:val="14"/>
              </w:rPr>
              <w:t>)</w:t>
            </w:r>
          </w:p>
        </w:tc>
      </w:tr>
      <w:tr>
        <w:trPr/>
        <w:tc>
          <w:tcPr>
            <w:tcW w:w="2264" w:type="dxa"/>
            <w:tcBorders/>
            <w:shd w:fill="auto" w:val="clear"/>
            <w:vAlign w:val="bottom"/>
          </w:tcPr>
          <w:p>
            <w:pPr>
              <w:pStyle w:val="TableContents"/>
              <w:spacing w:before="0" w:after="283"/>
              <w:ind w:left="140" w:right="0" w:hanging="140"/>
              <w:rPr>
                <w:rFonts w:ascii="times" w:hAnsi="times"/>
                <w:sz w:val="14"/>
              </w:rPr>
            </w:pPr>
            <w:r>
              <w:rPr>
                <w:rFonts w:ascii="times" w:hAnsi="times"/>
                <w:sz w:val="14"/>
              </w:rPr>
              <w:t>Impairment loss on vessels</w:t>
            </w:r>
          </w:p>
        </w:tc>
        <w:tc>
          <w:tcPr>
            <w:tcW w:w="187" w:type="dxa"/>
            <w:tcBorders/>
            <w:shd w:fill="auto" w:val="clear"/>
            <w:vAlign w:val="bottom"/>
          </w:tcPr>
          <w:p>
            <w:pPr>
              <w:pStyle w:val="TableContents"/>
              <w:spacing w:before="0" w:after="283"/>
              <w:rPr/>
            </w:pPr>
            <w:r>
              <w:rPr/>
              <w:t> </w:t>
            </w:r>
          </w:p>
        </w:tc>
        <w:tc>
          <w:tcPr>
            <w:tcW w:w="99" w:type="dxa"/>
            <w:tcBorders/>
            <w:shd w:fill="auto" w:val="clear"/>
            <w:vAlign w:val="bottom"/>
          </w:tcPr>
          <w:p>
            <w:pPr>
              <w:pStyle w:val="TableContents"/>
              <w:spacing w:before="0" w:after="283"/>
              <w:rPr/>
            </w:pPr>
            <w:r>
              <w:rPr/>
              <w:t> </w:t>
            </w:r>
          </w:p>
        </w:tc>
        <w:tc>
          <w:tcPr>
            <w:tcW w:w="1012" w:type="dxa"/>
            <w:tcBorders/>
            <w:shd w:fill="auto" w:val="clear"/>
            <w:vAlign w:val="bottom"/>
          </w:tcPr>
          <w:p>
            <w:pPr>
              <w:pStyle w:val="TableContents"/>
              <w:spacing w:before="0" w:after="283"/>
              <w:jc w:val="right"/>
              <w:rPr>
                <w:rFonts w:ascii="times" w:hAnsi="times"/>
                <w:sz w:val="14"/>
              </w:rPr>
            </w:pPr>
            <w:r>
              <w:rPr>
                <w:rFonts w:ascii="times" w:hAnsi="times"/>
                <w:sz w:val="14"/>
              </w:rPr>
              <w:t></w:t>
            </w:r>
          </w:p>
        </w:tc>
        <w:tc>
          <w:tcPr>
            <w:tcW w:w="187" w:type="dxa"/>
            <w:tcBorders/>
            <w:shd w:fill="auto" w:val="clear"/>
            <w:vAlign w:val="bottom"/>
          </w:tcPr>
          <w:p>
            <w:pPr>
              <w:pStyle w:val="TableContents"/>
              <w:spacing w:before="0" w:after="283"/>
              <w:rPr/>
            </w:pPr>
            <w:r>
              <w:rPr/>
              <w:t> </w:t>
            </w:r>
          </w:p>
        </w:tc>
        <w:tc>
          <w:tcPr>
            <w:tcW w:w="99" w:type="dxa"/>
            <w:tcBorders/>
            <w:shd w:fill="auto" w:val="clear"/>
            <w:vAlign w:val="bottom"/>
          </w:tcPr>
          <w:p>
            <w:pPr>
              <w:pStyle w:val="TableContents"/>
              <w:spacing w:before="0" w:after="283"/>
              <w:rPr/>
            </w:pPr>
            <w:r>
              <w:rPr/>
              <w:t> </w:t>
            </w:r>
          </w:p>
        </w:tc>
        <w:tc>
          <w:tcPr>
            <w:tcW w:w="1013" w:type="dxa"/>
            <w:tcBorders/>
            <w:shd w:fill="auto" w:val="clear"/>
            <w:vAlign w:val="bottom"/>
          </w:tcPr>
          <w:p>
            <w:pPr>
              <w:pStyle w:val="TableContents"/>
              <w:spacing w:before="0" w:after="283"/>
              <w:jc w:val="right"/>
              <w:rPr>
                <w:rFonts w:ascii="times" w:hAnsi="times"/>
                <w:sz w:val="14"/>
              </w:rPr>
            </w:pPr>
            <w:r>
              <w:rPr>
                <w:rFonts w:ascii="times" w:hAnsi="times"/>
                <w:sz w:val="14"/>
              </w:rPr>
              <w:t>(138,848</w:t>
            </w:r>
          </w:p>
        </w:tc>
        <w:tc>
          <w:tcPr>
            <w:tcW w:w="187" w:type="dxa"/>
            <w:tcBorders/>
            <w:shd w:fill="auto" w:val="clear"/>
            <w:vAlign w:val="bottom"/>
          </w:tcPr>
          <w:p>
            <w:pPr>
              <w:pStyle w:val="TableContents"/>
              <w:spacing w:before="0" w:after="283"/>
              <w:rPr>
                <w:rFonts w:ascii="times" w:hAnsi="times"/>
                <w:sz w:val="14"/>
              </w:rPr>
            </w:pPr>
            <w:r>
              <w:rPr>
                <w:rFonts w:ascii="times" w:hAnsi="times"/>
                <w:sz w:val="14"/>
              </w:rPr>
              <w:t>)</w:t>
            </w:r>
          </w:p>
        </w:tc>
        <w:tc>
          <w:tcPr>
            <w:tcW w:w="98" w:type="dxa"/>
            <w:tcBorders/>
            <w:shd w:fill="auto" w:val="clear"/>
            <w:vAlign w:val="bottom"/>
          </w:tcPr>
          <w:p>
            <w:pPr>
              <w:pStyle w:val="TableContents"/>
              <w:spacing w:before="0" w:after="283"/>
              <w:rPr/>
            </w:pPr>
            <w:r>
              <w:rPr/>
              <w:t> </w:t>
            </w:r>
          </w:p>
        </w:tc>
        <w:tc>
          <w:tcPr>
            <w:tcW w:w="1013" w:type="dxa"/>
            <w:tcBorders/>
            <w:shd w:fill="auto" w:val="clear"/>
            <w:vAlign w:val="bottom"/>
          </w:tcPr>
          <w:p>
            <w:pPr>
              <w:pStyle w:val="TableContents"/>
              <w:spacing w:before="0" w:after="283"/>
              <w:jc w:val="right"/>
              <w:rPr>
                <w:rFonts w:ascii="times" w:hAnsi="times"/>
                <w:sz w:val="14"/>
              </w:rPr>
            </w:pPr>
            <w:r>
              <w:rPr>
                <w:rFonts w:ascii="times" w:hAnsi="times"/>
                <w:sz w:val="14"/>
              </w:rPr>
              <w:t>(138,848</w:t>
            </w:r>
          </w:p>
        </w:tc>
        <w:tc>
          <w:tcPr>
            <w:tcW w:w="187" w:type="dxa"/>
            <w:tcBorders/>
            <w:shd w:fill="auto" w:val="clear"/>
            <w:vAlign w:val="bottom"/>
          </w:tcPr>
          <w:p>
            <w:pPr>
              <w:pStyle w:val="TableContents"/>
              <w:spacing w:before="0" w:after="283"/>
              <w:rPr>
                <w:rFonts w:ascii="times" w:hAnsi="times"/>
                <w:sz w:val="14"/>
              </w:rPr>
            </w:pPr>
            <w:r>
              <w:rPr>
                <w:rFonts w:ascii="times" w:hAnsi="times"/>
                <w:sz w:val="14"/>
              </w:rPr>
              <w:t>)</w:t>
            </w:r>
          </w:p>
        </w:tc>
        <w:tc>
          <w:tcPr>
            <w:tcW w:w="62" w:type="dxa"/>
            <w:tcBorders/>
            <w:shd w:fill="auto" w:val="clear"/>
            <w:vAlign w:val="bottom"/>
          </w:tcPr>
          <w:p>
            <w:pPr>
              <w:pStyle w:val="TableContents"/>
              <w:spacing w:before="0" w:after="283"/>
              <w:rPr/>
            </w:pPr>
            <w:r>
              <w:rPr/>
              <w:t> </w:t>
            </w:r>
          </w:p>
        </w:tc>
        <w:tc>
          <w:tcPr>
            <w:tcW w:w="1013" w:type="dxa"/>
            <w:tcBorders/>
            <w:shd w:fill="auto" w:val="clear"/>
            <w:vAlign w:val="bottom"/>
          </w:tcPr>
          <w:p>
            <w:pPr>
              <w:pStyle w:val="TableContents"/>
              <w:spacing w:before="0" w:after="283"/>
              <w:jc w:val="right"/>
              <w:rPr>
                <w:rFonts w:ascii="times" w:hAnsi="times"/>
                <w:sz w:val="14"/>
              </w:rPr>
            </w:pPr>
            <w:r>
              <w:rPr>
                <w:rFonts w:ascii="times" w:hAnsi="times"/>
                <w:sz w:val="14"/>
              </w:rPr>
              <w:t></w:t>
            </w:r>
          </w:p>
        </w:tc>
        <w:tc>
          <w:tcPr>
            <w:tcW w:w="187" w:type="dxa"/>
            <w:tcBorders/>
            <w:shd w:fill="auto" w:val="clear"/>
            <w:vAlign w:val="bottom"/>
          </w:tcPr>
          <w:p>
            <w:pPr>
              <w:pStyle w:val="TableContents"/>
              <w:spacing w:before="0" w:after="283"/>
              <w:rPr/>
            </w:pPr>
            <w:r>
              <w:rPr/>
              <w:t> </w:t>
            </w:r>
          </w:p>
        </w:tc>
        <w:tc>
          <w:tcPr>
            <w:tcW w:w="99" w:type="dxa"/>
            <w:tcBorders/>
            <w:shd w:fill="auto" w:val="clear"/>
            <w:vAlign w:val="bottom"/>
          </w:tcPr>
          <w:p>
            <w:pPr>
              <w:pStyle w:val="TableContents"/>
              <w:spacing w:before="0" w:after="283"/>
              <w:rPr/>
            </w:pPr>
            <w:r>
              <w:rPr/>
              <w:t> </w:t>
            </w:r>
          </w:p>
        </w:tc>
        <w:tc>
          <w:tcPr>
            <w:tcW w:w="1012" w:type="dxa"/>
            <w:tcBorders/>
            <w:shd w:fill="auto" w:val="clear"/>
            <w:vAlign w:val="bottom"/>
          </w:tcPr>
          <w:p>
            <w:pPr>
              <w:pStyle w:val="TableContents"/>
              <w:spacing w:before="0" w:after="283"/>
              <w:jc w:val="right"/>
              <w:rPr>
                <w:rFonts w:ascii="times" w:hAnsi="times"/>
                <w:sz w:val="14"/>
              </w:rPr>
            </w:pPr>
            <w:r>
              <w:rPr>
                <w:rFonts w:ascii="times" w:hAnsi="times"/>
                <w:sz w:val="14"/>
              </w:rPr>
              <w:t>(23,923</w:t>
            </w:r>
          </w:p>
        </w:tc>
        <w:tc>
          <w:tcPr>
            <w:tcW w:w="187" w:type="dxa"/>
            <w:tcBorders/>
            <w:shd w:fill="auto" w:val="clear"/>
            <w:vAlign w:val="bottom"/>
          </w:tcPr>
          <w:p>
            <w:pPr>
              <w:pStyle w:val="TableContents"/>
              <w:spacing w:before="0" w:after="283"/>
              <w:rPr>
                <w:rFonts w:ascii="times" w:hAnsi="times"/>
                <w:sz w:val="14"/>
              </w:rPr>
            </w:pPr>
            <w:r>
              <w:rPr>
                <w:rFonts w:ascii="times" w:hAnsi="times"/>
                <w:sz w:val="14"/>
              </w:rPr>
              <w:t>)</w:t>
            </w:r>
          </w:p>
        </w:tc>
        <w:tc>
          <w:tcPr>
            <w:tcW w:w="99" w:type="dxa"/>
            <w:tcBorders/>
            <w:shd w:fill="auto" w:val="clear"/>
            <w:vAlign w:val="bottom"/>
          </w:tcPr>
          <w:p>
            <w:pPr>
              <w:pStyle w:val="TableContents"/>
              <w:spacing w:before="0" w:after="283"/>
              <w:rPr/>
            </w:pPr>
            <w:r>
              <w:rPr/>
              <w:t> </w:t>
            </w:r>
          </w:p>
        </w:tc>
        <w:tc>
          <w:tcPr>
            <w:tcW w:w="1013" w:type="dxa"/>
            <w:tcBorders/>
            <w:shd w:fill="auto" w:val="clear"/>
            <w:vAlign w:val="bottom"/>
          </w:tcPr>
          <w:p>
            <w:pPr>
              <w:pStyle w:val="TableContents"/>
              <w:spacing w:before="0" w:after="283"/>
              <w:jc w:val="right"/>
              <w:rPr>
                <w:rFonts w:ascii="times" w:hAnsi="times"/>
                <w:sz w:val="14"/>
              </w:rPr>
            </w:pPr>
            <w:r>
              <w:rPr>
                <w:rFonts w:ascii="times" w:hAnsi="times"/>
                <w:sz w:val="14"/>
              </w:rPr>
              <w:t>(23,923</w:t>
            </w:r>
          </w:p>
        </w:tc>
        <w:tc>
          <w:tcPr>
            <w:tcW w:w="187" w:type="dxa"/>
            <w:tcBorders/>
            <w:shd w:fill="auto" w:val="clear"/>
            <w:vAlign w:val="bottom"/>
          </w:tcPr>
          <w:p>
            <w:pPr>
              <w:pStyle w:val="TableContents"/>
              <w:spacing w:before="0" w:after="283"/>
              <w:rPr>
                <w:rFonts w:ascii="times" w:hAnsi="times"/>
                <w:sz w:val="14"/>
              </w:rPr>
            </w:pPr>
            <w:r>
              <w:rPr>
                <w:rFonts w:ascii="times" w:hAnsi="times"/>
                <w:sz w:val="14"/>
              </w:rPr>
              <w:t xml:space="preserve">) </w:t>
            </w:r>
          </w:p>
        </w:tc>
      </w:tr>
      <w:tr>
        <w:trPr/>
        <w:tc>
          <w:tcPr>
            <w:tcW w:w="2264" w:type="dxa"/>
            <w:tcBorders/>
            <w:shd w:fill="FFFFFF" w:val="clear"/>
            <w:vAlign w:val="bottom"/>
          </w:tcPr>
          <w:p>
            <w:pPr>
              <w:pStyle w:val="TableContents"/>
              <w:spacing w:before="0" w:after="283"/>
              <w:rPr/>
            </w:pPr>
            <w:r>
              <w:rPr/>
              <w:t>​</w:t>
            </w:r>
          </w:p>
        </w:tc>
        <w:tc>
          <w:tcPr>
            <w:tcW w:w="187" w:type="dxa"/>
            <w:tcBorders/>
            <w:shd w:fill="FFFFFF" w:val="clear"/>
            <w:vAlign w:val="bottom"/>
          </w:tcPr>
          <w:p>
            <w:pPr>
              <w:pStyle w:val="TableContents"/>
              <w:spacing w:before="0" w:after="283"/>
              <w:rPr/>
            </w:pPr>
            <w:r>
              <w:rPr/>
              <w:t>​</w:t>
            </w:r>
          </w:p>
        </w:tc>
        <w:tc>
          <w:tcPr>
            <w:tcW w:w="99" w:type="dxa"/>
            <w:tcBorders>
              <w:bottom w:val="single" w:sz="8" w:space="0" w:color="000000"/>
            </w:tcBorders>
            <w:shd w:fill="FFFFFF" w:val="clear"/>
            <w:tcMar>
              <w:bottom w:w="28" w:type="dxa"/>
            </w:tcMar>
            <w:vAlign w:val="bottom"/>
          </w:tcPr>
          <w:p>
            <w:pPr>
              <w:pStyle w:val="TableContents"/>
              <w:spacing w:before="0" w:after="283"/>
              <w:rPr/>
            </w:pPr>
            <w:r>
              <w:rPr/>
              <w:t xml:space="preserve">​ </w:t>
            </w:r>
          </w:p>
        </w:tc>
        <w:tc>
          <w:tcPr>
            <w:tcW w:w="1012" w:type="dxa"/>
            <w:tcBorders>
              <w:bottom w:val="single" w:sz="8" w:space="0" w:color="000000"/>
            </w:tcBorders>
            <w:shd w:fill="FFFFFF" w:val="clear"/>
            <w:tcMar>
              <w:bottom w:w="28" w:type="dxa"/>
            </w:tcMar>
            <w:vAlign w:val="bottom"/>
          </w:tcPr>
          <w:p>
            <w:pPr>
              <w:pStyle w:val="TableContents"/>
              <w:spacing w:before="0" w:after="283"/>
              <w:jc w:val="right"/>
              <w:rPr/>
            </w:pPr>
            <w:r>
              <w:rPr/>
              <w:t xml:space="preserve">​ </w:t>
            </w:r>
          </w:p>
        </w:tc>
        <w:tc>
          <w:tcPr>
            <w:tcW w:w="187" w:type="dxa"/>
            <w:tcBorders/>
            <w:shd w:fill="FFFFFF" w:val="clear"/>
            <w:vAlign w:val="bottom"/>
          </w:tcPr>
          <w:p>
            <w:pPr>
              <w:pStyle w:val="TableContents"/>
              <w:spacing w:before="0" w:after="283"/>
              <w:rPr/>
            </w:pPr>
            <w:r>
              <w:rPr/>
              <w:t>​</w:t>
            </w:r>
          </w:p>
        </w:tc>
        <w:tc>
          <w:tcPr>
            <w:tcW w:w="99" w:type="dxa"/>
            <w:tcBorders>
              <w:bottom w:val="single" w:sz="8" w:space="0" w:color="000000"/>
            </w:tcBorders>
            <w:shd w:fill="FFFFFF" w:val="clear"/>
            <w:tcMar>
              <w:bottom w:w="28" w:type="dxa"/>
            </w:tcMar>
            <w:vAlign w:val="bottom"/>
          </w:tcPr>
          <w:p>
            <w:pPr>
              <w:pStyle w:val="TableContents"/>
              <w:spacing w:before="0" w:after="283"/>
              <w:rPr/>
            </w:pPr>
            <w:r>
              <w:rPr/>
              <w:t xml:space="preserve">​ </w:t>
            </w:r>
          </w:p>
        </w:tc>
        <w:tc>
          <w:tcPr>
            <w:tcW w:w="1013" w:type="dxa"/>
            <w:tcBorders>
              <w:bottom w:val="single" w:sz="8" w:space="0" w:color="000000"/>
            </w:tcBorders>
            <w:shd w:fill="FFFFFF" w:val="clear"/>
            <w:tcMar>
              <w:bottom w:w="28" w:type="dxa"/>
            </w:tcMar>
            <w:vAlign w:val="bottom"/>
          </w:tcPr>
          <w:p>
            <w:pPr>
              <w:pStyle w:val="TableContents"/>
              <w:spacing w:before="0" w:after="283"/>
              <w:jc w:val="right"/>
              <w:rPr/>
            </w:pPr>
            <w:r>
              <w:rPr/>
              <w:t xml:space="preserve">​ </w:t>
            </w:r>
          </w:p>
        </w:tc>
        <w:tc>
          <w:tcPr>
            <w:tcW w:w="187" w:type="dxa"/>
            <w:tcBorders/>
            <w:shd w:fill="FFFFFF" w:val="clear"/>
            <w:vAlign w:val="bottom"/>
          </w:tcPr>
          <w:p>
            <w:pPr>
              <w:pStyle w:val="TableContents"/>
              <w:spacing w:before="0" w:after="283"/>
              <w:rPr/>
            </w:pPr>
            <w:r>
              <w:rPr/>
              <w:t>​</w:t>
            </w:r>
          </w:p>
        </w:tc>
        <w:tc>
          <w:tcPr>
            <w:tcW w:w="98" w:type="dxa"/>
            <w:tcBorders>
              <w:bottom w:val="single" w:sz="8" w:space="0" w:color="000000"/>
            </w:tcBorders>
            <w:shd w:fill="FFFFFF" w:val="clear"/>
            <w:tcMar>
              <w:bottom w:w="28" w:type="dxa"/>
            </w:tcMar>
            <w:vAlign w:val="bottom"/>
          </w:tcPr>
          <w:p>
            <w:pPr>
              <w:pStyle w:val="TableContents"/>
              <w:spacing w:before="0" w:after="283"/>
              <w:rPr/>
            </w:pPr>
            <w:r>
              <w:rPr/>
              <w:t xml:space="preserve">​ </w:t>
            </w:r>
          </w:p>
        </w:tc>
        <w:tc>
          <w:tcPr>
            <w:tcW w:w="1013" w:type="dxa"/>
            <w:tcBorders>
              <w:bottom w:val="single" w:sz="8" w:space="0" w:color="000000"/>
            </w:tcBorders>
            <w:shd w:fill="FFFFFF" w:val="clear"/>
            <w:tcMar>
              <w:bottom w:w="28" w:type="dxa"/>
            </w:tcMar>
            <w:vAlign w:val="bottom"/>
          </w:tcPr>
          <w:p>
            <w:pPr>
              <w:pStyle w:val="TableContents"/>
              <w:spacing w:before="0" w:after="283"/>
              <w:jc w:val="right"/>
              <w:rPr/>
            </w:pPr>
            <w:r>
              <w:rPr/>
              <w:t xml:space="preserve">​ </w:t>
            </w:r>
          </w:p>
        </w:tc>
        <w:tc>
          <w:tcPr>
            <w:tcW w:w="187" w:type="dxa"/>
            <w:tcBorders/>
            <w:shd w:fill="FFFFFF" w:val="clear"/>
            <w:vAlign w:val="bottom"/>
          </w:tcPr>
          <w:p>
            <w:pPr>
              <w:pStyle w:val="TableContents"/>
              <w:spacing w:before="0" w:after="283"/>
              <w:rPr/>
            </w:pPr>
            <w:r>
              <w:rPr/>
              <w:t>​</w:t>
            </w:r>
          </w:p>
        </w:tc>
        <w:tc>
          <w:tcPr>
            <w:tcW w:w="62" w:type="dxa"/>
            <w:tcBorders>
              <w:bottom w:val="single" w:sz="8" w:space="0" w:color="000000"/>
            </w:tcBorders>
            <w:shd w:fill="FFFFFF" w:val="clear"/>
            <w:tcMar>
              <w:bottom w:w="28" w:type="dxa"/>
            </w:tcMar>
            <w:vAlign w:val="bottom"/>
          </w:tcPr>
          <w:p>
            <w:pPr>
              <w:pStyle w:val="TableContents"/>
              <w:spacing w:before="0" w:after="283"/>
              <w:rPr/>
            </w:pPr>
            <w:r>
              <w:rPr/>
              <w:t xml:space="preserve">​ </w:t>
            </w:r>
          </w:p>
        </w:tc>
        <w:tc>
          <w:tcPr>
            <w:tcW w:w="1013" w:type="dxa"/>
            <w:tcBorders>
              <w:bottom w:val="single" w:sz="8" w:space="0" w:color="000000"/>
            </w:tcBorders>
            <w:shd w:fill="FFFFFF" w:val="clear"/>
            <w:tcMar>
              <w:bottom w:w="28" w:type="dxa"/>
            </w:tcMar>
            <w:vAlign w:val="bottom"/>
          </w:tcPr>
          <w:p>
            <w:pPr>
              <w:pStyle w:val="TableContents"/>
              <w:spacing w:before="0" w:after="283"/>
              <w:jc w:val="right"/>
              <w:rPr/>
            </w:pPr>
            <w:r>
              <w:rPr/>
              <w:t xml:space="preserve">​ </w:t>
            </w:r>
          </w:p>
        </w:tc>
        <w:tc>
          <w:tcPr>
            <w:tcW w:w="187" w:type="dxa"/>
            <w:tcBorders/>
            <w:shd w:fill="FFFFFF" w:val="clear"/>
            <w:vAlign w:val="bottom"/>
          </w:tcPr>
          <w:p>
            <w:pPr>
              <w:pStyle w:val="TableContents"/>
              <w:spacing w:before="0" w:after="283"/>
              <w:rPr/>
            </w:pPr>
            <w:r>
              <w:rPr/>
              <w:t>​</w:t>
            </w:r>
          </w:p>
        </w:tc>
        <w:tc>
          <w:tcPr>
            <w:tcW w:w="99" w:type="dxa"/>
            <w:tcBorders>
              <w:bottom w:val="single" w:sz="8" w:space="0" w:color="000000"/>
            </w:tcBorders>
            <w:shd w:fill="FFFFFF" w:val="clear"/>
            <w:tcMar>
              <w:bottom w:w="28" w:type="dxa"/>
            </w:tcMar>
            <w:vAlign w:val="bottom"/>
          </w:tcPr>
          <w:p>
            <w:pPr>
              <w:pStyle w:val="TableContents"/>
              <w:spacing w:before="0" w:after="283"/>
              <w:rPr/>
            </w:pPr>
            <w:r>
              <w:rPr/>
              <w:t xml:space="preserve">​ </w:t>
            </w:r>
          </w:p>
        </w:tc>
        <w:tc>
          <w:tcPr>
            <w:tcW w:w="1012" w:type="dxa"/>
            <w:tcBorders>
              <w:bottom w:val="single" w:sz="8" w:space="0" w:color="000000"/>
            </w:tcBorders>
            <w:shd w:fill="FFFFFF" w:val="clear"/>
            <w:tcMar>
              <w:bottom w:w="28" w:type="dxa"/>
            </w:tcMar>
            <w:vAlign w:val="bottom"/>
          </w:tcPr>
          <w:p>
            <w:pPr>
              <w:pStyle w:val="TableContents"/>
              <w:spacing w:before="0" w:after="283"/>
              <w:jc w:val="right"/>
              <w:rPr/>
            </w:pPr>
            <w:r>
              <w:rPr/>
              <w:t xml:space="preserve">​ </w:t>
            </w:r>
          </w:p>
        </w:tc>
        <w:tc>
          <w:tcPr>
            <w:tcW w:w="187" w:type="dxa"/>
            <w:tcBorders/>
            <w:shd w:fill="FFFFFF" w:val="clear"/>
            <w:vAlign w:val="bottom"/>
          </w:tcPr>
          <w:p>
            <w:pPr>
              <w:pStyle w:val="TableContents"/>
              <w:spacing w:before="0" w:after="283"/>
              <w:rPr/>
            </w:pPr>
            <w:r>
              <w:rPr/>
              <w:t>​</w:t>
            </w:r>
          </w:p>
        </w:tc>
        <w:tc>
          <w:tcPr>
            <w:tcW w:w="99" w:type="dxa"/>
            <w:tcBorders>
              <w:bottom w:val="single" w:sz="8" w:space="0" w:color="000000"/>
            </w:tcBorders>
            <w:shd w:fill="FFFFFF" w:val="clear"/>
            <w:tcMar>
              <w:bottom w:w="28" w:type="dxa"/>
            </w:tcMar>
            <w:vAlign w:val="bottom"/>
          </w:tcPr>
          <w:p>
            <w:pPr>
              <w:pStyle w:val="TableContents"/>
              <w:spacing w:before="0" w:after="283"/>
              <w:rPr/>
            </w:pPr>
            <w:r>
              <w:rPr/>
              <w:t xml:space="preserve">​ </w:t>
            </w:r>
          </w:p>
        </w:tc>
        <w:tc>
          <w:tcPr>
            <w:tcW w:w="1013" w:type="dxa"/>
            <w:tcBorders>
              <w:bottom w:val="single" w:sz="8" w:space="0" w:color="000000"/>
            </w:tcBorders>
            <w:shd w:fill="FFFFFF" w:val="clear"/>
            <w:tcMar>
              <w:bottom w:w="28" w:type="dxa"/>
            </w:tcMar>
            <w:vAlign w:val="bottom"/>
          </w:tcPr>
          <w:p>
            <w:pPr>
              <w:pStyle w:val="TableContents"/>
              <w:spacing w:before="0" w:after="283"/>
              <w:jc w:val="right"/>
              <w:rPr/>
            </w:pPr>
            <w:r>
              <w:rPr/>
              <w:t xml:space="preserve">​ </w:t>
            </w:r>
          </w:p>
        </w:tc>
        <w:tc>
          <w:tcPr>
            <w:tcW w:w="187" w:type="dxa"/>
            <w:tcBorders/>
            <w:shd w:fill="FFFFFF" w:val="clear"/>
            <w:vAlign w:val="bottom"/>
          </w:tcPr>
          <w:p>
            <w:pPr>
              <w:pStyle w:val="TableContents"/>
              <w:spacing w:before="0" w:after="283"/>
              <w:rPr/>
            </w:pPr>
            <w:r>
              <w:rPr/>
              <w:t>​</w:t>
            </w:r>
          </w:p>
        </w:tc>
      </w:tr>
      <w:tr>
        <w:trPr/>
        <w:tc>
          <w:tcPr>
            <w:tcW w:w="2264" w:type="dxa"/>
            <w:tcBorders/>
            <w:shd w:fill="auto" w:val="clear"/>
            <w:vAlign w:val="bottom"/>
          </w:tcPr>
          <w:p>
            <w:pPr>
              <w:pStyle w:val="TableContents"/>
              <w:spacing w:before="0" w:after="283"/>
              <w:ind w:left="140" w:right="0" w:hanging="140"/>
              <w:rPr>
                <w:rFonts w:ascii="times" w:hAnsi="times"/>
                <w:b/>
                <w:sz w:val="14"/>
              </w:rPr>
            </w:pPr>
            <w:r>
              <w:rPr>
                <w:rFonts w:ascii="times" w:hAnsi="times"/>
                <w:b/>
                <w:sz w:val="14"/>
              </w:rPr>
              <w:t>Profit from operations</w:t>
            </w:r>
          </w:p>
        </w:tc>
        <w:tc>
          <w:tcPr>
            <w:tcW w:w="187" w:type="dxa"/>
            <w:tcBorders/>
            <w:shd w:fill="auto" w:val="clear"/>
            <w:vAlign w:val="bottom"/>
          </w:tcPr>
          <w:p>
            <w:pPr>
              <w:pStyle w:val="TableContents"/>
              <w:spacing w:before="0" w:after="283"/>
              <w:rPr/>
            </w:pPr>
            <w:r>
              <w:rPr/>
              <w:t> </w:t>
            </w:r>
          </w:p>
        </w:tc>
        <w:tc>
          <w:tcPr>
            <w:tcW w:w="99" w:type="dxa"/>
            <w:tcBorders/>
            <w:shd w:fill="auto" w:val="clear"/>
            <w:vAlign w:val="bottom"/>
          </w:tcPr>
          <w:p>
            <w:pPr>
              <w:pStyle w:val="TableContents"/>
              <w:spacing w:before="0" w:after="283"/>
              <w:rPr/>
            </w:pPr>
            <w:r>
              <w:rPr/>
              <w:t> </w:t>
            </w:r>
          </w:p>
        </w:tc>
        <w:tc>
          <w:tcPr>
            <w:tcW w:w="1012" w:type="dxa"/>
            <w:tcBorders/>
            <w:shd w:fill="auto" w:val="clear"/>
            <w:vAlign w:val="bottom"/>
          </w:tcPr>
          <w:p>
            <w:pPr>
              <w:pStyle w:val="TableContents"/>
              <w:spacing w:before="0" w:after="283"/>
              <w:jc w:val="right"/>
              <w:rPr>
                <w:rFonts w:ascii="times" w:hAnsi="times"/>
                <w:b/>
                <w:sz w:val="14"/>
              </w:rPr>
            </w:pPr>
            <w:r>
              <w:rPr>
                <w:rFonts w:ascii="times" w:hAnsi="times"/>
                <w:b/>
                <w:sz w:val="14"/>
              </w:rPr>
              <w:t>4,366</w:t>
            </w:r>
          </w:p>
        </w:tc>
        <w:tc>
          <w:tcPr>
            <w:tcW w:w="187" w:type="dxa"/>
            <w:tcBorders/>
            <w:shd w:fill="auto" w:val="clear"/>
            <w:vAlign w:val="bottom"/>
          </w:tcPr>
          <w:p>
            <w:pPr>
              <w:pStyle w:val="TableContents"/>
              <w:spacing w:before="0" w:after="283"/>
              <w:rPr/>
            </w:pPr>
            <w:r>
              <w:rPr/>
              <w:t> </w:t>
            </w:r>
          </w:p>
        </w:tc>
        <w:tc>
          <w:tcPr>
            <w:tcW w:w="99" w:type="dxa"/>
            <w:tcBorders/>
            <w:shd w:fill="auto" w:val="clear"/>
            <w:vAlign w:val="bottom"/>
          </w:tcPr>
          <w:p>
            <w:pPr>
              <w:pStyle w:val="TableContents"/>
              <w:spacing w:before="0" w:after="283"/>
              <w:rPr/>
            </w:pPr>
            <w:r>
              <w:rPr/>
              <w:t> </w:t>
            </w:r>
          </w:p>
        </w:tc>
        <w:tc>
          <w:tcPr>
            <w:tcW w:w="1013" w:type="dxa"/>
            <w:tcBorders/>
            <w:shd w:fill="auto" w:val="clear"/>
            <w:vAlign w:val="bottom"/>
          </w:tcPr>
          <w:p>
            <w:pPr>
              <w:pStyle w:val="TableContents"/>
              <w:spacing w:before="0" w:after="283"/>
              <w:jc w:val="right"/>
              <w:rPr>
                <w:rFonts w:ascii="times" w:hAnsi="times"/>
                <w:b/>
                <w:sz w:val="14"/>
              </w:rPr>
            </w:pPr>
            <w:r>
              <w:rPr>
                <w:rFonts w:ascii="times" w:hAnsi="times"/>
                <w:b/>
                <w:sz w:val="14"/>
              </w:rPr>
              <w:t>43,771</w:t>
            </w:r>
          </w:p>
        </w:tc>
        <w:tc>
          <w:tcPr>
            <w:tcW w:w="187" w:type="dxa"/>
            <w:tcBorders/>
            <w:shd w:fill="auto" w:val="clear"/>
            <w:vAlign w:val="bottom"/>
          </w:tcPr>
          <w:p>
            <w:pPr>
              <w:pStyle w:val="TableContents"/>
              <w:spacing w:before="0" w:after="283"/>
              <w:rPr/>
            </w:pPr>
            <w:r>
              <w:rPr/>
              <w:t> </w:t>
            </w:r>
          </w:p>
        </w:tc>
        <w:tc>
          <w:tcPr>
            <w:tcW w:w="98" w:type="dxa"/>
            <w:tcBorders/>
            <w:shd w:fill="auto" w:val="clear"/>
            <w:vAlign w:val="bottom"/>
          </w:tcPr>
          <w:p>
            <w:pPr>
              <w:pStyle w:val="TableContents"/>
              <w:spacing w:before="0" w:after="283"/>
              <w:rPr/>
            </w:pPr>
            <w:r>
              <w:rPr/>
              <w:t> </w:t>
            </w:r>
          </w:p>
        </w:tc>
        <w:tc>
          <w:tcPr>
            <w:tcW w:w="1013" w:type="dxa"/>
            <w:tcBorders/>
            <w:shd w:fill="auto" w:val="clear"/>
            <w:vAlign w:val="bottom"/>
          </w:tcPr>
          <w:p>
            <w:pPr>
              <w:pStyle w:val="TableContents"/>
              <w:spacing w:before="0" w:after="283"/>
              <w:jc w:val="right"/>
              <w:rPr>
                <w:rFonts w:ascii="times" w:hAnsi="times"/>
                <w:b/>
                <w:sz w:val="14"/>
              </w:rPr>
            </w:pPr>
            <w:r>
              <w:rPr>
                <w:rFonts w:ascii="times" w:hAnsi="times"/>
                <w:b/>
                <w:sz w:val="14"/>
              </w:rPr>
              <w:t>48,137</w:t>
            </w:r>
          </w:p>
        </w:tc>
        <w:tc>
          <w:tcPr>
            <w:tcW w:w="187" w:type="dxa"/>
            <w:tcBorders/>
            <w:shd w:fill="auto" w:val="clear"/>
            <w:vAlign w:val="bottom"/>
          </w:tcPr>
          <w:p>
            <w:pPr>
              <w:pStyle w:val="TableContents"/>
              <w:spacing w:before="0" w:after="283"/>
              <w:rPr/>
            </w:pPr>
            <w:r>
              <w:rPr/>
              <w:t> </w:t>
            </w:r>
          </w:p>
        </w:tc>
        <w:tc>
          <w:tcPr>
            <w:tcW w:w="62" w:type="dxa"/>
            <w:tcBorders/>
            <w:shd w:fill="auto" w:val="clear"/>
            <w:vAlign w:val="bottom"/>
          </w:tcPr>
          <w:p>
            <w:pPr>
              <w:pStyle w:val="TableContents"/>
              <w:spacing w:before="0" w:after="283"/>
              <w:rPr/>
            </w:pPr>
            <w:r>
              <w:rPr/>
              <w:t> </w:t>
            </w:r>
          </w:p>
        </w:tc>
        <w:tc>
          <w:tcPr>
            <w:tcW w:w="1013" w:type="dxa"/>
            <w:tcBorders/>
            <w:shd w:fill="auto" w:val="clear"/>
            <w:vAlign w:val="bottom"/>
          </w:tcPr>
          <w:p>
            <w:pPr>
              <w:pStyle w:val="TableContents"/>
              <w:spacing w:before="0" w:after="283"/>
              <w:jc w:val="right"/>
              <w:rPr>
                <w:rFonts w:ascii="times" w:hAnsi="times"/>
                <w:b/>
                <w:sz w:val="14"/>
              </w:rPr>
            </w:pPr>
            <w:r>
              <w:rPr>
                <w:rFonts w:ascii="times" w:hAnsi="times"/>
                <w:b/>
                <w:sz w:val="14"/>
              </w:rPr>
              <w:t></w:t>
            </w:r>
          </w:p>
        </w:tc>
        <w:tc>
          <w:tcPr>
            <w:tcW w:w="187" w:type="dxa"/>
            <w:tcBorders/>
            <w:shd w:fill="auto" w:val="clear"/>
            <w:vAlign w:val="bottom"/>
          </w:tcPr>
          <w:p>
            <w:pPr>
              <w:pStyle w:val="TableContents"/>
              <w:spacing w:before="0" w:after="283"/>
              <w:rPr/>
            </w:pPr>
            <w:r>
              <w:rPr/>
              <w:t> </w:t>
            </w:r>
          </w:p>
        </w:tc>
        <w:tc>
          <w:tcPr>
            <w:tcW w:w="99" w:type="dxa"/>
            <w:tcBorders/>
            <w:shd w:fill="auto" w:val="clear"/>
            <w:vAlign w:val="bottom"/>
          </w:tcPr>
          <w:p>
            <w:pPr>
              <w:pStyle w:val="TableContents"/>
              <w:spacing w:before="0" w:after="283"/>
              <w:rPr/>
            </w:pPr>
            <w:r>
              <w:rPr/>
              <w:t> </w:t>
            </w:r>
          </w:p>
        </w:tc>
        <w:tc>
          <w:tcPr>
            <w:tcW w:w="1012" w:type="dxa"/>
            <w:tcBorders/>
            <w:shd w:fill="auto" w:val="clear"/>
            <w:vAlign w:val="bottom"/>
          </w:tcPr>
          <w:p>
            <w:pPr>
              <w:pStyle w:val="TableContents"/>
              <w:spacing w:before="0" w:after="283"/>
              <w:jc w:val="right"/>
              <w:rPr>
                <w:rFonts w:ascii="times" w:hAnsi="times"/>
                <w:b/>
                <w:sz w:val="14"/>
              </w:rPr>
            </w:pPr>
            <w:r>
              <w:rPr>
                <w:rFonts w:ascii="times" w:hAnsi="times"/>
                <w:b/>
                <w:sz w:val="14"/>
              </w:rPr>
              <w:t>122,480</w:t>
            </w:r>
          </w:p>
        </w:tc>
        <w:tc>
          <w:tcPr>
            <w:tcW w:w="187" w:type="dxa"/>
            <w:tcBorders/>
            <w:shd w:fill="auto" w:val="clear"/>
            <w:vAlign w:val="bottom"/>
          </w:tcPr>
          <w:p>
            <w:pPr>
              <w:pStyle w:val="TableContents"/>
              <w:spacing w:before="0" w:after="283"/>
              <w:rPr/>
            </w:pPr>
            <w:r>
              <w:rPr/>
              <w:t> </w:t>
            </w:r>
          </w:p>
        </w:tc>
        <w:tc>
          <w:tcPr>
            <w:tcW w:w="99" w:type="dxa"/>
            <w:tcBorders/>
            <w:shd w:fill="auto" w:val="clear"/>
            <w:vAlign w:val="bottom"/>
          </w:tcPr>
          <w:p>
            <w:pPr>
              <w:pStyle w:val="TableContents"/>
              <w:spacing w:before="0" w:after="283"/>
              <w:rPr/>
            </w:pPr>
            <w:r>
              <w:rPr/>
              <w:t> </w:t>
            </w:r>
          </w:p>
        </w:tc>
        <w:tc>
          <w:tcPr>
            <w:tcW w:w="1013" w:type="dxa"/>
            <w:tcBorders/>
            <w:shd w:fill="auto" w:val="clear"/>
            <w:vAlign w:val="bottom"/>
          </w:tcPr>
          <w:p>
            <w:pPr>
              <w:pStyle w:val="TableContents"/>
              <w:spacing w:before="0" w:after="283"/>
              <w:jc w:val="right"/>
              <w:rPr>
                <w:rFonts w:ascii="times" w:hAnsi="times"/>
                <w:b/>
                <w:sz w:val="14"/>
              </w:rPr>
            </w:pPr>
            <w:r>
              <w:rPr>
                <w:rFonts w:ascii="times" w:hAnsi="times"/>
                <w:b/>
                <w:sz w:val="14"/>
              </w:rPr>
              <w:t>122,480</w:t>
            </w:r>
          </w:p>
        </w:tc>
        <w:tc>
          <w:tcPr>
            <w:tcW w:w="187" w:type="dxa"/>
            <w:tcBorders/>
            <w:shd w:fill="auto" w:val="clear"/>
            <w:vAlign w:val="bottom"/>
          </w:tcPr>
          <w:p>
            <w:pPr>
              <w:pStyle w:val="TableContents"/>
              <w:spacing w:before="0" w:after="283"/>
              <w:rPr/>
            </w:pPr>
            <w:r>
              <w:rPr/>
              <w:t> </w:t>
            </w:r>
          </w:p>
        </w:tc>
      </w:tr>
      <w:tr>
        <w:trPr/>
        <w:tc>
          <w:tcPr>
            <w:tcW w:w="2264" w:type="dxa"/>
            <w:tcBorders/>
            <w:shd w:fill="FFFFFF" w:val="clear"/>
            <w:vAlign w:val="bottom"/>
          </w:tcPr>
          <w:p>
            <w:pPr>
              <w:pStyle w:val="TableContents"/>
              <w:spacing w:before="0" w:after="283"/>
              <w:rPr/>
            </w:pPr>
            <w:r>
              <w:rPr/>
              <w:t>​</w:t>
            </w:r>
          </w:p>
        </w:tc>
        <w:tc>
          <w:tcPr>
            <w:tcW w:w="187" w:type="dxa"/>
            <w:tcBorders/>
            <w:shd w:fill="FFFFFF" w:val="clear"/>
            <w:vAlign w:val="bottom"/>
          </w:tcPr>
          <w:p>
            <w:pPr>
              <w:pStyle w:val="TableContents"/>
              <w:spacing w:before="0" w:after="283"/>
              <w:rPr/>
            </w:pPr>
            <w:r>
              <w:rPr/>
              <w:t>​</w:t>
            </w:r>
          </w:p>
        </w:tc>
        <w:tc>
          <w:tcPr>
            <w:tcW w:w="99" w:type="dxa"/>
            <w:tcBorders>
              <w:bottom w:val="single" w:sz="8" w:space="0" w:color="000000"/>
            </w:tcBorders>
            <w:shd w:fill="FFFFFF" w:val="clear"/>
            <w:tcMar>
              <w:bottom w:w="28" w:type="dxa"/>
            </w:tcMar>
            <w:vAlign w:val="bottom"/>
          </w:tcPr>
          <w:p>
            <w:pPr>
              <w:pStyle w:val="TableContents"/>
              <w:spacing w:before="0" w:after="283"/>
              <w:rPr/>
            </w:pPr>
            <w:r>
              <w:rPr/>
              <w:t xml:space="preserve">​ </w:t>
            </w:r>
          </w:p>
        </w:tc>
        <w:tc>
          <w:tcPr>
            <w:tcW w:w="1012" w:type="dxa"/>
            <w:tcBorders>
              <w:bottom w:val="single" w:sz="8" w:space="0" w:color="000000"/>
            </w:tcBorders>
            <w:shd w:fill="FFFFFF" w:val="clear"/>
            <w:tcMar>
              <w:bottom w:w="28" w:type="dxa"/>
            </w:tcMar>
            <w:vAlign w:val="bottom"/>
          </w:tcPr>
          <w:p>
            <w:pPr>
              <w:pStyle w:val="TableContents"/>
              <w:spacing w:before="0" w:after="283"/>
              <w:jc w:val="right"/>
              <w:rPr/>
            </w:pPr>
            <w:r>
              <w:rPr/>
              <w:t xml:space="preserve">​ </w:t>
            </w:r>
          </w:p>
        </w:tc>
        <w:tc>
          <w:tcPr>
            <w:tcW w:w="187" w:type="dxa"/>
            <w:tcBorders/>
            <w:shd w:fill="FFFFFF" w:val="clear"/>
            <w:vAlign w:val="bottom"/>
          </w:tcPr>
          <w:p>
            <w:pPr>
              <w:pStyle w:val="TableContents"/>
              <w:spacing w:before="0" w:after="283"/>
              <w:rPr/>
            </w:pPr>
            <w:r>
              <w:rPr/>
              <w:t>​</w:t>
            </w:r>
          </w:p>
        </w:tc>
        <w:tc>
          <w:tcPr>
            <w:tcW w:w="99" w:type="dxa"/>
            <w:tcBorders>
              <w:bottom w:val="single" w:sz="8" w:space="0" w:color="000000"/>
            </w:tcBorders>
            <w:shd w:fill="FFFFFF" w:val="clear"/>
            <w:tcMar>
              <w:bottom w:w="28" w:type="dxa"/>
            </w:tcMar>
            <w:vAlign w:val="bottom"/>
          </w:tcPr>
          <w:p>
            <w:pPr>
              <w:pStyle w:val="TableContents"/>
              <w:spacing w:before="0" w:after="283"/>
              <w:rPr/>
            </w:pPr>
            <w:r>
              <w:rPr/>
              <w:t xml:space="preserve">​ </w:t>
            </w:r>
          </w:p>
        </w:tc>
        <w:tc>
          <w:tcPr>
            <w:tcW w:w="1013" w:type="dxa"/>
            <w:tcBorders>
              <w:bottom w:val="single" w:sz="8" w:space="0" w:color="000000"/>
            </w:tcBorders>
            <w:shd w:fill="FFFFFF" w:val="clear"/>
            <w:tcMar>
              <w:bottom w:w="28" w:type="dxa"/>
            </w:tcMar>
            <w:vAlign w:val="bottom"/>
          </w:tcPr>
          <w:p>
            <w:pPr>
              <w:pStyle w:val="TableContents"/>
              <w:spacing w:before="0" w:after="283"/>
              <w:jc w:val="right"/>
              <w:rPr/>
            </w:pPr>
            <w:r>
              <w:rPr/>
              <w:t xml:space="preserve">​ </w:t>
            </w:r>
          </w:p>
        </w:tc>
        <w:tc>
          <w:tcPr>
            <w:tcW w:w="187" w:type="dxa"/>
            <w:tcBorders/>
            <w:shd w:fill="FFFFFF" w:val="clear"/>
            <w:vAlign w:val="bottom"/>
          </w:tcPr>
          <w:p>
            <w:pPr>
              <w:pStyle w:val="TableContents"/>
              <w:spacing w:before="0" w:after="283"/>
              <w:rPr/>
            </w:pPr>
            <w:r>
              <w:rPr/>
              <w:t>​</w:t>
            </w:r>
          </w:p>
        </w:tc>
        <w:tc>
          <w:tcPr>
            <w:tcW w:w="98" w:type="dxa"/>
            <w:tcBorders>
              <w:bottom w:val="single" w:sz="8" w:space="0" w:color="000000"/>
            </w:tcBorders>
            <w:shd w:fill="FFFFFF" w:val="clear"/>
            <w:tcMar>
              <w:bottom w:w="28" w:type="dxa"/>
            </w:tcMar>
            <w:vAlign w:val="bottom"/>
          </w:tcPr>
          <w:p>
            <w:pPr>
              <w:pStyle w:val="TableContents"/>
              <w:spacing w:before="0" w:after="283"/>
              <w:rPr/>
            </w:pPr>
            <w:r>
              <w:rPr/>
              <w:t xml:space="preserve">​ </w:t>
            </w:r>
          </w:p>
        </w:tc>
        <w:tc>
          <w:tcPr>
            <w:tcW w:w="1013" w:type="dxa"/>
            <w:tcBorders>
              <w:bottom w:val="single" w:sz="8" w:space="0" w:color="000000"/>
            </w:tcBorders>
            <w:shd w:fill="FFFFFF" w:val="clear"/>
            <w:tcMar>
              <w:bottom w:w="28" w:type="dxa"/>
            </w:tcMar>
            <w:vAlign w:val="bottom"/>
          </w:tcPr>
          <w:p>
            <w:pPr>
              <w:pStyle w:val="TableContents"/>
              <w:spacing w:before="0" w:after="283"/>
              <w:jc w:val="right"/>
              <w:rPr/>
            </w:pPr>
            <w:r>
              <w:rPr/>
              <w:t xml:space="preserve">​ </w:t>
            </w:r>
          </w:p>
        </w:tc>
        <w:tc>
          <w:tcPr>
            <w:tcW w:w="187" w:type="dxa"/>
            <w:tcBorders/>
            <w:shd w:fill="FFFFFF" w:val="clear"/>
            <w:vAlign w:val="bottom"/>
          </w:tcPr>
          <w:p>
            <w:pPr>
              <w:pStyle w:val="TableContents"/>
              <w:spacing w:before="0" w:after="283"/>
              <w:rPr/>
            </w:pPr>
            <w:r>
              <w:rPr/>
              <w:t>​</w:t>
            </w:r>
          </w:p>
        </w:tc>
        <w:tc>
          <w:tcPr>
            <w:tcW w:w="62" w:type="dxa"/>
            <w:tcBorders>
              <w:bottom w:val="single" w:sz="8" w:space="0" w:color="000000"/>
            </w:tcBorders>
            <w:shd w:fill="FFFFFF" w:val="clear"/>
            <w:tcMar>
              <w:bottom w:w="28" w:type="dxa"/>
            </w:tcMar>
            <w:vAlign w:val="bottom"/>
          </w:tcPr>
          <w:p>
            <w:pPr>
              <w:pStyle w:val="TableContents"/>
              <w:spacing w:before="0" w:after="283"/>
              <w:rPr/>
            </w:pPr>
            <w:r>
              <w:rPr/>
              <w:t xml:space="preserve">​ </w:t>
            </w:r>
          </w:p>
        </w:tc>
        <w:tc>
          <w:tcPr>
            <w:tcW w:w="1013" w:type="dxa"/>
            <w:tcBorders>
              <w:bottom w:val="single" w:sz="8" w:space="0" w:color="000000"/>
            </w:tcBorders>
            <w:shd w:fill="FFFFFF" w:val="clear"/>
            <w:tcMar>
              <w:bottom w:w="28" w:type="dxa"/>
            </w:tcMar>
            <w:vAlign w:val="bottom"/>
          </w:tcPr>
          <w:p>
            <w:pPr>
              <w:pStyle w:val="TableContents"/>
              <w:spacing w:before="0" w:after="283"/>
              <w:jc w:val="right"/>
              <w:rPr/>
            </w:pPr>
            <w:r>
              <w:rPr/>
              <w:t xml:space="preserve">​ </w:t>
            </w:r>
          </w:p>
        </w:tc>
        <w:tc>
          <w:tcPr>
            <w:tcW w:w="187" w:type="dxa"/>
            <w:tcBorders/>
            <w:shd w:fill="FFFFFF" w:val="clear"/>
            <w:vAlign w:val="bottom"/>
          </w:tcPr>
          <w:p>
            <w:pPr>
              <w:pStyle w:val="TableContents"/>
              <w:spacing w:before="0" w:after="283"/>
              <w:rPr/>
            </w:pPr>
            <w:r>
              <w:rPr/>
              <w:t>​</w:t>
            </w:r>
          </w:p>
        </w:tc>
        <w:tc>
          <w:tcPr>
            <w:tcW w:w="99" w:type="dxa"/>
            <w:tcBorders>
              <w:bottom w:val="single" w:sz="8" w:space="0" w:color="000000"/>
            </w:tcBorders>
            <w:shd w:fill="FFFFFF" w:val="clear"/>
            <w:tcMar>
              <w:bottom w:w="28" w:type="dxa"/>
            </w:tcMar>
            <w:vAlign w:val="bottom"/>
          </w:tcPr>
          <w:p>
            <w:pPr>
              <w:pStyle w:val="TableContents"/>
              <w:spacing w:before="0" w:after="283"/>
              <w:rPr/>
            </w:pPr>
            <w:r>
              <w:rPr/>
              <w:t xml:space="preserve">​ </w:t>
            </w:r>
          </w:p>
        </w:tc>
        <w:tc>
          <w:tcPr>
            <w:tcW w:w="1012" w:type="dxa"/>
            <w:tcBorders>
              <w:bottom w:val="single" w:sz="8" w:space="0" w:color="000000"/>
            </w:tcBorders>
            <w:shd w:fill="FFFFFF" w:val="clear"/>
            <w:tcMar>
              <w:bottom w:w="28" w:type="dxa"/>
            </w:tcMar>
            <w:vAlign w:val="bottom"/>
          </w:tcPr>
          <w:p>
            <w:pPr>
              <w:pStyle w:val="TableContents"/>
              <w:spacing w:before="0" w:after="283"/>
              <w:jc w:val="right"/>
              <w:rPr/>
            </w:pPr>
            <w:r>
              <w:rPr/>
              <w:t xml:space="preserve">​ </w:t>
            </w:r>
          </w:p>
        </w:tc>
        <w:tc>
          <w:tcPr>
            <w:tcW w:w="187" w:type="dxa"/>
            <w:tcBorders/>
            <w:shd w:fill="FFFFFF" w:val="clear"/>
            <w:vAlign w:val="bottom"/>
          </w:tcPr>
          <w:p>
            <w:pPr>
              <w:pStyle w:val="TableContents"/>
              <w:spacing w:before="0" w:after="283"/>
              <w:rPr/>
            </w:pPr>
            <w:r>
              <w:rPr/>
              <w:t>​</w:t>
            </w:r>
          </w:p>
        </w:tc>
        <w:tc>
          <w:tcPr>
            <w:tcW w:w="99" w:type="dxa"/>
            <w:tcBorders>
              <w:bottom w:val="single" w:sz="8" w:space="0" w:color="000000"/>
            </w:tcBorders>
            <w:shd w:fill="FFFFFF" w:val="clear"/>
            <w:tcMar>
              <w:bottom w:w="28" w:type="dxa"/>
            </w:tcMar>
            <w:vAlign w:val="bottom"/>
          </w:tcPr>
          <w:p>
            <w:pPr>
              <w:pStyle w:val="TableContents"/>
              <w:spacing w:before="0" w:after="283"/>
              <w:rPr/>
            </w:pPr>
            <w:r>
              <w:rPr/>
              <w:t xml:space="preserve">​ </w:t>
            </w:r>
          </w:p>
        </w:tc>
        <w:tc>
          <w:tcPr>
            <w:tcW w:w="1013" w:type="dxa"/>
            <w:tcBorders>
              <w:bottom w:val="single" w:sz="8" w:space="0" w:color="000000"/>
            </w:tcBorders>
            <w:shd w:fill="FFFFFF" w:val="clear"/>
            <w:tcMar>
              <w:bottom w:w="28" w:type="dxa"/>
            </w:tcMar>
            <w:vAlign w:val="bottom"/>
          </w:tcPr>
          <w:p>
            <w:pPr>
              <w:pStyle w:val="TableContents"/>
              <w:spacing w:before="0" w:after="283"/>
              <w:jc w:val="right"/>
              <w:rPr/>
            </w:pPr>
            <w:r>
              <w:rPr/>
              <w:t xml:space="preserve">​ </w:t>
            </w:r>
          </w:p>
        </w:tc>
        <w:tc>
          <w:tcPr>
            <w:tcW w:w="187" w:type="dxa"/>
            <w:tcBorders/>
            <w:shd w:fill="FFFFFF" w:val="clear"/>
            <w:vAlign w:val="bottom"/>
          </w:tcPr>
          <w:p>
            <w:pPr>
              <w:pStyle w:val="TableContents"/>
              <w:spacing w:before="0" w:after="283"/>
              <w:rPr/>
            </w:pPr>
            <w:r>
              <w:rPr/>
              <w:t>​</w:t>
            </w:r>
          </w:p>
        </w:tc>
      </w:tr>
      <w:tr>
        <w:trPr/>
        <w:tc>
          <w:tcPr>
            <w:tcW w:w="2264" w:type="dxa"/>
            <w:tcBorders/>
            <w:shd w:fill="auto" w:val="clear"/>
            <w:vAlign w:val="bottom"/>
          </w:tcPr>
          <w:p>
            <w:pPr>
              <w:pStyle w:val="TableContents"/>
              <w:spacing w:before="0" w:after="283"/>
              <w:ind w:left="140" w:right="0" w:hanging="140"/>
              <w:rPr>
                <w:rFonts w:ascii="times" w:hAnsi="times"/>
                <w:sz w:val="14"/>
              </w:rPr>
            </w:pPr>
            <w:r>
              <w:rPr>
                <w:rFonts w:ascii="times" w:hAnsi="times"/>
                <w:sz w:val="14"/>
              </w:rPr>
              <w:t>Financial costs</w:t>
            </w:r>
          </w:p>
        </w:tc>
        <w:tc>
          <w:tcPr>
            <w:tcW w:w="187" w:type="dxa"/>
            <w:tcBorders/>
            <w:shd w:fill="auto" w:val="clear"/>
            <w:vAlign w:val="bottom"/>
          </w:tcPr>
          <w:p>
            <w:pPr>
              <w:pStyle w:val="TableContents"/>
              <w:spacing w:before="0" w:after="283"/>
              <w:rPr/>
            </w:pPr>
            <w:r>
              <w:rPr/>
              <w:t> </w:t>
            </w:r>
          </w:p>
        </w:tc>
        <w:tc>
          <w:tcPr>
            <w:tcW w:w="99" w:type="dxa"/>
            <w:tcBorders/>
            <w:shd w:fill="auto" w:val="clear"/>
            <w:vAlign w:val="bottom"/>
          </w:tcPr>
          <w:p>
            <w:pPr>
              <w:pStyle w:val="TableContents"/>
              <w:spacing w:before="0" w:after="283"/>
              <w:rPr/>
            </w:pPr>
            <w:r>
              <w:rPr/>
              <w:t> </w:t>
            </w:r>
          </w:p>
        </w:tc>
        <w:tc>
          <w:tcPr>
            <w:tcW w:w="1012" w:type="dxa"/>
            <w:tcBorders/>
            <w:shd w:fill="auto" w:val="clear"/>
            <w:vAlign w:val="bottom"/>
          </w:tcPr>
          <w:p>
            <w:pPr>
              <w:pStyle w:val="TableContents"/>
              <w:spacing w:before="0" w:after="283"/>
              <w:jc w:val="right"/>
              <w:rPr>
                <w:rFonts w:ascii="times" w:hAnsi="times"/>
                <w:sz w:val="14"/>
              </w:rPr>
            </w:pPr>
            <w:r>
              <w:rPr>
                <w:rFonts w:ascii="times" w:hAnsi="times"/>
                <w:sz w:val="14"/>
              </w:rPr>
              <w:t>(1,730</w:t>
            </w:r>
          </w:p>
        </w:tc>
        <w:tc>
          <w:tcPr>
            <w:tcW w:w="187" w:type="dxa"/>
            <w:tcBorders/>
            <w:shd w:fill="auto" w:val="clear"/>
            <w:vAlign w:val="bottom"/>
          </w:tcPr>
          <w:p>
            <w:pPr>
              <w:pStyle w:val="TableContents"/>
              <w:spacing w:before="0" w:after="283"/>
              <w:rPr>
                <w:rFonts w:ascii="times" w:hAnsi="times"/>
                <w:sz w:val="14"/>
              </w:rPr>
            </w:pPr>
            <w:r>
              <w:rPr>
                <w:rFonts w:ascii="times" w:hAnsi="times"/>
                <w:sz w:val="14"/>
              </w:rPr>
              <w:t>)</w:t>
            </w:r>
          </w:p>
        </w:tc>
        <w:tc>
          <w:tcPr>
            <w:tcW w:w="99" w:type="dxa"/>
            <w:tcBorders/>
            <w:shd w:fill="auto" w:val="clear"/>
            <w:vAlign w:val="bottom"/>
          </w:tcPr>
          <w:p>
            <w:pPr>
              <w:pStyle w:val="TableContents"/>
              <w:spacing w:before="0" w:after="283"/>
              <w:rPr/>
            </w:pPr>
            <w:r>
              <w:rPr/>
              <w:t> </w:t>
            </w:r>
          </w:p>
        </w:tc>
        <w:tc>
          <w:tcPr>
            <w:tcW w:w="1013" w:type="dxa"/>
            <w:tcBorders/>
            <w:shd w:fill="auto" w:val="clear"/>
            <w:vAlign w:val="bottom"/>
          </w:tcPr>
          <w:p>
            <w:pPr>
              <w:pStyle w:val="TableContents"/>
              <w:spacing w:before="0" w:after="283"/>
              <w:jc w:val="right"/>
              <w:rPr>
                <w:rFonts w:ascii="times" w:hAnsi="times"/>
                <w:sz w:val="14"/>
              </w:rPr>
            </w:pPr>
            <w:r>
              <w:rPr>
                <w:rFonts w:ascii="times" w:hAnsi="times"/>
                <w:sz w:val="14"/>
              </w:rPr>
              <w:t>(70,268</w:t>
            </w:r>
          </w:p>
        </w:tc>
        <w:tc>
          <w:tcPr>
            <w:tcW w:w="187" w:type="dxa"/>
            <w:tcBorders/>
            <w:shd w:fill="auto" w:val="clear"/>
            <w:vAlign w:val="bottom"/>
          </w:tcPr>
          <w:p>
            <w:pPr>
              <w:pStyle w:val="TableContents"/>
              <w:spacing w:before="0" w:after="283"/>
              <w:rPr>
                <w:rFonts w:ascii="times" w:hAnsi="times"/>
                <w:sz w:val="14"/>
              </w:rPr>
            </w:pPr>
            <w:r>
              <w:rPr>
                <w:rFonts w:ascii="times" w:hAnsi="times"/>
                <w:sz w:val="14"/>
              </w:rPr>
              <w:t>)</w:t>
            </w:r>
          </w:p>
        </w:tc>
        <w:tc>
          <w:tcPr>
            <w:tcW w:w="98" w:type="dxa"/>
            <w:tcBorders/>
            <w:shd w:fill="auto" w:val="clear"/>
            <w:vAlign w:val="bottom"/>
          </w:tcPr>
          <w:p>
            <w:pPr>
              <w:pStyle w:val="TableContents"/>
              <w:spacing w:before="0" w:after="283"/>
              <w:rPr/>
            </w:pPr>
            <w:r>
              <w:rPr/>
              <w:t> </w:t>
            </w:r>
          </w:p>
        </w:tc>
        <w:tc>
          <w:tcPr>
            <w:tcW w:w="1013" w:type="dxa"/>
            <w:tcBorders/>
            <w:shd w:fill="auto" w:val="clear"/>
            <w:vAlign w:val="bottom"/>
          </w:tcPr>
          <w:p>
            <w:pPr>
              <w:pStyle w:val="TableContents"/>
              <w:spacing w:before="0" w:after="283"/>
              <w:jc w:val="right"/>
              <w:rPr>
                <w:rFonts w:ascii="times" w:hAnsi="times"/>
                <w:sz w:val="14"/>
              </w:rPr>
            </w:pPr>
            <w:r>
              <w:rPr>
                <w:rFonts w:ascii="times" w:hAnsi="times"/>
                <w:sz w:val="14"/>
              </w:rPr>
              <w:t>(71,998</w:t>
            </w:r>
          </w:p>
        </w:tc>
        <w:tc>
          <w:tcPr>
            <w:tcW w:w="187" w:type="dxa"/>
            <w:tcBorders/>
            <w:shd w:fill="auto" w:val="clear"/>
            <w:vAlign w:val="bottom"/>
          </w:tcPr>
          <w:p>
            <w:pPr>
              <w:pStyle w:val="TableContents"/>
              <w:spacing w:before="0" w:after="283"/>
              <w:rPr>
                <w:rFonts w:ascii="times" w:hAnsi="times"/>
                <w:sz w:val="14"/>
              </w:rPr>
            </w:pPr>
            <w:r>
              <w:rPr>
                <w:rFonts w:ascii="times" w:hAnsi="times"/>
                <w:sz w:val="14"/>
              </w:rPr>
              <w:t>)</w:t>
            </w:r>
          </w:p>
        </w:tc>
        <w:tc>
          <w:tcPr>
            <w:tcW w:w="62" w:type="dxa"/>
            <w:tcBorders/>
            <w:shd w:fill="auto" w:val="clear"/>
            <w:vAlign w:val="bottom"/>
          </w:tcPr>
          <w:p>
            <w:pPr>
              <w:pStyle w:val="TableContents"/>
              <w:spacing w:before="0" w:after="283"/>
              <w:rPr/>
            </w:pPr>
            <w:r>
              <w:rPr/>
              <w:t> </w:t>
            </w:r>
          </w:p>
        </w:tc>
        <w:tc>
          <w:tcPr>
            <w:tcW w:w="1013" w:type="dxa"/>
            <w:tcBorders/>
            <w:shd w:fill="auto" w:val="clear"/>
            <w:vAlign w:val="bottom"/>
          </w:tcPr>
          <w:p>
            <w:pPr>
              <w:pStyle w:val="TableContents"/>
              <w:spacing w:before="0" w:after="283"/>
              <w:jc w:val="right"/>
              <w:rPr>
                <w:rFonts w:ascii="times" w:hAnsi="times"/>
                <w:sz w:val="14"/>
              </w:rPr>
            </w:pPr>
            <w:r>
              <w:rPr>
                <w:rFonts w:ascii="times" w:hAnsi="times"/>
                <w:sz w:val="14"/>
              </w:rPr>
              <w:t></w:t>
            </w:r>
          </w:p>
        </w:tc>
        <w:tc>
          <w:tcPr>
            <w:tcW w:w="187" w:type="dxa"/>
            <w:tcBorders/>
            <w:shd w:fill="auto" w:val="clear"/>
            <w:vAlign w:val="bottom"/>
          </w:tcPr>
          <w:p>
            <w:pPr>
              <w:pStyle w:val="TableContents"/>
              <w:spacing w:before="0" w:after="283"/>
              <w:rPr/>
            </w:pPr>
            <w:r>
              <w:rPr/>
              <w:t> </w:t>
            </w:r>
          </w:p>
        </w:tc>
        <w:tc>
          <w:tcPr>
            <w:tcW w:w="99" w:type="dxa"/>
            <w:tcBorders/>
            <w:shd w:fill="auto" w:val="clear"/>
            <w:vAlign w:val="bottom"/>
          </w:tcPr>
          <w:p>
            <w:pPr>
              <w:pStyle w:val="TableContents"/>
              <w:spacing w:before="0" w:after="283"/>
              <w:rPr/>
            </w:pPr>
            <w:r>
              <w:rPr/>
              <w:t> </w:t>
            </w:r>
          </w:p>
        </w:tc>
        <w:tc>
          <w:tcPr>
            <w:tcW w:w="1012" w:type="dxa"/>
            <w:tcBorders/>
            <w:shd w:fill="auto" w:val="clear"/>
            <w:vAlign w:val="bottom"/>
          </w:tcPr>
          <w:p>
            <w:pPr>
              <w:pStyle w:val="TableContents"/>
              <w:spacing w:before="0" w:after="283"/>
              <w:jc w:val="right"/>
              <w:rPr>
                <w:rFonts w:ascii="times" w:hAnsi="times"/>
                <w:sz w:val="14"/>
              </w:rPr>
            </w:pPr>
            <w:r>
              <w:rPr>
                <w:rFonts w:ascii="times" w:hAnsi="times"/>
                <w:sz w:val="14"/>
              </w:rPr>
              <w:t>(50,987</w:t>
            </w:r>
          </w:p>
        </w:tc>
        <w:tc>
          <w:tcPr>
            <w:tcW w:w="187" w:type="dxa"/>
            <w:tcBorders/>
            <w:shd w:fill="auto" w:val="clear"/>
            <w:vAlign w:val="bottom"/>
          </w:tcPr>
          <w:p>
            <w:pPr>
              <w:pStyle w:val="TableContents"/>
              <w:spacing w:before="0" w:after="283"/>
              <w:rPr>
                <w:rFonts w:ascii="times" w:hAnsi="times"/>
                <w:sz w:val="14"/>
              </w:rPr>
            </w:pPr>
            <w:r>
              <w:rPr>
                <w:rFonts w:ascii="times" w:hAnsi="times"/>
                <w:sz w:val="14"/>
              </w:rPr>
              <w:t>)</w:t>
            </w:r>
          </w:p>
        </w:tc>
        <w:tc>
          <w:tcPr>
            <w:tcW w:w="99" w:type="dxa"/>
            <w:tcBorders/>
            <w:shd w:fill="auto" w:val="clear"/>
            <w:vAlign w:val="bottom"/>
          </w:tcPr>
          <w:p>
            <w:pPr>
              <w:pStyle w:val="TableContents"/>
              <w:spacing w:before="0" w:after="283"/>
              <w:rPr/>
            </w:pPr>
            <w:r>
              <w:rPr/>
              <w:t> </w:t>
            </w:r>
          </w:p>
        </w:tc>
        <w:tc>
          <w:tcPr>
            <w:tcW w:w="1013" w:type="dxa"/>
            <w:tcBorders/>
            <w:shd w:fill="auto" w:val="clear"/>
            <w:vAlign w:val="bottom"/>
          </w:tcPr>
          <w:p>
            <w:pPr>
              <w:pStyle w:val="TableContents"/>
              <w:spacing w:before="0" w:after="283"/>
              <w:jc w:val="right"/>
              <w:rPr>
                <w:rFonts w:ascii="times" w:hAnsi="times"/>
                <w:sz w:val="14"/>
              </w:rPr>
            </w:pPr>
            <w:r>
              <w:rPr>
                <w:rFonts w:ascii="times" w:hAnsi="times"/>
                <w:sz w:val="14"/>
              </w:rPr>
              <w:t>(50,987</w:t>
            </w:r>
          </w:p>
        </w:tc>
        <w:tc>
          <w:tcPr>
            <w:tcW w:w="187" w:type="dxa"/>
            <w:tcBorders/>
            <w:shd w:fill="auto" w:val="clear"/>
            <w:vAlign w:val="bottom"/>
          </w:tcPr>
          <w:p>
            <w:pPr>
              <w:pStyle w:val="TableContents"/>
              <w:spacing w:before="0" w:after="283"/>
              <w:rPr>
                <w:rFonts w:ascii="times" w:hAnsi="times"/>
                <w:sz w:val="14"/>
              </w:rPr>
            </w:pPr>
            <w:r>
              <w:rPr>
                <w:rFonts w:ascii="times" w:hAnsi="times"/>
                <w:sz w:val="14"/>
              </w:rPr>
              <w:t>)</w:t>
            </w:r>
          </w:p>
        </w:tc>
      </w:tr>
      <w:tr>
        <w:trPr/>
        <w:tc>
          <w:tcPr>
            <w:tcW w:w="2264" w:type="dxa"/>
            <w:tcBorders/>
            <w:shd w:fill="auto" w:val="clear"/>
            <w:vAlign w:val="bottom"/>
          </w:tcPr>
          <w:p>
            <w:pPr>
              <w:pStyle w:val="TableContents"/>
              <w:spacing w:before="0" w:after="283"/>
              <w:ind w:left="140" w:right="0" w:hanging="140"/>
              <w:rPr>
                <w:rFonts w:ascii="times" w:hAnsi="times"/>
                <w:sz w:val="14"/>
              </w:rPr>
            </w:pPr>
            <w:r>
              <w:rPr>
                <w:rFonts w:ascii="times" w:hAnsi="times"/>
                <w:sz w:val="14"/>
              </w:rPr>
              <w:t>Financial income</w:t>
            </w:r>
          </w:p>
        </w:tc>
        <w:tc>
          <w:tcPr>
            <w:tcW w:w="187" w:type="dxa"/>
            <w:tcBorders/>
            <w:shd w:fill="auto" w:val="clear"/>
            <w:vAlign w:val="bottom"/>
          </w:tcPr>
          <w:p>
            <w:pPr>
              <w:pStyle w:val="TableContents"/>
              <w:spacing w:before="0" w:after="283"/>
              <w:rPr/>
            </w:pPr>
            <w:r>
              <w:rPr/>
              <w:t> </w:t>
            </w:r>
          </w:p>
        </w:tc>
        <w:tc>
          <w:tcPr>
            <w:tcW w:w="99" w:type="dxa"/>
            <w:tcBorders/>
            <w:shd w:fill="auto" w:val="clear"/>
            <w:vAlign w:val="bottom"/>
          </w:tcPr>
          <w:p>
            <w:pPr>
              <w:pStyle w:val="TableContents"/>
              <w:spacing w:before="0" w:after="283"/>
              <w:rPr/>
            </w:pPr>
            <w:r>
              <w:rPr/>
              <w:t> </w:t>
            </w:r>
          </w:p>
        </w:tc>
        <w:tc>
          <w:tcPr>
            <w:tcW w:w="1012" w:type="dxa"/>
            <w:tcBorders/>
            <w:shd w:fill="auto" w:val="clear"/>
            <w:vAlign w:val="bottom"/>
          </w:tcPr>
          <w:p>
            <w:pPr>
              <w:pStyle w:val="TableContents"/>
              <w:spacing w:before="0" w:after="283"/>
              <w:jc w:val="right"/>
              <w:rPr>
                <w:rFonts w:ascii="times" w:hAnsi="times"/>
                <w:sz w:val="14"/>
              </w:rPr>
            </w:pPr>
            <w:r>
              <w:rPr>
                <w:rFonts w:ascii="times" w:hAnsi="times"/>
                <w:sz w:val="14"/>
              </w:rPr>
              <w:t>14</w:t>
            </w:r>
          </w:p>
        </w:tc>
        <w:tc>
          <w:tcPr>
            <w:tcW w:w="187" w:type="dxa"/>
            <w:tcBorders/>
            <w:shd w:fill="auto" w:val="clear"/>
            <w:vAlign w:val="bottom"/>
          </w:tcPr>
          <w:p>
            <w:pPr>
              <w:pStyle w:val="TableContents"/>
              <w:spacing w:before="0" w:after="283"/>
              <w:rPr/>
            </w:pPr>
            <w:r>
              <w:rPr/>
              <w:t> </w:t>
            </w:r>
          </w:p>
        </w:tc>
        <w:tc>
          <w:tcPr>
            <w:tcW w:w="99" w:type="dxa"/>
            <w:tcBorders/>
            <w:shd w:fill="auto" w:val="clear"/>
            <w:vAlign w:val="bottom"/>
          </w:tcPr>
          <w:p>
            <w:pPr>
              <w:pStyle w:val="TableContents"/>
              <w:spacing w:before="0" w:after="283"/>
              <w:rPr/>
            </w:pPr>
            <w:r>
              <w:rPr/>
              <w:t> </w:t>
            </w:r>
          </w:p>
        </w:tc>
        <w:tc>
          <w:tcPr>
            <w:tcW w:w="1013" w:type="dxa"/>
            <w:tcBorders/>
            <w:shd w:fill="auto" w:val="clear"/>
            <w:vAlign w:val="bottom"/>
          </w:tcPr>
          <w:p>
            <w:pPr>
              <w:pStyle w:val="TableContents"/>
              <w:spacing w:before="0" w:after="283"/>
              <w:jc w:val="right"/>
              <w:rPr>
                <w:rFonts w:ascii="times" w:hAnsi="times"/>
                <w:sz w:val="14"/>
              </w:rPr>
            </w:pPr>
            <w:r>
              <w:rPr>
                <w:rFonts w:ascii="times" w:hAnsi="times"/>
                <w:sz w:val="14"/>
              </w:rPr>
              <w:t>1,873</w:t>
            </w:r>
          </w:p>
        </w:tc>
        <w:tc>
          <w:tcPr>
            <w:tcW w:w="187" w:type="dxa"/>
            <w:tcBorders/>
            <w:shd w:fill="auto" w:val="clear"/>
            <w:vAlign w:val="bottom"/>
          </w:tcPr>
          <w:p>
            <w:pPr>
              <w:pStyle w:val="TableContents"/>
              <w:spacing w:before="0" w:after="283"/>
              <w:rPr/>
            </w:pPr>
            <w:r>
              <w:rPr/>
              <w:t> </w:t>
            </w:r>
          </w:p>
        </w:tc>
        <w:tc>
          <w:tcPr>
            <w:tcW w:w="98" w:type="dxa"/>
            <w:tcBorders/>
            <w:shd w:fill="auto" w:val="clear"/>
            <w:vAlign w:val="bottom"/>
          </w:tcPr>
          <w:p>
            <w:pPr>
              <w:pStyle w:val="TableContents"/>
              <w:spacing w:before="0" w:after="283"/>
              <w:rPr/>
            </w:pPr>
            <w:r>
              <w:rPr/>
              <w:t> </w:t>
            </w:r>
          </w:p>
        </w:tc>
        <w:tc>
          <w:tcPr>
            <w:tcW w:w="1013" w:type="dxa"/>
            <w:tcBorders/>
            <w:shd w:fill="auto" w:val="clear"/>
            <w:vAlign w:val="bottom"/>
          </w:tcPr>
          <w:p>
            <w:pPr>
              <w:pStyle w:val="TableContents"/>
              <w:spacing w:before="0" w:after="283"/>
              <w:jc w:val="right"/>
              <w:rPr>
                <w:rFonts w:ascii="times" w:hAnsi="times"/>
                <w:sz w:val="14"/>
              </w:rPr>
            </w:pPr>
            <w:r>
              <w:rPr>
                <w:rFonts w:ascii="times" w:hAnsi="times"/>
                <w:sz w:val="14"/>
              </w:rPr>
              <w:t>1,887</w:t>
            </w:r>
          </w:p>
        </w:tc>
        <w:tc>
          <w:tcPr>
            <w:tcW w:w="187" w:type="dxa"/>
            <w:tcBorders/>
            <w:shd w:fill="auto" w:val="clear"/>
            <w:vAlign w:val="bottom"/>
          </w:tcPr>
          <w:p>
            <w:pPr>
              <w:pStyle w:val="TableContents"/>
              <w:spacing w:before="0" w:after="283"/>
              <w:rPr/>
            </w:pPr>
            <w:r>
              <w:rPr/>
              <w:t> </w:t>
            </w:r>
          </w:p>
        </w:tc>
        <w:tc>
          <w:tcPr>
            <w:tcW w:w="62" w:type="dxa"/>
            <w:tcBorders/>
            <w:shd w:fill="auto" w:val="clear"/>
            <w:vAlign w:val="bottom"/>
          </w:tcPr>
          <w:p>
            <w:pPr>
              <w:pStyle w:val="TableContents"/>
              <w:spacing w:before="0" w:after="283"/>
              <w:rPr/>
            </w:pPr>
            <w:r>
              <w:rPr/>
              <w:t> </w:t>
            </w:r>
          </w:p>
        </w:tc>
        <w:tc>
          <w:tcPr>
            <w:tcW w:w="1013" w:type="dxa"/>
            <w:tcBorders/>
            <w:shd w:fill="auto" w:val="clear"/>
            <w:vAlign w:val="bottom"/>
          </w:tcPr>
          <w:p>
            <w:pPr>
              <w:pStyle w:val="TableContents"/>
              <w:spacing w:before="0" w:after="283"/>
              <w:jc w:val="right"/>
              <w:rPr>
                <w:rFonts w:ascii="times" w:hAnsi="times"/>
                <w:sz w:val="14"/>
              </w:rPr>
            </w:pPr>
            <w:r>
              <w:rPr>
                <w:rFonts w:ascii="times" w:hAnsi="times"/>
                <w:sz w:val="14"/>
              </w:rPr>
              <w:t></w:t>
            </w:r>
          </w:p>
        </w:tc>
        <w:tc>
          <w:tcPr>
            <w:tcW w:w="187" w:type="dxa"/>
            <w:tcBorders/>
            <w:shd w:fill="auto" w:val="clear"/>
            <w:vAlign w:val="bottom"/>
          </w:tcPr>
          <w:p>
            <w:pPr>
              <w:pStyle w:val="TableContents"/>
              <w:spacing w:before="0" w:after="283"/>
              <w:rPr/>
            </w:pPr>
            <w:r>
              <w:rPr/>
              <w:t> </w:t>
            </w:r>
          </w:p>
        </w:tc>
        <w:tc>
          <w:tcPr>
            <w:tcW w:w="99" w:type="dxa"/>
            <w:tcBorders/>
            <w:shd w:fill="auto" w:val="clear"/>
            <w:vAlign w:val="bottom"/>
          </w:tcPr>
          <w:p>
            <w:pPr>
              <w:pStyle w:val="TableContents"/>
              <w:spacing w:before="0" w:after="283"/>
              <w:rPr/>
            </w:pPr>
            <w:r>
              <w:rPr/>
              <w:t> </w:t>
            </w:r>
          </w:p>
        </w:tc>
        <w:tc>
          <w:tcPr>
            <w:tcW w:w="1012" w:type="dxa"/>
            <w:tcBorders/>
            <w:shd w:fill="auto" w:val="clear"/>
            <w:vAlign w:val="bottom"/>
          </w:tcPr>
          <w:p>
            <w:pPr>
              <w:pStyle w:val="TableContents"/>
              <w:spacing w:before="0" w:after="283"/>
              <w:jc w:val="right"/>
              <w:rPr>
                <w:rFonts w:ascii="times" w:hAnsi="times"/>
                <w:sz w:val="14"/>
              </w:rPr>
            </w:pPr>
            <w:r>
              <w:rPr>
                <w:rFonts w:ascii="times" w:hAnsi="times"/>
                <w:sz w:val="14"/>
              </w:rPr>
              <w:t>295</w:t>
            </w:r>
          </w:p>
        </w:tc>
        <w:tc>
          <w:tcPr>
            <w:tcW w:w="187" w:type="dxa"/>
            <w:tcBorders/>
            <w:shd w:fill="auto" w:val="clear"/>
            <w:vAlign w:val="bottom"/>
          </w:tcPr>
          <w:p>
            <w:pPr>
              <w:pStyle w:val="TableContents"/>
              <w:spacing w:before="0" w:after="283"/>
              <w:rPr/>
            </w:pPr>
            <w:r>
              <w:rPr/>
              <w:t> </w:t>
            </w:r>
          </w:p>
        </w:tc>
        <w:tc>
          <w:tcPr>
            <w:tcW w:w="99" w:type="dxa"/>
            <w:tcBorders/>
            <w:shd w:fill="auto" w:val="clear"/>
            <w:vAlign w:val="bottom"/>
          </w:tcPr>
          <w:p>
            <w:pPr>
              <w:pStyle w:val="TableContents"/>
              <w:spacing w:before="0" w:after="283"/>
              <w:rPr/>
            </w:pPr>
            <w:r>
              <w:rPr/>
              <w:t> </w:t>
            </w:r>
          </w:p>
        </w:tc>
        <w:tc>
          <w:tcPr>
            <w:tcW w:w="1013" w:type="dxa"/>
            <w:tcBorders/>
            <w:shd w:fill="auto" w:val="clear"/>
            <w:vAlign w:val="bottom"/>
          </w:tcPr>
          <w:p>
            <w:pPr>
              <w:pStyle w:val="TableContents"/>
              <w:spacing w:before="0" w:after="283"/>
              <w:jc w:val="right"/>
              <w:rPr>
                <w:rFonts w:ascii="times" w:hAnsi="times"/>
                <w:sz w:val="14"/>
              </w:rPr>
            </w:pPr>
            <w:r>
              <w:rPr>
                <w:rFonts w:ascii="times" w:hAnsi="times"/>
                <w:sz w:val="14"/>
              </w:rPr>
              <w:t>295</w:t>
            </w:r>
          </w:p>
        </w:tc>
        <w:tc>
          <w:tcPr>
            <w:tcW w:w="187" w:type="dxa"/>
            <w:tcBorders/>
            <w:shd w:fill="auto" w:val="clear"/>
            <w:vAlign w:val="bottom"/>
          </w:tcPr>
          <w:p>
            <w:pPr>
              <w:pStyle w:val="TableContents"/>
              <w:spacing w:before="0" w:after="283"/>
              <w:rPr/>
            </w:pPr>
            <w:r>
              <w:rPr/>
              <w:t> </w:t>
            </w:r>
          </w:p>
        </w:tc>
      </w:tr>
      <w:tr>
        <w:trPr/>
        <w:tc>
          <w:tcPr>
            <w:tcW w:w="2264" w:type="dxa"/>
            <w:tcBorders/>
            <w:shd w:fill="auto" w:val="clear"/>
            <w:vAlign w:val="bottom"/>
          </w:tcPr>
          <w:p>
            <w:pPr>
              <w:pStyle w:val="TableContents"/>
              <w:spacing w:before="0" w:after="283"/>
              <w:ind w:left="140" w:right="0" w:hanging="140"/>
              <w:rPr>
                <w:rFonts w:ascii="times" w:hAnsi="times"/>
                <w:sz w:val="14"/>
              </w:rPr>
            </w:pPr>
            <w:r>
              <w:rPr>
                <w:rFonts w:ascii="times" w:hAnsi="times"/>
                <w:sz w:val="14"/>
              </w:rPr>
              <w:t>Loss on derivatives</w:t>
            </w:r>
          </w:p>
        </w:tc>
        <w:tc>
          <w:tcPr>
            <w:tcW w:w="187" w:type="dxa"/>
            <w:tcBorders/>
            <w:shd w:fill="auto" w:val="clear"/>
            <w:vAlign w:val="bottom"/>
          </w:tcPr>
          <w:p>
            <w:pPr>
              <w:pStyle w:val="TableContents"/>
              <w:spacing w:before="0" w:after="283"/>
              <w:rPr/>
            </w:pPr>
            <w:r>
              <w:rPr/>
              <w:t> </w:t>
            </w:r>
          </w:p>
        </w:tc>
        <w:tc>
          <w:tcPr>
            <w:tcW w:w="99" w:type="dxa"/>
            <w:tcBorders/>
            <w:shd w:fill="auto" w:val="clear"/>
            <w:vAlign w:val="bottom"/>
          </w:tcPr>
          <w:p>
            <w:pPr>
              <w:pStyle w:val="TableContents"/>
              <w:spacing w:before="0" w:after="283"/>
              <w:rPr/>
            </w:pPr>
            <w:r>
              <w:rPr/>
              <w:t> </w:t>
            </w:r>
          </w:p>
        </w:tc>
        <w:tc>
          <w:tcPr>
            <w:tcW w:w="1012" w:type="dxa"/>
            <w:tcBorders/>
            <w:shd w:fill="auto" w:val="clear"/>
            <w:vAlign w:val="bottom"/>
          </w:tcPr>
          <w:p>
            <w:pPr>
              <w:pStyle w:val="TableContents"/>
              <w:spacing w:before="0" w:after="283"/>
              <w:jc w:val="right"/>
              <w:rPr>
                <w:rFonts w:ascii="times" w:hAnsi="times"/>
                <w:sz w:val="14"/>
              </w:rPr>
            </w:pPr>
            <w:r>
              <w:rPr>
                <w:rFonts w:ascii="times" w:hAnsi="times"/>
                <w:sz w:val="14"/>
              </w:rPr>
              <w:t></w:t>
            </w:r>
          </w:p>
        </w:tc>
        <w:tc>
          <w:tcPr>
            <w:tcW w:w="187" w:type="dxa"/>
            <w:tcBorders/>
            <w:shd w:fill="auto" w:val="clear"/>
            <w:vAlign w:val="bottom"/>
          </w:tcPr>
          <w:p>
            <w:pPr>
              <w:pStyle w:val="TableContents"/>
              <w:spacing w:before="0" w:after="283"/>
              <w:rPr/>
            </w:pPr>
            <w:r>
              <w:rPr/>
              <w:t> </w:t>
            </w:r>
          </w:p>
        </w:tc>
        <w:tc>
          <w:tcPr>
            <w:tcW w:w="99" w:type="dxa"/>
            <w:tcBorders/>
            <w:shd w:fill="auto" w:val="clear"/>
            <w:vAlign w:val="bottom"/>
          </w:tcPr>
          <w:p>
            <w:pPr>
              <w:pStyle w:val="TableContents"/>
              <w:spacing w:before="0" w:after="283"/>
              <w:rPr/>
            </w:pPr>
            <w:r>
              <w:rPr/>
              <w:t> </w:t>
            </w:r>
          </w:p>
        </w:tc>
        <w:tc>
          <w:tcPr>
            <w:tcW w:w="1013" w:type="dxa"/>
            <w:tcBorders/>
            <w:shd w:fill="auto" w:val="clear"/>
            <w:vAlign w:val="bottom"/>
          </w:tcPr>
          <w:p>
            <w:pPr>
              <w:pStyle w:val="TableContents"/>
              <w:spacing w:before="0" w:after="283"/>
              <w:jc w:val="right"/>
              <w:rPr>
                <w:rFonts w:ascii="times" w:hAnsi="times"/>
                <w:sz w:val="14"/>
              </w:rPr>
            </w:pPr>
            <w:r>
              <w:rPr>
                <w:rFonts w:ascii="times" w:hAnsi="times"/>
                <w:sz w:val="14"/>
              </w:rPr>
              <w:t>(12,795</w:t>
            </w:r>
          </w:p>
        </w:tc>
        <w:tc>
          <w:tcPr>
            <w:tcW w:w="187" w:type="dxa"/>
            <w:tcBorders/>
            <w:shd w:fill="auto" w:val="clear"/>
            <w:vAlign w:val="bottom"/>
          </w:tcPr>
          <w:p>
            <w:pPr>
              <w:pStyle w:val="TableContents"/>
              <w:spacing w:before="0" w:after="283"/>
              <w:rPr>
                <w:rFonts w:ascii="times" w:hAnsi="times"/>
                <w:sz w:val="14"/>
              </w:rPr>
            </w:pPr>
            <w:r>
              <w:rPr>
                <w:rFonts w:ascii="times" w:hAnsi="times"/>
                <w:sz w:val="14"/>
              </w:rPr>
              <w:t>)</w:t>
            </w:r>
          </w:p>
        </w:tc>
        <w:tc>
          <w:tcPr>
            <w:tcW w:w="98" w:type="dxa"/>
            <w:tcBorders/>
            <w:shd w:fill="auto" w:val="clear"/>
            <w:vAlign w:val="bottom"/>
          </w:tcPr>
          <w:p>
            <w:pPr>
              <w:pStyle w:val="TableContents"/>
              <w:spacing w:before="0" w:after="283"/>
              <w:rPr/>
            </w:pPr>
            <w:r>
              <w:rPr/>
              <w:t> </w:t>
            </w:r>
          </w:p>
        </w:tc>
        <w:tc>
          <w:tcPr>
            <w:tcW w:w="1013" w:type="dxa"/>
            <w:tcBorders/>
            <w:shd w:fill="auto" w:val="clear"/>
            <w:vAlign w:val="bottom"/>
          </w:tcPr>
          <w:p>
            <w:pPr>
              <w:pStyle w:val="TableContents"/>
              <w:spacing w:before="0" w:after="283"/>
              <w:jc w:val="right"/>
              <w:rPr>
                <w:rFonts w:ascii="times" w:hAnsi="times"/>
                <w:sz w:val="14"/>
              </w:rPr>
            </w:pPr>
            <w:r>
              <w:rPr>
                <w:rFonts w:ascii="times" w:hAnsi="times"/>
                <w:sz w:val="14"/>
              </w:rPr>
              <w:t>(12,795</w:t>
            </w:r>
          </w:p>
        </w:tc>
        <w:tc>
          <w:tcPr>
            <w:tcW w:w="187" w:type="dxa"/>
            <w:tcBorders/>
            <w:shd w:fill="auto" w:val="clear"/>
            <w:vAlign w:val="bottom"/>
          </w:tcPr>
          <w:p>
            <w:pPr>
              <w:pStyle w:val="TableContents"/>
              <w:spacing w:before="0" w:after="283"/>
              <w:rPr>
                <w:rFonts w:ascii="times" w:hAnsi="times"/>
                <w:sz w:val="14"/>
              </w:rPr>
            </w:pPr>
            <w:r>
              <w:rPr>
                <w:rFonts w:ascii="times" w:hAnsi="times"/>
                <w:sz w:val="14"/>
              </w:rPr>
              <w:t>)</w:t>
            </w:r>
          </w:p>
        </w:tc>
        <w:tc>
          <w:tcPr>
            <w:tcW w:w="62" w:type="dxa"/>
            <w:tcBorders/>
            <w:shd w:fill="auto" w:val="clear"/>
            <w:vAlign w:val="bottom"/>
          </w:tcPr>
          <w:p>
            <w:pPr>
              <w:pStyle w:val="TableContents"/>
              <w:spacing w:before="0" w:after="283"/>
              <w:rPr/>
            </w:pPr>
            <w:r>
              <w:rPr/>
              <w:t> </w:t>
            </w:r>
          </w:p>
        </w:tc>
        <w:tc>
          <w:tcPr>
            <w:tcW w:w="1013" w:type="dxa"/>
            <w:tcBorders/>
            <w:shd w:fill="auto" w:val="clear"/>
            <w:vAlign w:val="bottom"/>
          </w:tcPr>
          <w:p>
            <w:pPr>
              <w:pStyle w:val="TableContents"/>
              <w:spacing w:before="0" w:after="283"/>
              <w:jc w:val="right"/>
              <w:rPr>
                <w:rFonts w:ascii="times" w:hAnsi="times"/>
                <w:sz w:val="14"/>
              </w:rPr>
            </w:pPr>
            <w:r>
              <w:rPr>
                <w:rFonts w:ascii="times" w:hAnsi="times"/>
                <w:sz w:val="14"/>
              </w:rPr>
              <w:t></w:t>
            </w:r>
          </w:p>
        </w:tc>
        <w:tc>
          <w:tcPr>
            <w:tcW w:w="187" w:type="dxa"/>
            <w:tcBorders/>
            <w:shd w:fill="auto" w:val="clear"/>
            <w:vAlign w:val="bottom"/>
          </w:tcPr>
          <w:p>
            <w:pPr>
              <w:pStyle w:val="TableContents"/>
              <w:spacing w:before="0" w:after="283"/>
              <w:rPr/>
            </w:pPr>
            <w:r>
              <w:rPr/>
              <w:t> </w:t>
            </w:r>
          </w:p>
        </w:tc>
        <w:tc>
          <w:tcPr>
            <w:tcW w:w="99" w:type="dxa"/>
            <w:tcBorders/>
            <w:shd w:fill="auto" w:val="clear"/>
            <w:vAlign w:val="bottom"/>
          </w:tcPr>
          <w:p>
            <w:pPr>
              <w:pStyle w:val="TableContents"/>
              <w:spacing w:before="0" w:after="283"/>
              <w:rPr/>
            </w:pPr>
            <w:r>
              <w:rPr/>
              <w:t> </w:t>
            </w:r>
          </w:p>
        </w:tc>
        <w:tc>
          <w:tcPr>
            <w:tcW w:w="1012" w:type="dxa"/>
            <w:tcBorders/>
            <w:shd w:fill="auto" w:val="clear"/>
            <w:vAlign w:val="bottom"/>
          </w:tcPr>
          <w:p>
            <w:pPr>
              <w:pStyle w:val="TableContents"/>
              <w:spacing w:before="0" w:after="283"/>
              <w:jc w:val="right"/>
              <w:rPr>
                <w:rFonts w:ascii="times" w:hAnsi="times"/>
                <w:sz w:val="14"/>
              </w:rPr>
            </w:pPr>
            <w:r>
              <w:rPr>
                <w:rFonts w:ascii="times" w:hAnsi="times"/>
                <w:sz w:val="14"/>
              </w:rPr>
              <w:t>(14,929</w:t>
            </w:r>
          </w:p>
        </w:tc>
        <w:tc>
          <w:tcPr>
            <w:tcW w:w="187" w:type="dxa"/>
            <w:tcBorders/>
            <w:shd w:fill="auto" w:val="clear"/>
            <w:vAlign w:val="bottom"/>
          </w:tcPr>
          <w:p>
            <w:pPr>
              <w:pStyle w:val="TableContents"/>
              <w:spacing w:before="0" w:after="283"/>
              <w:rPr>
                <w:rFonts w:ascii="times" w:hAnsi="times"/>
                <w:sz w:val="14"/>
              </w:rPr>
            </w:pPr>
            <w:r>
              <w:rPr>
                <w:rFonts w:ascii="times" w:hAnsi="times"/>
                <w:sz w:val="14"/>
              </w:rPr>
              <w:t>)</w:t>
            </w:r>
          </w:p>
        </w:tc>
        <w:tc>
          <w:tcPr>
            <w:tcW w:w="99" w:type="dxa"/>
            <w:tcBorders/>
            <w:shd w:fill="auto" w:val="clear"/>
            <w:vAlign w:val="bottom"/>
          </w:tcPr>
          <w:p>
            <w:pPr>
              <w:pStyle w:val="TableContents"/>
              <w:spacing w:before="0" w:after="283"/>
              <w:rPr/>
            </w:pPr>
            <w:r>
              <w:rPr/>
              <w:t> </w:t>
            </w:r>
          </w:p>
        </w:tc>
        <w:tc>
          <w:tcPr>
            <w:tcW w:w="1013" w:type="dxa"/>
            <w:tcBorders/>
            <w:shd w:fill="auto" w:val="clear"/>
            <w:vAlign w:val="bottom"/>
          </w:tcPr>
          <w:p>
            <w:pPr>
              <w:pStyle w:val="TableContents"/>
              <w:spacing w:before="0" w:after="283"/>
              <w:jc w:val="right"/>
              <w:rPr>
                <w:rFonts w:ascii="times" w:hAnsi="times"/>
                <w:sz w:val="14"/>
              </w:rPr>
            </w:pPr>
            <w:r>
              <w:rPr>
                <w:rFonts w:ascii="times" w:hAnsi="times"/>
                <w:sz w:val="14"/>
              </w:rPr>
              <w:t>(14,929</w:t>
            </w:r>
          </w:p>
        </w:tc>
        <w:tc>
          <w:tcPr>
            <w:tcW w:w="187" w:type="dxa"/>
            <w:tcBorders/>
            <w:shd w:fill="auto" w:val="clear"/>
            <w:vAlign w:val="bottom"/>
          </w:tcPr>
          <w:p>
            <w:pPr>
              <w:pStyle w:val="TableContents"/>
              <w:spacing w:before="0" w:after="283"/>
              <w:rPr>
                <w:rFonts w:ascii="times" w:hAnsi="times"/>
                <w:sz w:val="14"/>
              </w:rPr>
            </w:pPr>
            <w:r>
              <w:rPr>
                <w:rFonts w:ascii="times" w:hAnsi="times"/>
                <w:sz w:val="14"/>
              </w:rPr>
              <w:t xml:space="preserve">) </w:t>
            </w:r>
          </w:p>
        </w:tc>
      </w:tr>
      <w:tr>
        <w:trPr/>
        <w:tc>
          <w:tcPr>
            <w:tcW w:w="2264" w:type="dxa"/>
            <w:tcBorders/>
            <w:shd w:fill="FFFFFF" w:val="clear"/>
            <w:vAlign w:val="bottom"/>
          </w:tcPr>
          <w:p>
            <w:pPr>
              <w:pStyle w:val="TableContents"/>
              <w:spacing w:before="0" w:after="283"/>
              <w:rPr/>
            </w:pPr>
            <w:r>
              <w:rPr/>
              <w:t>​</w:t>
            </w:r>
          </w:p>
        </w:tc>
        <w:tc>
          <w:tcPr>
            <w:tcW w:w="187" w:type="dxa"/>
            <w:tcBorders/>
            <w:shd w:fill="FFFFFF" w:val="clear"/>
            <w:vAlign w:val="bottom"/>
          </w:tcPr>
          <w:p>
            <w:pPr>
              <w:pStyle w:val="TableContents"/>
              <w:spacing w:before="0" w:after="283"/>
              <w:rPr/>
            </w:pPr>
            <w:r>
              <w:rPr/>
              <w:t>​</w:t>
            </w:r>
          </w:p>
        </w:tc>
        <w:tc>
          <w:tcPr>
            <w:tcW w:w="99" w:type="dxa"/>
            <w:tcBorders>
              <w:bottom w:val="single" w:sz="8" w:space="0" w:color="000000"/>
            </w:tcBorders>
            <w:shd w:fill="FFFFFF" w:val="clear"/>
            <w:tcMar>
              <w:bottom w:w="28" w:type="dxa"/>
            </w:tcMar>
            <w:vAlign w:val="bottom"/>
          </w:tcPr>
          <w:p>
            <w:pPr>
              <w:pStyle w:val="TableContents"/>
              <w:spacing w:before="0" w:after="283"/>
              <w:rPr/>
            </w:pPr>
            <w:r>
              <w:rPr/>
              <w:t xml:space="preserve">​ </w:t>
            </w:r>
          </w:p>
        </w:tc>
        <w:tc>
          <w:tcPr>
            <w:tcW w:w="1012" w:type="dxa"/>
            <w:tcBorders>
              <w:bottom w:val="single" w:sz="8" w:space="0" w:color="000000"/>
            </w:tcBorders>
            <w:shd w:fill="FFFFFF" w:val="clear"/>
            <w:tcMar>
              <w:bottom w:w="28" w:type="dxa"/>
            </w:tcMar>
            <w:vAlign w:val="bottom"/>
          </w:tcPr>
          <w:p>
            <w:pPr>
              <w:pStyle w:val="TableContents"/>
              <w:spacing w:before="0" w:after="283"/>
              <w:jc w:val="right"/>
              <w:rPr/>
            </w:pPr>
            <w:r>
              <w:rPr/>
              <w:t xml:space="preserve">​ </w:t>
            </w:r>
          </w:p>
        </w:tc>
        <w:tc>
          <w:tcPr>
            <w:tcW w:w="187" w:type="dxa"/>
            <w:tcBorders/>
            <w:shd w:fill="FFFFFF" w:val="clear"/>
            <w:vAlign w:val="bottom"/>
          </w:tcPr>
          <w:p>
            <w:pPr>
              <w:pStyle w:val="TableContents"/>
              <w:spacing w:before="0" w:after="283"/>
              <w:rPr/>
            </w:pPr>
            <w:r>
              <w:rPr/>
              <w:t>​</w:t>
            </w:r>
          </w:p>
        </w:tc>
        <w:tc>
          <w:tcPr>
            <w:tcW w:w="99" w:type="dxa"/>
            <w:tcBorders>
              <w:bottom w:val="single" w:sz="8" w:space="0" w:color="000000"/>
            </w:tcBorders>
            <w:shd w:fill="FFFFFF" w:val="clear"/>
            <w:tcMar>
              <w:bottom w:w="28" w:type="dxa"/>
            </w:tcMar>
            <w:vAlign w:val="bottom"/>
          </w:tcPr>
          <w:p>
            <w:pPr>
              <w:pStyle w:val="TableContents"/>
              <w:spacing w:before="0" w:after="283"/>
              <w:rPr/>
            </w:pPr>
            <w:r>
              <w:rPr/>
              <w:t xml:space="preserve">​ </w:t>
            </w:r>
          </w:p>
        </w:tc>
        <w:tc>
          <w:tcPr>
            <w:tcW w:w="1013" w:type="dxa"/>
            <w:tcBorders>
              <w:bottom w:val="single" w:sz="8" w:space="0" w:color="000000"/>
            </w:tcBorders>
            <w:shd w:fill="FFFFFF" w:val="clear"/>
            <w:tcMar>
              <w:bottom w:w="28" w:type="dxa"/>
            </w:tcMar>
            <w:vAlign w:val="bottom"/>
          </w:tcPr>
          <w:p>
            <w:pPr>
              <w:pStyle w:val="TableContents"/>
              <w:spacing w:before="0" w:after="283"/>
              <w:jc w:val="right"/>
              <w:rPr/>
            </w:pPr>
            <w:r>
              <w:rPr/>
              <w:t xml:space="preserve">​ </w:t>
            </w:r>
          </w:p>
        </w:tc>
        <w:tc>
          <w:tcPr>
            <w:tcW w:w="187" w:type="dxa"/>
            <w:tcBorders/>
            <w:shd w:fill="FFFFFF" w:val="clear"/>
            <w:vAlign w:val="bottom"/>
          </w:tcPr>
          <w:p>
            <w:pPr>
              <w:pStyle w:val="TableContents"/>
              <w:spacing w:before="0" w:after="283"/>
              <w:rPr/>
            </w:pPr>
            <w:r>
              <w:rPr/>
              <w:t>​</w:t>
            </w:r>
          </w:p>
        </w:tc>
        <w:tc>
          <w:tcPr>
            <w:tcW w:w="98" w:type="dxa"/>
            <w:tcBorders>
              <w:bottom w:val="single" w:sz="8" w:space="0" w:color="000000"/>
            </w:tcBorders>
            <w:shd w:fill="FFFFFF" w:val="clear"/>
            <w:tcMar>
              <w:bottom w:w="28" w:type="dxa"/>
            </w:tcMar>
            <w:vAlign w:val="bottom"/>
          </w:tcPr>
          <w:p>
            <w:pPr>
              <w:pStyle w:val="TableContents"/>
              <w:spacing w:before="0" w:after="283"/>
              <w:rPr/>
            </w:pPr>
            <w:r>
              <w:rPr/>
              <w:t xml:space="preserve">​ </w:t>
            </w:r>
          </w:p>
        </w:tc>
        <w:tc>
          <w:tcPr>
            <w:tcW w:w="1013" w:type="dxa"/>
            <w:tcBorders>
              <w:bottom w:val="single" w:sz="8" w:space="0" w:color="000000"/>
            </w:tcBorders>
            <w:shd w:fill="FFFFFF" w:val="clear"/>
            <w:tcMar>
              <w:bottom w:w="28" w:type="dxa"/>
            </w:tcMar>
            <w:vAlign w:val="bottom"/>
          </w:tcPr>
          <w:p>
            <w:pPr>
              <w:pStyle w:val="TableContents"/>
              <w:spacing w:before="0" w:after="283"/>
              <w:jc w:val="right"/>
              <w:rPr/>
            </w:pPr>
            <w:r>
              <w:rPr/>
              <w:t xml:space="preserve">​ </w:t>
            </w:r>
          </w:p>
        </w:tc>
        <w:tc>
          <w:tcPr>
            <w:tcW w:w="187" w:type="dxa"/>
            <w:tcBorders/>
            <w:shd w:fill="FFFFFF" w:val="clear"/>
            <w:vAlign w:val="bottom"/>
          </w:tcPr>
          <w:p>
            <w:pPr>
              <w:pStyle w:val="TableContents"/>
              <w:spacing w:before="0" w:after="283"/>
              <w:rPr/>
            </w:pPr>
            <w:r>
              <w:rPr/>
              <w:t>​</w:t>
            </w:r>
          </w:p>
        </w:tc>
        <w:tc>
          <w:tcPr>
            <w:tcW w:w="62" w:type="dxa"/>
            <w:tcBorders>
              <w:bottom w:val="single" w:sz="8" w:space="0" w:color="000000"/>
            </w:tcBorders>
            <w:shd w:fill="FFFFFF" w:val="clear"/>
            <w:tcMar>
              <w:bottom w:w="28" w:type="dxa"/>
            </w:tcMar>
            <w:vAlign w:val="bottom"/>
          </w:tcPr>
          <w:p>
            <w:pPr>
              <w:pStyle w:val="TableContents"/>
              <w:spacing w:before="0" w:after="283"/>
              <w:rPr/>
            </w:pPr>
            <w:r>
              <w:rPr/>
              <w:t xml:space="preserve">​ </w:t>
            </w:r>
          </w:p>
        </w:tc>
        <w:tc>
          <w:tcPr>
            <w:tcW w:w="1013" w:type="dxa"/>
            <w:tcBorders>
              <w:bottom w:val="single" w:sz="8" w:space="0" w:color="000000"/>
            </w:tcBorders>
            <w:shd w:fill="FFFFFF" w:val="clear"/>
            <w:tcMar>
              <w:bottom w:w="28" w:type="dxa"/>
            </w:tcMar>
            <w:vAlign w:val="bottom"/>
          </w:tcPr>
          <w:p>
            <w:pPr>
              <w:pStyle w:val="TableContents"/>
              <w:spacing w:before="0" w:after="283"/>
              <w:jc w:val="right"/>
              <w:rPr/>
            </w:pPr>
            <w:r>
              <w:rPr/>
              <w:t xml:space="preserve">​ </w:t>
            </w:r>
          </w:p>
        </w:tc>
        <w:tc>
          <w:tcPr>
            <w:tcW w:w="187" w:type="dxa"/>
            <w:tcBorders/>
            <w:shd w:fill="FFFFFF" w:val="clear"/>
            <w:vAlign w:val="bottom"/>
          </w:tcPr>
          <w:p>
            <w:pPr>
              <w:pStyle w:val="TableContents"/>
              <w:spacing w:before="0" w:after="283"/>
              <w:rPr/>
            </w:pPr>
            <w:r>
              <w:rPr/>
              <w:t>​</w:t>
            </w:r>
          </w:p>
        </w:tc>
        <w:tc>
          <w:tcPr>
            <w:tcW w:w="99" w:type="dxa"/>
            <w:tcBorders>
              <w:bottom w:val="single" w:sz="8" w:space="0" w:color="000000"/>
            </w:tcBorders>
            <w:shd w:fill="FFFFFF" w:val="clear"/>
            <w:tcMar>
              <w:bottom w:w="28" w:type="dxa"/>
            </w:tcMar>
            <w:vAlign w:val="bottom"/>
          </w:tcPr>
          <w:p>
            <w:pPr>
              <w:pStyle w:val="TableContents"/>
              <w:spacing w:before="0" w:after="283"/>
              <w:rPr/>
            </w:pPr>
            <w:r>
              <w:rPr/>
              <w:t xml:space="preserve">​ </w:t>
            </w:r>
          </w:p>
        </w:tc>
        <w:tc>
          <w:tcPr>
            <w:tcW w:w="1012" w:type="dxa"/>
            <w:tcBorders>
              <w:bottom w:val="single" w:sz="8" w:space="0" w:color="000000"/>
            </w:tcBorders>
            <w:shd w:fill="FFFFFF" w:val="clear"/>
            <w:tcMar>
              <w:bottom w:w="28" w:type="dxa"/>
            </w:tcMar>
            <w:vAlign w:val="bottom"/>
          </w:tcPr>
          <w:p>
            <w:pPr>
              <w:pStyle w:val="TableContents"/>
              <w:spacing w:before="0" w:after="283"/>
              <w:jc w:val="right"/>
              <w:rPr/>
            </w:pPr>
            <w:r>
              <w:rPr/>
              <w:t xml:space="preserve">​ </w:t>
            </w:r>
          </w:p>
        </w:tc>
        <w:tc>
          <w:tcPr>
            <w:tcW w:w="187" w:type="dxa"/>
            <w:tcBorders/>
            <w:shd w:fill="FFFFFF" w:val="clear"/>
            <w:vAlign w:val="bottom"/>
          </w:tcPr>
          <w:p>
            <w:pPr>
              <w:pStyle w:val="TableContents"/>
              <w:spacing w:before="0" w:after="283"/>
              <w:rPr/>
            </w:pPr>
            <w:r>
              <w:rPr/>
              <w:t>​</w:t>
            </w:r>
          </w:p>
        </w:tc>
        <w:tc>
          <w:tcPr>
            <w:tcW w:w="99" w:type="dxa"/>
            <w:tcBorders>
              <w:bottom w:val="single" w:sz="8" w:space="0" w:color="000000"/>
            </w:tcBorders>
            <w:shd w:fill="FFFFFF" w:val="clear"/>
            <w:tcMar>
              <w:bottom w:w="28" w:type="dxa"/>
            </w:tcMar>
            <w:vAlign w:val="bottom"/>
          </w:tcPr>
          <w:p>
            <w:pPr>
              <w:pStyle w:val="TableContents"/>
              <w:spacing w:before="0" w:after="283"/>
              <w:rPr/>
            </w:pPr>
            <w:r>
              <w:rPr/>
              <w:t xml:space="preserve">​ </w:t>
            </w:r>
          </w:p>
        </w:tc>
        <w:tc>
          <w:tcPr>
            <w:tcW w:w="1013" w:type="dxa"/>
            <w:tcBorders>
              <w:bottom w:val="single" w:sz="8" w:space="0" w:color="000000"/>
            </w:tcBorders>
            <w:shd w:fill="FFFFFF" w:val="clear"/>
            <w:tcMar>
              <w:bottom w:w="28" w:type="dxa"/>
            </w:tcMar>
            <w:vAlign w:val="bottom"/>
          </w:tcPr>
          <w:p>
            <w:pPr>
              <w:pStyle w:val="TableContents"/>
              <w:spacing w:before="0" w:after="283"/>
              <w:jc w:val="right"/>
              <w:rPr/>
            </w:pPr>
            <w:r>
              <w:rPr/>
              <w:t xml:space="preserve">​ </w:t>
            </w:r>
          </w:p>
        </w:tc>
        <w:tc>
          <w:tcPr>
            <w:tcW w:w="187" w:type="dxa"/>
            <w:tcBorders/>
            <w:shd w:fill="FFFFFF" w:val="clear"/>
            <w:vAlign w:val="bottom"/>
          </w:tcPr>
          <w:p>
            <w:pPr>
              <w:pStyle w:val="TableContents"/>
              <w:spacing w:before="0" w:after="283"/>
              <w:rPr/>
            </w:pPr>
            <w:r>
              <w:rPr/>
              <w:t>​</w:t>
            </w:r>
          </w:p>
        </w:tc>
      </w:tr>
      <w:tr>
        <w:trPr/>
        <w:tc>
          <w:tcPr>
            <w:tcW w:w="2264" w:type="dxa"/>
            <w:tcBorders/>
            <w:shd w:fill="auto" w:val="clear"/>
            <w:vAlign w:val="bottom"/>
          </w:tcPr>
          <w:p>
            <w:pPr>
              <w:pStyle w:val="TableContents"/>
              <w:spacing w:before="0" w:after="283"/>
              <w:ind w:left="140" w:right="0" w:hanging="140"/>
              <w:rPr>
                <w:rFonts w:ascii="times" w:hAnsi="times"/>
                <w:b/>
                <w:sz w:val="14"/>
              </w:rPr>
            </w:pPr>
            <w:r>
              <w:rPr>
                <w:rFonts w:ascii="times" w:hAnsi="times"/>
                <w:b/>
                <w:sz w:val="14"/>
              </w:rPr>
              <w:t>Total other expenses</w:t>
            </w:r>
          </w:p>
        </w:tc>
        <w:tc>
          <w:tcPr>
            <w:tcW w:w="187" w:type="dxa"/>
            <w:tcBorders/>
            <w:shd w:fill="auto" w:val="clear"/>
            <w:vAlign w:val="bottom"/>
          </w:tcPr>
          <w:p>
            <w:pPr>
              <w:pStyle w:val="TableContents"/>
              <w:spacing w:before="0" w:after="283"/>
              <w:rPr/>
            </w:pPr>
            <w:r>
              <w:rPr/>
              <w:t> </w:t>
            </w:r>
          </w:p>
        </w:tc>
        <w:tc>
          <w:tcPr>
            <w:tcW w:w="99" w:type="dxa"/>
            <w:tcBorders/>
            <w:shd w:fill="auto" w:val="clear"/>
            <w:vAlign w:val="bottom"/>
          </w:tcPr>
          <w:p>
            <w:pPr>
              <w:pStyle w:val="TableContents"/>
              <w:spacing w:before="0" w:after="283"/>
              <w:rPr/>
            </w:pPr>
            <w:r>
              <w:rPr/>
              <w:t> </w:t>
            </w:r>
          </w:p>
        </w:tc>
        <w:tc>
          <w:tcPr>
            <w:tcW w:w="1012" w:type="dxa"/>
            <w:tcBorders/>
            <w:shd w:fill="auto" w:val="clear"/>
            <w:vAlign w:val="bottom"/>
          </w:tcPr>
          <w:p>
            <w:pPr>
              <w:pStyle w:val="TableContents"/>
              <w:spacing w:before="0" w:after="283"/>
              <w:jc w:val="right"/>
              <w:rPr>
                <w:rFonts w:ascii="times" w:hAnsi="times"/>
                <w:b/>
                <w:sz w:val="14"/>
              </w:rPr>
            </w:pPr>
            <w:r>
              <w:rPr>
                <w:rFonts w:ascii="times" w:hAnsi="times"/>
                <w:b/>
                <w:sz w:val="14"/>
              </w:rPr>
              <w:t>(1,716</w:t>
            </w:r>
          </w:p>
        </w:tc>
        <w:tc>
          <w:tcPr>
            <w:tcW w:w="187" w:type="dxa"/>
            <w:tcBorders/>
            <w:shd w:fill="auto" w:val="clear"/>
            <w:vAlign w:val="bottom"/>
          </w:tcPr>
          <w:p>
            <w:pPr>
              <w:pStyle w:val="TableContents"/>
              <w:spacing w:before="0" w:after="283"/>
              <w:rPr>
                <w:rFonts w:ascii="times" w:hAnsi="times"/>
                <w:b/>
                <w:sz w:val="14"/>
              </w:rPr>
            </w:pPr>
            <w:r>
              <w:rPr>
                <w:rFonts w:ascii="times" w:hAnsi="times"/>
                <w:b/>
                <w:sz w:val="14"/>
              </w:rPr>
              <w:t>)</w:t>
            </w:r>
          </w:p>
        </w:tc>
        <w:tc>
          <w:tcPr>
            <w:tcW w:w="99" w:type="dxa"/>
            <w:tcBorders/>
            <w:shd w:fill="auto" w:val="clear"/>
            <w:vAlign w:val="bottom"/>
          </w:tcPr>
          <w:p>
            <w:pPr>
              <w:pStyle w:val="TableContents"/>
              <w:spacing w:before="0" w:after="283"/>
              <w:rPr/>
            </w:pPr>
            <w:r>
              <w:rPr/>
              <w:t> </w:t>
            </w:r>
          </w:p>
        </w:tc>
        <w:tc>
          <w:tcPr>
            <w:tcW w:w="1013" w:type="dxa"/>
            <w:tcBorders/>
            <w:shd w:fill="auto" w:val="clear"/>
            <w:vAlign w:val="bottom"/>
          </w:tcPr>
          <w:p>
            <w:pPr>
              <w:pStyle w:val="TableContents"/>
              <w:spacing w:before="0" w:after="283"/>
              <w:jc w:val="right"/>
              <w:rPr>
                <w:rFonts w:ascii="times" w:hAnsi="times"/>
                <w:b/>
                <w:sz w:val="14"/>
              </w:rPr>
            </w:pPr>
            <w:r>
              <w:rPr>
                <w:rFonts w:ascii="times" w:hAnsi="times"/>
                <w:b/>
                <w:sz w:val="14"/>
              </w:rPr>
              <w:t>(81,190</w:t>
            </w:r>
          </w:p>
        </w:tc>
        <w:tc>
          <w:tcPr>
            <w:tcW w:w="187" w:type="dxa"/>
            <w:tcBorders/>
            <w:shd w:fill="auto" w:val="clear"/>
            <w:vAlign w:val="bottom"/>
          </w:tcPr>
          <w:p>
            <w:pPr>
              <w:pStyle w:val="TableContents"/>
              <w:spacing w:before="0" w:after="283"/>
              <w:rPr>
                <w:rFonts w:ascii="times" w:hAnsi="times"/>
                <w:b/>
                <w:sz w:val="14"/>
              </w:rPr>
            </w:pPr>
            <w:r>
              <w:rPr>
                <w:rFonts w:ascii="times" w:hAnsi="times"/>
                <w:b/>
                <w:sz w:val="14"/>
              </w:rPr>
              <w:t>)</w:t>
            </w:r>
          </w:p>
        </w:tc>
        <w:tc>
          <w:tcPr>
            <w:tcW w:w="98" w:type="dxa"/>
            <w:tcBorders/>
            <w:shd w:fill="auto" w:val="clear"/>
            <w:vAlign w:val="bottom"/>
          </w:tcPr>
          <w:p>
            <w:pPr>
              <w:pStyle w:val="TableContents"/>
              <w:spacing w:before="0" w:after="283"/>
              <w:rPr/>
            </w:pPr>
            <w:r>
              <w:rPr/>
              <w:t> </w:t>
            </w:r>
          </w:p>
        </w:tc>
        <w:tc>
          <w:tcPr>
            <w:tcW w:w="1013" w:type="dxa"/>
            <w:tcBorders/>
            <w:shd w:fill="auto" w:val="clear"/>
            <w:vAlign w:val="bottom"/>
          </w:tcPr>
          <w:p>
            <w:pPr>
              <w:pStyle w:val="TableContents"/>
              <w:spacing w:before="0" w:after="283"/>
              <w:jc w:val="right"/>
              <w:rPr>
                <w:rFonts w:ascii="times" w:hAnsi="times"/>
                <w:b/>
                <w:sz w:val="14"/>
              </w:rPr>
            </w:pPr>
            <w:r>
              <w:rPr>
                <w:rFonts w:ascii="times" w:hAnsi="times"/>
                <w:b/>
                <w:sz w:val="14"/>
              </w:rPr>
              <w:t>(82,906</w:t>
            </w:r>
          </w:p>
        </w:tc>
        <w:tc>
          <w:tcPr>
            <w:tcW w:w="187" w:type="dxa"/>
            <w:tcBorders/>
            <w:shd w:fill="auto" w:val="clear"/>
            <w:vAlign w:val="bottom"/>
          </w:tcPr>
          <w:p>
            <w:pPr>
              <w:pStyle w:val="TableContents"/>
              <w:spacing w:before="0" w:after="283"/>
              <w:rPr>
                <w:rFonts w:ascii="times" w:hAnsi="times"/>
                <w:b/>
                <w:sz w:val="14"/>
              </w:rPr>
            </w:pPr>
            <w:r>
              <w:rPr>
                <w:rFonts w:ascii="times" w:hAnsi="times"/>
                <w:b/>
                <w:sz w:val="14"/>
              </w:rPr>
              <w:t>)</w:t>
            </w:r>
          </w:p>
        </w:tc>
        <w:tc>
          <w:tcPr>
            <w:tcW w:w="62" w:type="dxa"/>
            <w:tcBorders/>
            <w:shd w:fill="auto" w:val="clear"/>
            <w:vAlign w:val="bottom"/>
          </w:tcPr>
          <w:p>
            <w:pPr>
              <w:pStyle w:val="TableContents"/>
              <w:spacing w:before="0" w:after="283"/>
              <w:rPr/>
            </w:pPr>
            <w:r>
              <w:rPr/>
              <w:t> </w:t>
            </w:r>
          </w:p>
        </w:tc>
        <w:tc>
          <w:tcPr>
            <w:tcW w:w="1013" w:type="dxa"/>
            <w:tcBorders/>
            <w:shd w:fill="auto" w:val="clear"/>
            <w:vAlign w:val="bottom"/>
          </w:tcPr>
          <w:p>
            <w:pPr>
              <w:pStyle w:val="TableContents"/>
              <w:spacing w:before="0" w:after="283"/>
              <w:jc w:val="right"/>
              <w:rPr>
                <w:rFonts w:ascii="times" w:hAnsi="times"/>
                <w:b/>
                <w:sz w:val="14"/>
              </w:rPr>
            </w:pPr>
            <w:r>
              <w:rPr>
                <w:rFonts w:ascii="times" w:hAnsi="times"/>
                <w:b/>
                <w:sz w:val="14"/>
              </w:rPr>
              <w:t></w:t>
            </w:r>
          </w:p>
        </w:tc>
        <w:tc>
          <w:tcPr>
            <w:tcW w:w="187" w:type="dxa"/>
            <w:tcBorders/>
            <w:shd w:fill="auto" w:val="clear"/>
            <w:vAlign w:val="bottom"/>
          </w:tcPr>
          <w:p>
            <w:pPr>
              <w:pStyle w:val="TableContents"/>
              <w:spacing w:before="0" w:after="283"/>
              <w:rPr/>
            </w:pPr>
            <w:r>
              <w:rPr/>
              <w:t> </w:t>
            </w:r>
          </w:p>
        </w:tc>
        <w:tc>
          <w:tcPr>
            <w:tcW w:w="99" w:type="dxa"/>
            <w:tcBorders/>
            <w:shd w:fill="auto" w:val="clear"/>
            <w:vAlign w:val="bottom"/>
          </w:tcPr>
          <w:p>
            <w:pPr>
              <w:pStyle w:val="TableContents"/>
              <w:spacing w:before="0" w:after="283"/>
              <w:rPr/>
            </w:pPr>
            <w:r>
              <w:rPr/>
              <w:t> </w:t>
            </w:r>
          </w:p>
        </w:tc>
        <w:tc>
          <w:tcPr>
            <w:tcW w:w="1012" w:type="dxa"/>
            <w:tcBorders/>
            <w:shd w:fill="auto" w:val="clear"/>
            <w:vAlign w:val="bottom"/>
          </w:tcPr>
          <w:p>
            <w:pPr>
              <w:pStyle w:val="TableContents"/>
              <w:spacing w:before="0" w:after="283"/>
              <w:jc w:val="right"/>
              <w:rPr>
                <w:rFonts w:ascii="times" w:hAnsi="times"/>
                <w:b/>
                <w:sz w:val="14"/>
              </w:rPr>
            </w:pPr>
            <w:r>
              <w:rPr>
                <w:rFonts w:ascii="times" w:hAnsi="times"/>
                <w:b/>
                <w:sz w:val="14"/>
              </w:rPr>
              <w:t>(65,621</w:t>
            </w:r>
          </w:p>
        </w:tc>
        <w:tc>
          <w:tcPr>
            <w:tcW w:w="187" w:type="dxa"/>
            <w:tcBorders/>
            <w:shd w:fill="auto" w:val="clear"/>
            <w:vAlign w:val="bottom"/>
          </w:tcPr>
          <w:p>
            <w:pPr>
              <w:pStyle w:val="TableContents"/>
              <w:spacing w:before="0" w:after="283"/>
              <w:rPr>
                <w:rFonts w:ascii="times" w:hAnsi="times"/>
                <w:b/>
                <w:sz w:val="14"/>
              </w:rPr>
            </w:pPr>
            <w:r>
              <w:rPr>
                <w:rFonts w:ascii="times" w:hAnsi="times"/>
                <w:b/>
                <w:sz w:val="14"/>
              </w:rPr>
              <w:t>)</w:t>
            </w:r>
          </w:p>
        </w:tc>
        <w:tc>
          <w:tcPr>
            <w:tcW w:w="99" w:type="dxa"/>
            <w:tcBorders/>
            <w:shd w:fill="auto" w:val="clear"/>
            <w:vAlign w:val="bottom"/>
          </w:tcPr>
          <w:p>
            <w:pPr>
              <w:pStyle w:val="TableContents"/>
              <w:spacing w:before="0" w:after="283"/>
              <w:rPr/>
            </w:pPr>
            <w:r>
              <w:rPr/>
              <w:t> </w:t>
            </w:r>
          </w:p>
        </w:tc>
        <w:tc>
          <w:tcPr>
            <w:tcW w:w="1013" w:type="dxa"/>
            <w:tcBorders/>
            <w:shd w:fill="auto" w:val="clear"/>
            <w:vAlign w:val="bottom"/>
          </w:tcPr>
          <w:p>
            <w:pPr>
              <w:pStyle w:val="TableContents"/>
              <w:spacing w:before="0" w:after="283"/>
              <w:jc w:val="right"/>
              <w:rPr>
                <w:rFonts w:ascii="times" w:hAnsi="times"/>
                <w:b/>
                <w:sz w:val="14"/>
              </w:rPr>
            </w:pPr>
            <w:r>
              <w:rPr>
                <w:rFonts w:ascii="times" w:hAnsi="times"/>
                <w:b/>
                <w:sz w:val="14"/>
              </w:rPr>
              <w:t>(65,621</w:t>
            </w:r>
          </w:p>
        </w:tc>
        <w:tc>
          <w:tcPr>
            <w:tcW w:w="187" w:type="dxa"/>
            <w:tcBorders/>
            <w:shd w:fill="auto" w:val="clear"/>
            <w:vAlign w:val="bottom"/>
          </w:tcPr>
          <w:p>
            <w:pPr>
              <w:pStyle w:val="TableContents"/>
              <w:spacing w:before="0" w:after="283"/>
              <w:rPr>
                <w:rFonts w:ascii="times" w:hAnsi="times"/>
                <w:b/>
                <w:sz w:val="14"/>
              </w:rPr>
            </w:pPr>
            <w:r>
              <w:rPr>
                <w:rFonts w:ascii="times" w:hAnsi="times"/>
                <w:b/>
                <w:sz w:val="14"/>
              </w:rPr>
              <w:t>)</w:t>
            </w:r>
          </w:p>
        </w:tc>
      </w:tr>
      <w:tr>
        <w:trPr/>
        <w:tc>
          <w:tcPr>
            <w:tcW w:w="2264" w:type="dxa"/>
            <w:tcBorders/>
            <w:shd w:fill="FFFFFF" w:val="clear"/>
            <w:vAlign w:val="bottom"/>
          </w:tcPr>
          <w:p>
            <w:pPr>
              <w:pStyle w:val="TableContents"/>
              <w:spacing w:before="0" w:after="283"/>
              <w:rPr/>
            </w:pPr>
            <w:r>
              <w:rPr/>
              <w:t>​</w:t>
            </w:r>
          </w:p>
        </w:tc>
        <w:tc>
          <w:tcPr>
            <w:tcW w:w="187" w:type="dxa"/>
            <w:tcBorders/>
            <w:shd w:fill="FFFFFF" w:val="clear"/>
            <w:vAlign w:val="bottom"/>
          </w:tcPr>
          <w:p>
            <w:pPr>
              <w:pStyle w:val="TableContents"/>
              <w:spacing w:before="0" w:after="283"/>
              <w:rPr/>
            </w:pPr>
            <w:r>
              <w:rPr/>
              <w:t>​</w:t>
            </w:r>
          </w:p>
        </w:tc>
        <w:tc>
          <w:tcPr>
            <w:tcW w:w="99" w:type="dxa"/>
            <w:tcBorders>
              <w:bottom w:val="single" w:sz="8" w:space="0" w:color="000000"/>
            </w:tcBorders>
            <w:shd w:fill="FFFFFF" w:val="clear"/>
            <w:tcMar>
              <w:bottom w:w="28" w:type="dxa"/>
            </w:tcMar>
            <w:vAlign w:val="bottom"/>
          </w:tcPr>
          <w:p>
            <w:pPr>
              <w:pStyle w:val="TableContents"/>
              <w:spacing w:before="0" w:after="283"/>
              <w:rPr/>
            </w:pPr>
            <w:r>
              <w:rPr/>
              <w:t xml:space="preserve">​ </w:t>
            </w:r>
          </w:p>
        </w:tc>
        <w:tc>
          <w:tcPr>
            <w:tcW w:w="1012" w:type="dxa"/>
            <w:tcBorders>
              <w:bottom w:val="single" w:sz="8" w:space="0" w:color="000000"/>
            </w:tcBorders>
            <w:shd w:fill="FFFFFF" w:val="clear"/>
            <w:tcMar>
              <w:bottom w:w="28" w:type="dxa"/>
            </w:tcMar>
            <w:vAlign w:val="bottom"/>
          </w:tcPr>
          <w:p>
            <w:pPr>
              <w:pStyle w:val="TableContents"/>
              <w:spacing w:before="0" w:after="283"/>
              <w:jc w:val="right"/>
              <w:rPr/>
            </w:pPr>
            <w:r>
              <w:rPr/>
              <w:t xml:space="preserve">​ </w:t>
            </w:r>
          </w:p>
        </w:tc>
        <w:tc>
          <w:tcPr>
            <w:tcW w:w="187" w:type="dxa"/>
            <w:tcBorders/>
            <w:shd w:fill="FFFFFF" w:val="clear"/>
            <w:vAlign w:val="bottom"/>
          </w:tcPr>
          <w:p>
            <w:pPr>
              <w:pStyle w:val="TableContents"/>
              <w:spacing w:before="0" w:after="283"/>
              <w:rPr/>
            </w:pPr>
            <w:r>
              <w:rPr/>
              <w:t>​</w:t>
            </w:r>
          </w:p>
        </w:tc>
        <w:tc>
          <w:tcPr>
            <w:tcW w:w="99" w:type="dxa"/>
            <w:tcBorders>
              <w:bottom w:val="single" w:sz="8" w:space="0" w:color="000000"/>
            </w:tcBorders>
            <w:shd w:fill="FFFFFF" w:val="clear"/>
            <w:tcMar>
              <w:bottom w:w="28" w:type="dxa"/>
            </w:tcMar>
            <w:vAlign w:val="bottom"/>
          </w:tcPr>
          <w:p>
            <w:pPr>
              <w:pStyle w:val="TableContents"/>
              <w:spacing w:before="0" w:after="283"/>
              <w:rPr/>
            </w:pPr>
            <w:r>
              <w:rPr/>
              <w:t xml:space="preserve">​ </w:t>
            </w:r>
          </w:p>
        </w:tc>
        <w:tc>
          <w:tcPr>
            <w:tcW w:w="1013" w:type="dxa"/>
            <w:tcBorders>
              <w:bottom w:val="single" w:sz="8" w:space="0" w:color="000000"/>
            </w:tcBorders>
            <w:shd w:fill="FFFFFF" w:val="clear"/>
            <w:tcMar>
              <w:bottom w:w="28" w:type="dxa"/>
            </w:tcMar>
            <w:vAlign w:val="bottom"/>
          </w:tcPr>
          <w:p>
            <w:pPr>
              <w:pStyle w:val="TableContents"/>
              <w:spacing w:before="0" w:after="283"/>
              <w:jc w:val="right"/>
              <w:rPr/>
            </w:pPr>
            <w:r>
              <w:rPr/>
              <w:t xml:space="preserve">​ </w:t>
            </w:r>
          </w:p>
        </w:tc>
        <w:tc>
          <w:tcPr>
            <w:tcW w:w="187" w:type="dxa"/>
            <w:tcBorders/>
            <w:shd w:fill="FFFFFF" w:val="clear"/>
            <w:vAlign w:val="bottom"/>
          </w:tcPr>
          <w:p>
            <w:pPr>
              <w:pStyle w:val="TableContents"/>
              <w:spacing w:before="0" w:after="283"/>
              <w:rPr/>
            </w:pPr>
            <w:r>
              <w:rPr/>
              <w:t>​</w:t>
            </w:r>
          </w:p>
        </w:tc>
        <w:tc>
          <w:tcPr>
            <w:tcW w:w="98" w:type="dxa"/>
            <w:tcBorders>
              <w:bottom w:val="single" w:sz="8" w:space="0" w:color="000000"/>
            </w:tcBorders>
            <w:shd w:fill="FFFFFF" w:val="clear"/>
            <w:tcMar>
              <w:bottom w:w="28" w:type="dxa"/>
            </w:tcMar>
            <w:vAlign w:val="bottom"/>
          </w:tcPr>
          <w:p>
            <w:pPr>
              <w:pStyle w:val="TableContents"/>
              <w:spacing w:before="0" w:after="283"/>
              <w:rPr/>
            </w:pPr>
            <w:r>
              <w:rPr/>
              <w:t xml:space="preserve">​ </w:t>
            </w:r>
          </w:p>
        </w:tc>
        <w:tc>
          <w:tcPr>
            <w:tcW w:w="1013" w:type="dxa"/>
            <w:tcBorders>
              <w:bottom w:val="single" w:sz="8" w:space="0" w:color="000000"/>
            </w:tcBorders>
            <w:shd w:fill="FFFFFF" w:val="clear"/>
            <w:tcMar>
              <w:bottom w:w="28" w:type="dxa"/>
            </w:tcMar>
            <w:vAlign w:val="bottom"/>
          </w:tcPr>
          <w:p>
            <w:pPr>
              <w:pStyle w:val="TableContents"/>
              <w:spacing w:before="0" w:after="283"/>
              <w:jc w:val="right"/>
              <w:rPr/>
            </w:pPr>
            <w:r>
              <w:rPr/>
              <w:t xml:space="preserve">​ </w:t>
            </w:r>
          </w:p>
        </w:tc>
        <w:tc>
          <w:tcPr>
            <w:tcW w:w="187" w:type="dxa"/>
            <w:tcBorders/>
            <w:shd w:fill="FFFFFF" w:val="clear"/>
            <w:vAlign w:val="bottom"/>
          </w:tcPr>
          <w:p>
            <w:pPr>
              <w:pStyle w:val="TableContents"/>
              <w:spacing w:before="0" w:after="283"/>
              <w:rPr/>
            </w:pPr>
            <w:r>
              <w:rPr/>
              <w:t>​</w:t>
            </w:r>
          </w:p>
        </w:tc>
        <w:tc>
          <w:tcPr>
            <w:tcW w:w="62" w:type="dxa"/>
            <w:tcBorders>
              <w:bottom w:val="single" w:sz="8" w:space="0" w:color="000000"/>
            </w:tcBorders>
            <w:shd w:fill="FFFFFF" w:val="clear"/>
            <w:tcMar>
              <w:bottom w:w="28" w:type="dxa"/>
            </w:tcMar>
            <w:vAlign w:val="bottom"/>
          </w:tcPr>
          <w:p>
            <w:pPr>
              <w:pStyle w:val="TableContents"/>
              <w:spacing w:before="0" w:after="283"/>
              <w:rPr/>
            </w:pPr>
            <w:r>
              <w:rPr/>
              <w:t xml:space="preserve">​ </w:t>
            </w:r>
          </w:p>
        </w:tc>
        <w:tc>
          <w:tcPr>
            <w:tcW w:w="1013" w:type="dxa"/>
            <w:tcBorders>
              <w:bottom w:val="single" w:sz="8" w:space="0" w:color="000000"/>
            </w:tcBorders>
            <w:shd w:fill="FFFFFF" w:val="clear"/>
            <w:tcMar>
              <w:bottom w:w="28" w:type="dxa"/>
            </w:tcMar>
            <w:vAlign w:val="bottom"/>
          </w:tcPr>
          <w:p>
            <w:pPr>
              <w:pStyle w:val="TableContents"/>
              <w:spacing w:before="0" w:after="283"/>
              <w:jc w:val="right"/>
              <w:rPr/>
            </w:pPr>
            <w:r>
              <w:rPr/>
              <w:t xml:space="preserve">​ </w:t>
            </w:r>
          </w:p>
        </w:tc>
        <w:tc>
          <w:tcPr>
            <w:tcW w:w="187" w:type="dxa"/>
            <w:tcBorders/>
            <w:shd w:fill="FFFFFF" w:val="clear"/>
            <w:vAlign w:val="bottom"/>
          </w:tcPr>
          <w:p>
            <w:pPr>
              <w:pStyle w:val="TableContents"/>
              <w:spacing w:before="0" w:after="283"/>
              <w:rPr/>
            </w:pPr>
            <w:r>
              <w:rPr/>
              <w:t>​</w:t>
            </w:r>
          </w:p>
        </w:tc>
        <w:tc>
          <w:tcPr>
            <w:tcW w:w="99" w:type="dxa"/>
            <w:tcBorders>
              <w:bottom w:val="single" w:sz="8" w:space="0" w:color="000000"/>
            </w:tcBorders>
            <w:shd w:fill="FFFFFF" w:val="clear"/>
            <w:tcMar>
              <w:bottom w:w="28" w:type="dxa"/>
            </w:tcMar>
            <w:vAlign w:val="bottom"/>
          </w:tcPr>
          <w:p>
            <w:pPr>
              <w:pStyle w:val="TableContents"/>
              <w:spacing w:before="0" w:after="283"/>
              <w:rPr/>
            </w:pPr>
            <w:r>
              <w:rPr/>
              <w:t xml:space="preserve">​ </w:t>
            </w:r>
          </w:p>
        </w:tc>
        <w:tc>
          <w:tcPr>
            <w:tcW w:w="1012" w:type="dxa"/>
            <w:tcBorders>
              <w:bottom w:val="single" w:sz="8" w:space="0" w:color="000000"/>
            </w:tcBorders>
            <w:shd w:fill="FFFFFF" w:val="clear"/>
            <w:tcMar>
              <w:bottom w:w="28" w:type="dxa"/>
            </w:tcMar>
            <w:vAlign w:val="bottom"/>
          </w:tcPr>
          <w:p>
            <w:pPr>
              <w:pStyle w:val="TableContents"/>
              <w:spacing w:before="0" w:after="283"/>
              <w:jc w:val="right"/>
              <w:rPr/>
            </w:pPr>
            <w:r>
              <w:rPr/>
              <w:t xml:space="preserve">​ </w:t>
            </w:r>
          </w:p>
        </w:tc>
        <w:tc>
          <w:tcPr>
            <w:tcW w:w="187" w:type="dxa"/>
            <w:tcBorders/>
            <w:shd w:fill="FFFFFF" w:val="clear"/>
            <w:vAlign w:val="bottom"/>
          </w:tcPr>
          <w:p>
            <w:pPr>
              <w:pStyle w:val="TableContents"/>
              <w:spacing w:before="0" w:after="283"/>
              <w:rPr/>
            </w:pPr>
            <w:r>
              <w:rPr/>
              <w:t>​</w:t>
            </w:r>
          </w:p>
        </w:tc>
        <w:tc>
          <w:tcPr>
            <w:tcW w:w="99" w:type="dxa"/>
            <w:tcBorders>
              <w:bottom w:val="single" w:sz="8" w:space="0" w:color="000000"/>
            </w:tcBorders>
            <w:shd w:fill="FFFFFF" w:val="clear"/>
            <w:tcMar>
              <w:bottom w:w="28" w:type="dxa"/>
            </w:tcMar>
            <w:vAlign w:val="bottom"/>
          </w:tcPr>
          <w:p>
            <w:pPr>
              <w:pStyle w:val="TableContents"/>
              <w:spacing w:before="0" w:after="283"/>
              <w:rPr/>
            </w:pPr>
            <w:r>
              <w:rPr/>
              <w:t xml:space="preserve">​ </w:t>
            </w:r>
          </w:p>
        </w:tc>
        <w:tc>
          <w:tcPr>
            <w:tcW w:w="1013" w:type="dxa"/>
            <w:tcBorders>
              <w:bottom w:val="single" w:sz="8" w:space="0" w:color="000000"/>
            </w:tcBorders>
            <w:shd w:fill="FFFFFF" w:val="clear"/>
            <w:tcMar>
              <w:bottom w:w="28" w:type="dxa"/>
            </w:tcMar>
            <w:vAlign w:val="bottom"/>
          </w:tcPr>
          <w:p>
            <w:pPr>
              <w:pStyle w:val="TableContents"/>
              <w:spacing w:before="0" w:after="283"/>
              <w:jc w:val="right"/>
              <w:rPr/>
            </w:pPr>
            <w:r>
              <w:rPr/>
              <w:t xml:space="preserve">​ </w:t>
            </w:r>
          </w:p>
        </w:tc>
        <w:tc>
          <w:tcPr>
            <w:tcW w:w="187" w:type="dxa"/>
            <w:tcBorders/>
            <w:shd w:fill="FFFFFF" w:val="clear"/>
            <w:vAlign w:val="bottom"/>
          </w:tcPr>
          <w:p>
            <w:pPr>
              <w:pStyle w:val="TableContents"/>
              <w:spacing w:before="0" w:after="283"/>
              <w:rPr/>
            </w:pPr>
            <w:r>
              <w:rPr/>
              <w:t>​</w:t>
            </w:r>
          </w:p>
        </w:tc>
      </w:tr>
      <w:tr>
        <w:trPr/>
        <w:tc>
          <w:tcPr>
            <w:tcW w:w="2264" w:type="dxa"/>
            <w:tcBorders/>
            <w:shd w:fill="auto" w:val="clear"/>
            <w:vAlign w:val="bottom"/>
          </w:tcPr>
          <w:p>
            <w:pPr>
              <w:pStyle w:val="TableContents"/>
              <w:spacing w:before="0" w:after="283"/>
              <w:ind w:left="140" w:right="0" w:hanging="140"/>
              <w:rPr>
                <w:rFonts w:ascii="times" w:hAnsi="times"/>
                <w:b/>
                <w:sz w:val="14"/>
              </w:rPr>
            </w:pPr>
            <w:r>
              <w:rPr>
                <w:rFonts w:ascii="times" w:hAnsi="times"/>
                <w:b/>
                <w:sz w:val="14"/>
              </w:rPr>
              <w:t>Profit/(loss) for the year</w:t>
            </w:r>
          </w:p>
        </w:tc>
        <w:tc>
          <w:tcPr>
            <w:tcW w:w="187" w:type="dxa"/>
            <w:tcBorders/>
            <w:shd w:fill="auto" w:val="clear"/>
            <w:vAlign w:val="bottom"/>
          </w:tcPr>
          <w:p>
            <w:pPr>
              <w:pStyle w:val="TableContents"/>
              <w:spacing w:before="0" w:after="283"/>
              <w:rPr/>
            </w:pPr>
            <w:r>
              <w:rPr/>
              <w:t> </w:t>
            </w:r>
          </w:p>
        </w:tc>
        <w:tc>
          <w:tcPr>
            <w:tcW w:w="99" w:type="dxa"/>
            <w:tcBorders/>
            <w:shd w:fill="auto" w:val="clear"/>
            <w:vAlign w:val="bottom"/>
          </w:tcPr>
          <w:p>
            <w:pPr>
              <w:pStyle w:val="TableContents"/>
              <w:spacing w:before="0" w:after="283"/>
              <w:rPr>
                <w:rFonts w:ascii="times" w:hAnsi="times"/>
                <w:b/>
                <w:sz w:val="14"/>
              </w:rPr>
            </w:pPr>
            <w:r>
              <w:rPr>
                <w:rFonts w:ascii="times" w:hAnsi="times"/>
                <w:b/>
                <w:sz w:val="14"/>
              </w:rPr>
              <w:t>$</w:t>
            </w:r>
          </w:p>
        </w:tc>
        <w:tc>
          <w:tcPr>
            <w:tcW w:w="1012" w:type="dxa"/>
            <w:tcBorders/>
            <w:shd w:fill="auto" w:val="clear"/>
            <w:vAlign w:val="bottom"/>
          </w:tcPr>
          <w:p>
            <w:pPr>
              <w:pStyle w:val="TableContents"/>
              <w:spacing w:before="0" w:after="283"/>
              <w:jc w:val="right"/>
              <w:rPr>
                <w:rFonts w:ascii="times" w:hAnsi="times"/>
                <w:b/>
                <w:sz w:val="14"/>
              </w:rPr>
            </w:pPr>
            <w:r>
              <w:rPr>
                <w:rFonts w:ascii="times" w:hAnsi="times"/>
                <w:b/>
                <w:sz w:val="14"/>
              </w:rPr>
              <w:t>2,650</w:t>
            </w:r>
          </w:p>
        </w:tc>
        <w:tc>
          <w:tcPr>
            <w:tcW w:w="187" w:type="dxa"/>
            <w:tcBorders/>
            <w:shd w:fill="auto" w:val="clear"/>
            <w:vAlign w:val="bottom"/>
          </w:tcPr>
          <w:p>
            <w:pPr>
              <w:pStyle w:val="TableContents"/>
              <w:spacing w:before="0" w:after="283"/>
              <w:rPr/>
            </w:pPr>
            <w:r>
              <w:rPr/>
              <w:t> </w:t>
            </w:r>
          </w:p>
        </w:tc>
        <w:tc>
          <w:tcPr>
            <w:tcW w:w="99" w:type="dxa"/>
            <w:tcBorders/>
            <w:shd w:fill="auto" w:val="clear"/>
            <w:vAlign w:val="bottom"/>
          </w:tcPr>
          <w:p>
            <w:pPr>
              <w:pStyle w:val="TableContents"/>
              <w:spacing w:before="0" w:after="283"/>
              <w:rPr>
                <w:rFonts w:ascii="times" w:hAnsi="times"/>
                <w:b/>
                <w:sz w:val="14"/>
              </w:rPr>
            </w:pPr>
            <w:r>
              <w:rPr>
                <w:rFonts w:ascii="times" w:hAnsi="times"/>
                <w:b/>
                <w:sz w:val="14"/>
              </w:rPr>
              <w:t>$</w:t>
            </w:r>
          </w:p>
        </w:tc>
        <w:tc>
          <w:tcPr>
            <w:tcW w:w="1013" w:type="dxa"/>
            <w:tcBorders/>
            <w:shd w:fill="auto" w:val="clear"/>
            <w:vAlign w:val="bottom"/>
          </w:tcPr>
          <w:p>
            <w:pPr>
              <w:pStyle w:val="TableContents"/>
              <w:spacing w:before="0" w:after="283"/>
              <w:jc w:val="right"/>
              <w:rPr>
                <w:rFonts w:ascii="times" w:hAnsi="times"/>
                <w:b/>
                <w:sz w:val="14"/>
              </w:rPr>
            </w:pPr>
            <w:r>
              <w:rPr>
                <w:rFonts w:ascii="times" w:hAnsi="times"/>
                <w:b/>
                <w:sz w:val="14"/>
              </w:rPr>
              <w:t>(37,419</w:t>
            </w:r>
          </w:p>
        </w:tc>
        <w:tc>
          <w:tcPr>
            <w:tcW w:w="187" w:type="dxa"/>
            <w:tcBorders/>
            <w:shd w:fill="auto" w:val="clear"/>
            <w:vAlign w:val="bottom"/>
          </w:tcPr>
          <w:p>
            <w:pPr>
              <w:pStyle w:val="TableContents"/>
              <w:spacing w:before="0" w:after="283"/>
              <w:rPr>
                <w:rFonts w:ascii="times" w:hAnsi="times"/>
                <w:b/>
                <w:sz w:val="14"/>
              </w:rPr>
            </w:pPr>
            <w:r>
              <w:rPr>
                <w:rFonts w:ascii="times" w:hAnsi="times"/>
                <w:b/>
                <w:sz w:val="14"/>
              </w:rPr>
              <w:t>)</w:t>
            </w:r>
          </w:p>
        </w:tc>
        <w:tc>
          <w:tcPr>
            <w:tcW w:w="98" w:type="dxa"/>
            <w:tcBorders/>
            <w:shd w:fill="auto" w:val="clear"/>
            <w:vAlign w:val="bottom"/>
          </w:tcPr>
          <w:p>
            <w:pPr>
              <w:pStyle w:val="TableContents"/>
              <w:spacing w:before="0" w:after="283"/>
              <w:rPr>
                <w:rFonts w:ascii="times" w:hAnsi="times"/>
                <w:b/>
                <w:sz w:val="14"/>
              </w:rPr>
            </w:pPr>
            <w:r>
              <w:rPr>
                <w:rFonts w:ascii="times" w:hAnsi="times"/>
                <w:b/>
                <w:sz w:val="14"/>
              </w:rPr>
              <w:t>$</w:t>
            </w:r>
          </w:p>
        </w:tc>
        <w:tc>
          <w:tcPr>
            <w:tcW w:w="1013" w:type="dxa"/>
            <w:tcBorders/>
            <w:shd w:fill="auto" w:val="clear"/>
            <w:vAlign w:val="bottom"/>
          </w:tcPr>
          <w:p>
            <w:pPr>
              <w:pStyle w:val="TableContents"/>
              <w:spacing w:before="0" w:after="283"/>
              <w:jc w:val="right"/>
              <w:rPr>
                <w:rFonts w:ascii="times" w:hAnsi="times"/>
                <w:b/>
                <w:sz w:val="14"/>
              </w:rPr>
            </w:pPr>
            <w:r>
              <w:rPr>
                <w:rFonts w:ascii="times" w:hAnsi="times"/>
                <w:b/>
                <w:sz w:val="14"/>
              </w:rPr>
              <w:t>(34,769</w:t>
            </w:r>
          </w:p>
        </w:tc>
        <w:tc>
          <w:tcPr>
            <w:tcW w:w="187" w:type="dxa"/>
            <w:tcBorders/>
            <w:shd w:fill="auto" w:val="clear"/>
            <w:vAlign w:val="bottom"/>
          </w:tcPr>
          <w:p>
            <w:pPr>
              <w:pStyle w:val="TableContents"/>
              <w:spacing w:before="0" w:after="283"/>
              <w:rPr>
                <w:rFonts w:ascii="times" w:hAnsi="times"/>
                <w:b/>
                <w:sz w:val="14"/>
              </w:rPr>
            </w:pPr>
            <w:r>
              <w:rPr>
                <w:rFonts w:ascii="times" w:hAnsi="times"/>
                <w:b/>
                <w:sz w:val="14"/>
              </w:rPr>
              <w:t>)</w:t>
            </w:r>
          </w:p>
        </w:tc>
        <w:tc>
          <w:tcPr>
            <w:tcW w:w="62" w:type="dxa"/>
            <w:tcBorders/>
            <w:shd w:fill="auto" w:val="clear"/>
            <w:vAlign w:val="bottom"/>
          </w:tcPr>
          <w:p>
            <w:pPr>
              <w:pStyle w:val="TableContents"/>
              <w:spacing w:before="0" w:after="283"/>
              <w:rPr/>
            </w:pPr>
            <w:r>
              <w:rPr/>
              <w:t> </w:t>
            </w:r>
          </w:p>
        </w:tc>
        <w:tc>
          <w:tcPr>
            <w:tcW w:w="1013" w:type="dxa"/>
            <w:tcBorders/>
            <w:shd w:fill="auto" w:val="clear"/>
            <w:vAlign w:val="bottom"/>
          </w:tcPr>
          <w:p>
            <w:pPr>
              <w:pStyle w:val="TableContents"/>
              <w:spacing w:before="0" w:after="283"/>
              <w:jc w:val="right"/>
              <w:rPr>
                <w:rFonts w:ascii="times" w:hAnsi="times"/>
                <w:b/>
                <w:sz w:val="14"/>
              </w:rPr>
            </w:pPr>
            <w:r>
              <w:rPr>
                <w:rFonts w:ascii="times" w:hAnsi="times"/>
                <w:b/>
                <w:sz w:val="14"/>
              </w:rPr>
              <w:t></w:t>
            </w:r>
          </w:p>
        </w:tc>
        <w:tc>
          <w:tcPr>
            <w:tcW w:w="187" w:type="dxa"/>
            <w:tcBorders/>
            <w:shd w:fill="auto" w:val="clear"/>
            <w:vAlign w:val="bottom"/>
          </w:tcPr>
          <w:p>
            <w:pPr>
              <w:pStyle w:val="TableContents"/>
              <w:spacing w:before="0" w:after="283"/>
              <w:rPr/>
            </w:pPr>
            <w:r>
              <w:rPr/>
              <w:t> </w:t>
            </w:r>
          </w:p>
        </w:tc>
        <w:tc>
          <w:tcPr>
            <w:tcW w:w="99" w:type="dxa"/>
            <w:tcBorders/>
            <w:shd w:fill="auto" w:val="clear"/>
            <w:vAlign w:val="bottom"/>
          </w:tcPr>
          <w:p>
            <w:pPr>
              <w:pStyle w:val="TableContents"/>
              <w:spacing w:before="0" w:after="283"/>
              <w:rPr>
                <w:rFonts w:ascii="times" w:hAnsi="times"/>
                <w:b/>
                <w:sz w:val="14"/>
              </w:rPr>
            </w:pPr>
            <w:r>
              <w:rPr>
                <w:rFonts w:ascii="times" w:hAnsi="times"/>
                <w:b/>
                <w:sz w:val="14"/>
              </w:rPr>
              <w:t>$</w:t>
            </w:r>
          </w:p>
        </w:tc>
        <w:tc>
          <w:tcPr>
            <w:tcW w:w="1012" w:type="dxa"/>
            <w:tcBorders/>
            <w:shd w:fill="auto" w:val="clear"/>
            <w:vAlign w:val="bottom"/>
          </w:tcPr>
          <w:p>
            <w:pPr>
              <w:pStyle w:val="TableContents"/>
              <w:spacing w:before="0" w:after="283"/>
              <w:jc w:val="right"/>
              <w:rPr>
                <w:rFonts w:ascii="times" w:hAnsi="times"/>
                <w:b/>
                <w:sz w:val="14"/>
              </w:rPr>
            </w:pPr>
            <w:r>
              <w:rPr>
                <w:rFonts w:ascii="times" w:hAnsi="times"/>
                <w:b/>
                <w:sz w:val="14"/>
              </w:rPr>
              <w:t>56,859</w:t>
            </w:r>
          </w:p>
        </w:tc>
        <w:tc>
          <w:tcPr>
            <w:tcW w:w="187" w:type="dxa"/>
            <w:tcBorders/>
            <w:shd w:fill="auto" w:val="clear"/>
            <w:vAlign w:val="bottom"/>
          </w:tcPr>
          <w:p>
            <w:pPr>
              <w:pStyle w:val="TableContents"/>
              <w:spacing w:before="0" w:after="283"/>
              <w:rPr/>
            </w:pPr>
            <w:r>
              <w:rPr/>
              <w:t> </w:t>
            </w:r>
          </w:p>
        </w:tc>
        <w:tc>
          <w:tcPr>
            <w:tcW w:w="99" w:type="dxa"/>
            <w:tcBorders/>
            <w:shd w:fill="auto" w:val="clear"/>
            <w:vAlign w:val="bottom"/>
          </w:tcPr>
          <w:p>
            <w:pPr>
              <w:pStyle w:val="TableContents"/>
              <w:spacing w:before="0" w:after="283"/>
              <w:rPr>
                <w:rFonts w:ascii="times" w:hAnsi="times"/>
                <w:b/>
                <w:sz w:val="14"/>
              </w:rPr>
            </w:pPr>
            <w:r>
              <w:rPr>
                <w:rFonts w:ascii="times" w:hAnsi="times"/>
                <w:b/>
                <w:sz w:val="14"/>
              </w:rPr>
              <w:t>$</w:t>
            </w:r>
          </w:p>
        </w:tc>
        <w:tc>
          <w:tcPr>
            <w:tcW w:w="1013" w:type="dxa"/>
            <w:tcBorders/>
            <w:shd w:fill="auto" w:val="clear"/>
            <w:vAlign w:val="bottom"/>
          </w:tcPr>
          <w:p>
            <w:pPr>
              <w:pStyle w:val="TableContents"/>
              <w:spacing w:before="0" w:after="283"/>
              <w:jc w:val="right"/>
              <w:rPr>
                <w:rFonts w:ascii="times" w:hAnsi="times"/>
                <w:b/>
                <w:sz w:val="14"/>
              </w:rPr>
            </w:pPr>
            <w:r>
              <w:rPr>
                <w:rFonts w:ascii="times" w:hAnsi="times"/>
                <w:b/>
                <w:sz w:val="14"/>
              </w:rPr>
              <w:t>56,859</w:t>
            </w:r>
          </w:p>
        </w:tc>
        <w:tc>
          <w:tcPr>
            <w:tcW w:w="187" w:type="dxa"/>
            <w:tcBorders/>
            <w:shd w:fill="auto" w:val="clear"/>
            <w:vAlign w:val="bottom"/>
          </w:tcPr>
          <w:p>
            <w:pPr>
              <w:pStyle w:val="TableContents"/>
              <w:spacing w:before="0" w:after="283"/>
              <w:rPr/>
            </w:pPr>
            <w:r>
              <w:rPr/>
              <w:t> </w:t>
            </w:r>
          </w:p>
        </w:tc>
      </w:tr>
      <w:tr>
        <w:trPr/>
        <w:tc>
          <w:tcPr>
            <w:tcW w:w="2264" w:type="dxa"/>
            <w:tcBorders/>
            <w:shd w:fill="FFFFFF" w:val="clear"/>
            <w:vAlign w:val="bottom"/>
          </w:tcPr>
          <w:p>
            <w:pPr>
              <w:pStyle w:val="TableContents"/>
              <w:spacing w:before="0" w:after="283"/>
              <w:rPr/>
            </w:pPr>
            <w:r>
              <w:rPr/>
              <w:t>​</w:t>
            </w:r>
          </w:p>
        </w:tc>
        <w:tc>
          <w:tcPr>
            <w:tcW w:w="187" w:type="dxa"/>
            <w:tcBorders/>
            <w:shd w:fill="FFFFFF" w:val="clear"/>
            <w:vAlign w:val="bottom"/>
          </w:tcPr>
          <w:p>
            <w:pPr>
              <w:pStyle w:val="TableContents"/>
              <w:spacing w:before="0" w:after="283"/>
              <w:rPr/>
            </w:pPr>
            <w:r>
              <w:rPr/>
              <w:t>​</w:t>
            </w:r>
          </w:p>
        </w:tc>
        <w:tc>
          <w:tcPr>
            <w:tcW w:w="99" w:type="dxa"/>
            <w:tcBorders>
              <w:bottom w:val="single" w:sz="8" w:space="0" w:color="000000"/>
            </w:tcBorders>
            <w:shd w:fill="FFFFFF" w:val="clear"/>
            <w:tcMar>
              <w:bottom w:w="28" w:type="dxa"/>
            </w:tcMar>
            <w:vAlign w:val="bottom"/>
          </w:tcPr>
          <w:p>
            <w:pPr>
              <w:pStyle w:val="TableContents"/>
              <w:spacing w:before="0" w:after="283"/>
              <w:rPr/>
            </w:pPr>
            <w:r>
              <w:rPr/>
              <w:t xml:space="preserve">​ </w:t>
            </w:r>
          </w:p>
        </w:tc>
        <w:tc>
          <w:tcPr>
            <w:tcW w:w="1012" w:type="dxa"/>
            <w:tcBorders>
              <w:bottom w:val="single" w:sz="8" w:space="0" w:color="000000"/>
            </w:tcBorders>
            <w:shd w:fill="FFFFFF" w:val="clear"/>
            <w:tcMar>
              <w:bottom w:w="28" w:type="dxa"/>
            </w:tcMar>
            <w:vAlign w:val="bottom"/>
          </w:tcPr>
          <w:p>
            <w:pPr>
              <w:pStyle w:val="TableContents"/>
              <w:spacing w:before="0" w:after="283"/>
              <w:jc w:val="right"/>
              <w:rPr/>
            </w:pPr>
            <w:r>
              <w:rPr/>
              <w:t xml:space="preserve">​ </w:t>
            </w:r>
          </w:p>
        </w:tc>
        <w:tc>
          <w:tcPr>
            <w:tcW w:w="187" w:type="dxa"/>
            <w:tcBorders/>
            <w:shd w:fill="FFFFFF" w:val="clear"/>
            <w:vAlign w:val="bottom"/>
          </w:tcPr>
          <w:p>
            <w:pPr>
              <w:pStyle w:val="TableContents"/>
              <w:spacing w:before="0" w:after="283"/>
              <w:rPr/>
            </w:pPr>
            <w:r>
              <w:rPr/>
              <w:t>​</w:t>
            </w:r>
          </w:p>
        </w:tc>
        <w:tc>
          <w:tcPr>
            <w:tcW w:w="99" w:type="dxa"/>
            <w:tcBorders>
              <w:bottom w:val="single" w:sz="8" w:space="0" w:color="000000"/>
            </w:tcBorders>
            <w:shd w:fill="FFFFFF" w:val="clear"/>
            <w:tcMar>
              <w:bottom w:w="28" w:type="dxa"/>
            </w:tcMar>
            <w:vAlign w:val="bottom"/>
          </w:tcPr>
          <w:p>
            <w:pPr>
              <w:pStyle w:val="TableContents"/>
              <w:spacing w:before="0" w:after="283"/>
              <w:rPr/>
            </w:pPr>
            <w:r>
              <w:rPr/>
              <w:t xml:space="preserve">​ </w:t>
            </w:r>
          </w:p>
        </w:tc>
        <w:tc>
          <w:tcPr>
            <w:tcW w:w="1013" w:type="dxa"/>
            <w:tcBorders>
              <w:bottom w:val="single" w:sz="8" w:space="0" w:color="000000"/>
            </w:tcBorders>
            <w:shd w:fill="FFFFFF" w:val="clear"/>
            <w:tcMar>
              <w:bottom w:w="28" w:type="dxa"/>
            </w:tcMar>
            <w:vAlign w:val="bottom"/>
          </w:tcPr>
          <w:p>
            <w:pPr>
              <w:pStyle w:val="TableContents"/>
              <w:spacing w:before="0" w:after="283"/>
              <w:jc w:val="right"/>
              <w:rPr/>
            </w:pPr>
            <w:r>
              <w:rPr/>
              <w:t xml:space="preserve">​ </w:t>
            </w:r>
          </w:p>
        </w:tc>
        <w:tc>
          <w:tcPr>
            <w:tcW w:w="187" w:type="dxa"/>
            <w:tcBorders/>
            <w:shd w:fill="FFFFFF" w:val="clear"/>
            <w:vAlign w:val="bottom"/>
          </w:tcPr>
          <w:p>
            <w:pPr>
              <w:pStyle w:val="TableContents"/>
              <w:spacing w:before="0" w:after="283"/>
              <w:rPr/>
            </w:pPr>
            <w:r>
              <w:rPr/>
              <w:t>​</w:t>
            </w:r>
          </w:p>
        </w:tc>
        <w:tc>
          <w:tcPr>
            <w:tcW w:w="98" w:type="dxa"/>
            <w:tcBorders>
              <w:bottom w:val="single" w:sz="8" w:space="0" w:color="000000"/>
            </w:tcBorders>
            <w:shd w:fill="FFFFFF" w:val="clear"/>
            <w:tcMar>
              <w:bottom w:w="28" w:type="dxa"/>
            </w:tcMar>
            <w:vAlign w:val="bottom"/>
          </w:tcPr>
          <w:p>
            <w:pPr>
              <w:pStyle w:val="TableContents"/>
              <w:spacing w:before="0" w:after="283"/>
              <w:rPr/>
            </w:pPr>
            <w:r>
              <w:rPr/>
              <w:t xml:space="preserve">​ </w:t>
            </w:r>
          </w:p>
        </w:tc>
        <w:tc>
          <w:tcPr>
            <w:tcW w:w="1013" w:type="dxa"/>
            <w:tcBorders>
              <w:bottom w:val="single" w:sz="8" w:space="0" w:color="000000"/>
            </w:tcBorders>
            <w:shd w:fill="FFFFFF" w:val="clear"/>
            <w:tcMar>
              <w:bottom w:w="28" w:type="dxa"/>
            </w:tcMar>
            <w:vAlign w:val="bottom"/>
          </w:tcPr>
          <w:p>
            <w:pPr>
              <w:pStyle w:val="TableContents"/>
              <w:spacing w:before="0" w:after="283"/>
              <w:jc w:val="right"/>
              <w:rPr/>
            </w:pPr>
            <w:r>
              <w:rPr/>
              <w:t xml:space="preserve">​ </w:t>
            </w:r>
          </w:p>
        </w:tc>
        <w:tc>
          <w:tcPr>
            <w:tcW w:w="187" w:type="dxa"/>
            <w:tcBorders/>
            <w:shd w:fill="FFFFFF" w:val="clear"/>
            <w:vAlign w:val="bottom"/>
          </w:tcPr>
          <w:p>
            <w:pPr>
              <w:pStyle w:val="TableContents"/>
              <w:spacing w:before="0" w:after="283"/>
              <w:rPr/>
            </w:pPr>
            <w:r>
              <w:rPr/>
              <w:t>​</w:t>
            </w:r>
          </w:p>
        </w:tc>
        <w:tc>
          <w:tcPr>
            <w:tcW w:w="62" w:type="dxa"/>
            <w:tcBorders>
              <w:bottom w:val="single" w:sz="8" w:space="0" w:color="000000"/>
            </w:tcBorders>
            <w:shd w:fill="FFFFFF" w:val="clear"/>
            <w:tcMar>
              <w:bottom w:w="28" w:type="dxa"/>
            </w:tcMar>
            <w:vAlign w:val="bottom"/>
          </w:tcPr>
          <w:p>
            <w:pPr>
              <w:pStyle w:val="TableContents"/>
              <w:spacing w:before="0" w:after="283"/>
              <w:rPr/>
            </w:pPr>
            <w:r>
              <w:rPr/>
              <w:t xml:space="preserve">​ </w:t>
            </w:r>
          </w:p>
        </w:tc>
        <w:tc>
          <w:tcPr>
            <w:tcW w:w="1013" w:type="dxa"/>
            <w:tcBorders>
              <w:bottom w:val="single" w:sz="8" w:space="0" w:color="000000"/>
            </w:tcBorders>
            <w:shd w:fill="FFFFFF" w:val="clear"/>
            <w:tcMar>
              <w:bottom w:w="28" w:type="dxa"/>
            </w:tcMar>
            <w:vAlign w:val="bottom"/>
          </w:tcPr>
          <w:p>
            <w:pPr>
              <w:pStyle w:val="TableContents"/>
              <w:spacing w:before="0" w:after="283"/>
              <w:jc w:val="right"/>
              <w:rPr/>
            </w:pPr>
            <w:r>
              <w:rPr/>
              <w:t xml:space="preserve">​ </w:t>
            </w:r>
          </w:p>
        </w:tc>
        <w:tc>
          <w:tcPr>
            <w:tcW w:w="187" w:type="dxa"/>
            <w:tcBorders/>
            <w:shd w:fill="FFFFFF" w:val="clear"/>
            <w:vAlign w:val="bottom"/>
          </w:tcPr>
          <w:p>
            <w:pPr>
              <w:pStyle w:val="TableContents"/>
              <w:spacing w:before="0" w:after="283"/>
              <w:rPr/>
            </w:pPr>
            <w:r>
              <w:rPr/>
              <w:t>​</w:t>
            </w:r>
          </w:p>
        </w:tc>
        <w:tc>
          <w:tcPr>
            <w:tcW w:w="99" w:type="dxa"/>
            <w:tcBorders>
              <w:bottom w:val="single" w:sz="8" w:space="0" w:color="000000"/>
            </w:tcBorders>
            <w:shd w:fill="FFFFFF" w:val="clear"/>
            <w:tcMar>
              <w:bottom w:w="28" w:type="dxa"/>
            </w:tcMar>
            <w:vAlign w:val="bottom"/>
          </w:tcPr>
          <w:p>
            <w:pPr>
              <w:pStyle w:val="TableContents"/>
              <w:spacing w:before="0" w:after="283"/>
              <w:rPr/>
            </w:pPr>
            <w:r>
              <w:rPr/>
              <w:t xml:space="preserve">​ </w:t>
            </w:r>
          </w:p>
        </w:tc>
        <w:tc>
          <w:tcPr>
            <w:tcW w:w="1012" w:type="dxa"/>
            <w:tcBorders>
              <w:bottom w:val="single" w:sz="8" w:space="0" w:color="000000"/>
            </w:tcBorders>
            <w:shd w:fill="FFFFFF" w:val="clear"/>
            <w:tcMar>
              <w:bottom w:w="28" w:type="dxa"/>
            </w:tcMar>
            <w:vAlign w:val="bottom"/>
          </w:tcPr>
          <w:p>
            <w:pPr>
              <w:pStyle w:val="TableContents"/>
              <w:spacing w:before="0" w:after="283"/>
              <w:jc w:val="right"/>
              <w:rPr/>
            </w:pPr>
            <w:r>
              <w:rPr/>
              <w:t xml:space="preserve">​ </w:t>
            </w:r>
          </w:p>
        </w:tc>
        <w:tc>
          <w:tcPr>
            <w:tcW w:w="187" w:type="dxa"/>
            <w:tcBorders/>
            <w:shd w:fill="FFFFFF" w:val="clear"/>
            <w:vAlign w:val="bottom"/>
          </w:tcPr>
          <w:p>
            <w:pPr>
              <w:pStyle w:val="TableContents"/>
              <w:spacing w:before="0" w:after="283"/>
              <w:rPr/>
            </w:pPr>
            <w:r>
              <w:rPr/>
              <w:t>​</w:t>
            </w:r>
          </w:p>
        </w:tc>
        <w:tc>
          <w:tcPr>
            <w:tcW w:w="99" w:type="dxa"/>
            <w:tcBorders>
              <w:bottom w:val="single" w:sz="8" w:space="0" w:color="000000"/>
            </w:tcBorders>
            <w:shd w:fill="FFFFFF" w:val="clear"/>
            <w:tcMar>
              <w:bottom w:w="28" w:type="dxa"/>
            </w:tcMar>
            <w:vAlign w:val="bottom"/>
          </w:tcPr>
          <w:p>
            <w:pPr>
              <w:pStyle w:val="TableContents"/>
              <w:spacing w:before="0" w:after="283"/>
              <w:rPr/>
            </w:pPr>
            <w:r>
              <w:rPr/>
              <w:t xml:space="preserve">​ </w:t>
            </w:r>
          </w:p>
        </w:tc>
        <w:tc>
          <w:tcPr>
            <w:tcW w:w="1013" w:type="dxa"/>
            <w:tcBorders>
              <w:bottom w:val="single" w:sz="8" w:space="0" w:color="000000"/>
            </w:tcBorders>
            <w:shd w:fill="FFFFFF" w:val="clear"/>
            <w:tcMar>
              <w:bottom w:w="28" w:type="dxa"/>
            </w:tcMar>
            <w:vAlign w:val="bottom"/>
          </w:tcPr>
          <w:p>
            <w:pPr>
              <w:pStyle w:val="TableContents"/>
              <w:spacing w:before="0" w:after="283"/>
              <w:jc w:val="right"/>
              <w:rPr/>
            </w:pPr>
            <w:r>
              <w:rPr/>
              <w:t xml:space="preserve">​ </w:t>
            </w:r>
          </w:p>
        </w:tc>
        <w:tc>
          <w:tcPr>
            <w:tcW w:w="187" w:type="dxa"/>
            <w:tcBorders/>
            <w:shd w:fill="FFFFFF" w:val="clear"/>
            <w:vAlign w:val="bottom"/>
          </w:tcPr>
          <w:p>
            <w:pPr>
              <w:pStyle w:val="TableContents"/>
              <w:spacing w:before="0" w:after="283"/>
              <w:rPr/>
            </w:pPr>
            <w:r>
              <w:rPr/>
              <w:t>​</w:t>
            </w:r>
          </w:p>
        </w:tc>
      </w:tr>
      <w:tr>
        <w:trPr/>
        <w:tc>
          <w:tcPr>
            <w:tcW w:w="2264" w:type="dxa"/>
            <w:tcBorders/>
            <w:shd w:fill="FFFFFF" w:val="clear"/>
            <w:vAlign w:val="bottom"/>
          </w:tcPr>
          <w:p>
            <w:pPr>
              <w:pStyle w:val="TableContents"/>
              <w:spacing w:lineRule="atLeast" w:line="141" w:before="0" w:after="283"/>
              <w:rPr/>
            </w:pPr>
            <w:r>
              <w:rPr/>
              <w:t>​</w:t>
            </w:r>
          </w:p>
        </w:tc>
        <w:tc>
          <w:tcPr>
            <w:tcW w:w="187" w:type="dxa"/>
            <w:tcBorders/>
            <w:shd w:fill="FFFFFF" w:val="clear"/>
            <w:vAlign w:val="bottom"/>
          </w:tcPr>
          <w:p>
            <w:pPr>
              <w:pStyle w:val="TableContents"/>
              <w:spacing w:lineRule="atLeast" w:line="141" w:before="0" w:after="283"/>
              <w:rPr/>
            </w:pPr>
            <w:r>
              <w:rPr/>
              <w:t>​</w:t>
            </w:r>
          </w:p>
        </w:tc>
        <w:tc>
          <w:tcPr>
            <w:tcW w:w="99" w:type="dxa"/>
            <w:tcBorders/>
            <w:shd w:fill="FFFFFF" w:val="clear"/>
            <w:vAlign w:val="bottom"/>
          </w:tcPr>
          <w:p>
            <w:pPr>
              <w:pStyle w:val="TableContents"/>
              <w:spacing w:lineRule="atLeast" w:line="141" w:before="0" w:after="283"/>
              <w:rPr/>
            </w:pPr>
            <w:r>
              <w:rPr/>
              <w:t>​</w:t>
            </w:r>
          </w:p>
        </w:tc>
        <w:tc>
          <w:tcPr>
            <w:tcW w:w="1012" w:type="dxa"/>
            <w:tcBorders/>
            <w:shd w:fill="FFFFFF" w:val="clear"/>
            <w:vAlign w:val="bottom"/>
          </w:tcPr>
          <w:p>
            <w:pPr>
              <w:pStyle w:val="TableContents"/>
              <w:spacing w:lineRule="atLeast" w:line="141" w:before="0" w:after="283"/>
              <w:jc w:val="right"/>
              <w:rPr/>
            </w:pPr>
            <w:r>
              <w:rPr/>
              <w:t>​</w:t>
            </w:r>
          </w:p>
        </w:tc>
        <w:tc>
          <w:tcPr>
            <w:tcW w:w="187" w:type="dxa"/>
            <w:tcBorders/>
            <w:shd w:fill="FFFFFF" w:val="clear"/>
            <w:vAlign w:val="bottom"/>
          </w:tcPr>
          <w:p>
            <w:pPr>
              <w:pStyle w:val="TableContents"/>
              <w:spacing w:lineRule="atLeast" w:line="141" w:before="0" w:after="283"/>
              <w:rPr/>
            </w:pPr>
            <w:r>
              <w:rPr/>
              <w:t>​</w:t>
            </w:r>
          </w:p>
        </w:tc>
        <w:tc>
          <w:tcPr>
            <w:tcW w:w="99" w:type="dxa"/>
            <w:tcBorders/>
            <w:shd w:fill="FFFFFF" w:val="clear"/>
            <w:vAlign w:val="bottom"/>
          </w:tcPr>
          <w:p>
            <w:pPr>
              <w:pStyle w:val="TableContents"/>
              <w:spacing w:lineRule="atLeast" w:line="141" w:before="0" w:after="283"/>
              <w:rPr/>
            </w:pPr>
            <w:r>
              <w:rPr/>
              <w:t>​</w:t>
            </w:r>
          </w:p>
        </w:tc>
        <w:tc>
          <w:tcPr>
            <w:tcW w:w="1013" w:type="dxa"/>
            <w:tcBorders/>
            <w:shd w:fill="FFFFFF" w:val="clear"/>
            <w:vAlign w:val="bottom"/>
          </w:tcPr>
          <w:p>
            <w:pPr>
              <w:pStyle w:val="TableContents"/>
              <w:spacing w:lineRule="atLeast" w:line="141" w:before="0" w:after="283"/>
              <w:jc w:val="right"/>
              <w:rPr/>
            </w:pPr>
            <w:r>
              <w:rPr/>
              <w:t>​</w:t>
            </w:r>
          </w:p>
        </w:tc>
        <w:tc>
          <w:tcPr>
            <w:tcW w:w="187" w:type="dxa"/>
            <w:tcBorders/>
            <w:shd w:fill="FFFFFF" w:val="clear"/>
            <w:vAlign w:val="bottom"/>
          </w:tcPr>
          <w:p>
            <w:pPr>
              <w:pStyle w:val="TableContents"/>
              <w:spacing w:lineRule="atLeast" w:line="141" w:before="0" w:after="283"/>
              <w:rPr/>
            </w:pPr>
            <w:r>
              <w:rPr/>
              <w:t>​</w:t>
            </w:r>
          </w:p>
        </w:tc>
        <w:tc>
          <w:tcPr>
            <w:tcW w:w="98" w:type="dxa"/>
            <w:tcBorders/>
            <w:shd w:fill="FFFFFF" w:val="clear"/>
            <w:vAlign w:val="bottom"/>
          </w:tcPr>
          <w:p>
            <w:pPr>
              <w:pStyle w:val="TableContents"/>
              <w:spacing w:lineRule="atLeast" w:line="141" w:before="0" w:after="283"/>
              <w:rPr/>
            </w:pPr>
            <w:r>
              <w:rPr/>
              <w:t>​</w:t>
            </w:r>
          </w:p>
        </w:tc>
        <w:tc>
          <w:tcPr>
            <w:tcW w:w="1013" w:type="dxa"/>
            <w:tcBorders/>
            <w:shd w:fill="FFFFFF" w:val="clear"/>
            <w:vAlign w:val="bottom"/>
          </w:tcPr>
          <w:p>
            <w:pPr>
              <w:pStyle w:val="TableContents"/>
              <w:spacing w:lineRule="atLeast" w:line="141" w:before="0" w:after="283"/>
              <w:jc w:val="right"/>
              <w:rPr/>
            </w:pPr>
            <w:r>
              <w:rPr/>
              <w:t>​</w:t>
            </w:r>
          </w:p>
        </w:tc>
        <w:tc>
          <w:tcPr>
            <w:tcW w:w="187" w:type="dxa"/>
            <w:tcBorders/>
            <w:shd w:fill="FFFFFF" w:val="clear"/>
            <w:vAlign w:val="bottom"/>
          </w:tcPr>
          <w:p>
            <w:pPr>
              <w:pStyle w:val="TableContents"/>
              <w:spacing w:lineRule="atLeast" w:line="141" w:before="0" w:after="283"/>
              <w:rPr/>
            </w:pPr>
            <w:r>
              <w:rPr/>
              <w:t>​</w:t>
            </w:r>
          </w:p>
        </w:tc>
        <w:tc>
          <w:tcPr>
            <w:tcW w:w="62" w:type="dxa"/>
            <w:tcBorders/>
            <w:shd w:fill="FFFFFF" w:val="clear"/>
            <w:vAlign w:val="bottom"/>
          </w:tcPr>
          <w:p>
            <w:pPr>
              <w:pStyle w:val="TableContents"/>
              <w:spacing w:lineRule="atLeast" w:line="141" w:before="0" w:after="283"/>
              <w:rPr/>
            </w:pPr>
            <w:r>
              <w:rPr/>
              <w:t>​</w:t>
            </w:r>
          </w:p>
        </w:tc>
        <w:tc>
          <w:tcPr>
            <w:tcW w:w="1013" w:type="dxa"/>
            <w:tcBorders/>
            <w:shd w:fill="FFFFFF" w:val="clear"/>
            <w:vAlign w:val="bottom"/>
          </w:tcPr>
          <w:p>
            <w:pPr>
              <w:pStyle w:val="TableContents"/>
              <w:spacing w:lineRule="atLeast" w:line="141" w:before="0" w:after="283"/>
              <w:jc w:val="right"/>
              <w:rPr/>
            </w:pPr>
            <w:r>
              <w:rPr/>
              <w:t>​</w:t>
            </w:r>
          </w:p>
        </w:tc>
        <w:tc>
          <w:tcPr>
            <w:tcW w:w="187" w:type="dxa"/>
            <w:tcBorders/>
            <w:shd w:fill="FFFFFF" w:val="clear"/>
            <w:vAlign w:val="bottom"/>
          </w:tcPr>
          <w:p>
            <w:pPr>
              <w:pStyle w:val="TableContents"/>
              <w:spacing w:lineRule="atLeast" w:line="141" w:before="0" w:after="283"/>
              <w:rPr/>
            </w:pPr>
            <w:r>
              <w:rPr/>
              <w:t>​</w:t>
            </w:r>
          </w:p>
        </w:tc>
        <w:tc>
          <w:tcPr>
            <w:tcW w:w="99" w:type="dxa"/>
            <w:tcBorders/>
            <w:shd w:fill="FFFFFF" w:val="clear"/>
            <w:vAlign w:val="bottom"/>
          </w:tcPr>
          <w:p>
            <w:pPr>
              <w:pStyle w:val="TableContents"/>
              <w:spacing w:lineRule="atLeast" w:line="141" w:before="0" w:after="283"/>
              <w:rPr/>
            </w:pPr>
            <w:r>
              <w:rPr/>
              <w:t>​</w:t>
            </w:r>
          </w:p>
        </w:tc>
        <w:tc>
          <w:tcPr>
            <w:tcW w:w="1012" w:type="dxa"/>
            <w:tcBorders/>
            <w:shd w:fill="FFFFFF" w:val="clear"/>
            <w:vAlign w:val="bottom"/>
          </w:tcPr>
          <w:p>
            <w:pPr>
              <w:pStyle w:val="TableContents"/>
              <w:spacing w:lineRule="atLeast" w:line="141" w:before="0" w:after="283"/>
              <w:jc w:val="right"/>
              <w:rPr/>
            </w:pPr>
            <w:r>
              <w:rPr/>
              <w:t>​</w:t>
            </w:r>
          </w:p>
        </w:tc>
        <w:tc>
          <w:tcPr>
            <w:tcW w:w="187" w:type="dxa"/>
            <w:tcBorders/>
            <w:shd w:fill="FFFFFF" w:val="clear"/>
            <w:vAlign w:val="bottom"/>
          </w:tcPr>
          <w:p>
            <w:pPr>
              <w:pStyle w:val="TableContents"/>
              <w:spacing w:lineRule="atLeast" w:line="141" w:before="0" w:after="283"/>
              <w:rPr/>
            </w:pPr>
            <w:r>
              <w:rPr/>
              <w:t>​</w:t>
            </w:r>
          </w:p>
        </w:tc>
        <w:tc>
          <w:tcPr>
            <w:tcW w:w="99" w:type="dxa"/>
            <w:tcBorders/>
            <w:shd w:fill="FFFFFF" w:val="clear"/>
            <w:vAlign w:val="bottom"/>
          </w:tcPr>
          <w:p>
            <w:pPr>
              <w:pStyle w:val="TableContents"/>
              <w:spacing w:lineRule="atLeast" w:line="141" w:before="0" w:after="283"/>
              <w:rPr/>
            </w:pPr>
            <w:r>
              <w:rPr/>
              <w:t>​</w:t>
            </w:r>
          </w:p>
        </w:tc>
        <w:tc>
          <w:tcPr>
            <w:tcW w:w="1013" w:type="dxa"/>
            <w:tcBorders/>
            <w:shd w:fill="FFFFFF" w:val="clear"/>
            <w:vAlign w:val="bottom"/>
          </w:tcPr>
          <w:p>
            <w:pPr>
              <w:pStyle w:val="TableContents"/>
              <w:spacing w:lineRule="atLeast" w:line="141" w:before="0" w:after="283"/>
              <w:jc w:val="right"/>
              <w:rPr/>
            </w:pPr>
            <w:r>
              <w:rPr/>
              <w:t>​</w:t>
            </w:r>
          </w:p>
        </w:tc>
        <w:tc>
          <w:tcPr>
            <w:tcW w:w="187" w:type="dxa"/>
            <w:tcBorders/>
            <w:shd w:fill="FFFFFF" w:val="clear"/>
            <w:vAlign w:val="bottom"/>
          </w:tcPr>
          <w:p>
            <w:pPr>
              <w:pStyle w:val="TableContents"/>
              <w:spacing w:lineRule="atLeast" w:line="141" w:before="0" w:after="283"/>
              <w:rPr/>
            </w:pPr>
            <w:r>
              <w:rPr/>
              <w:t>​</w:t>
            </w:r>
          </w:p>
        </w:tc>
      </w:tr>
      <w:tr>
        <w:trPr/>
        <w:tc>
          <w:tcPr>
            <w:tcW w:w="2264" w:type="dxa"/>
            <w:tcBorders/>
            <w:shd w:fill="FFFFFF" w:val="clear"/>
            <w:vAlign w:val="bottom"/>
          </w:tcPr>
          <w:p>
            <w:pPr>
              <w:pStyle w:val="TableContents"/>
              <w:spacing w:before="0" w:after="283"/>
              <w:rPr/>
            </w:pPr>
            <w:r>
              <w:rPr/>
              <w:t>​</w:t>
            </w:r>
          </w:p>
        </w:tc>
        <w:tc>
          <w:tcPr>
            <w:tcW w:w="187" w:type="dxa"/>
            <w:tcBorders/>
            <w:shd w:fill="FFFFFF" w:val="clear"/>
            <w:vAlign w:val="bottom"/>
          </w:tcPr>
          <w:p>
            <w:pPr>
              <w:pStyle w:val="TableContents"/>
              <w:spacing w:before="0" w:after="283"/>
              <w:rPr/>
            </w:pPr>
            <w:r>
              <w:rPr/>
              <w:t>​</w:t>
            </w:r>
          </w:p>
        </w:tc>
        <w:tc>
          <w:tcPr>
            <w:tcW w:w="99" w:type="dxa"/>
            <w:tcBorders>
              <w:bottom w:val="single" w:sz="8" w:space="0" w:color="000000"/>
            </w:tcBorders>
            <w:shd w:fill="FFFFFF" w:val="clear"/>
            <w:tcMar>
              <w:bottom w:w="28" w:type="dxa"/>
            </w:tcMar>
            <w:vAlign w:val="bottom"/>
          </w:tcPr>
          <w:p>
            <w:pPr>
              <w:pStyle w:val="TableContents"/>
              <w:spacing w:before="0" w:after="283"/>
              <w:rPr/>
            </w:pPr>
            <w:r>
              <w:rPr/>
              <w:t xml:space="preserve">​ </w:t>
            </w:r>
          </w:p>
        </w:tc>
        <w:tc>
          <w:tcPr>
            <w:tcW w:w="1012" w:type="dxa"/>
            <w:tcBorders>
              <w:bottom w:val="single" w:sz="8" w:space="0" w:color="000000"/>
            </w:tcBorders>
            <w:shd w:fill="FFFFFF" w:val="clear"/>
            <w:tcMar>
              <w:bottom w:w="28" w:type="dxa"/>
            </w:tcMar>
            <w:vAlign w:val="bottom"/>
          </w:tcPr>
          <w:p>
            <w:pPr>
              <w:pStyle w:val="TableContents"/>
              <w:spacing w:before="0" w:after="283"/>
              <w:jc w:val="right"/>
              <w:rPr/>
            </w:pPr>
            <w:r>
              <w:rPr/>
              <w:t xml:space="preserve">​ </w:t>
            </w:r>
          </w:p>
        </w:tc>
        <w:tc>
          <w:tcPr>
            <w:tcW w:w="187" w:type="dxa"/>
            <w:tcBorders/>
            <w:shd w:fill="FFFFFF" w:val="clear"/>
            <w:vAlign w:val="bottom"/>
          </w:tcPr>
          <w:p>
            <w:pPr>
              <w:pStyle w:val="TableContents"/>
              <w:spacing w:before="0" w:after="283"/>
              <w:rPr/>
            </w:pPr>
            <w:r>
              <w:rPr/>
              <w:t>​</w:t>
            </w:r>
          </w:p>
        </w:tc>
        <w:tc>
          <w:tcPr>
            <w:tcW w:w="99" w:type="dxa"/>
            <w:tcBorders>
              <w:bottom w:val="single" w:sz="8" w:space="0" w:color="000000"/>
            </w:tcBorders>
            <w:shd w:fill="FFFFFF" w:val="clear"/>
            <w:tcMar>
              <w:bottom w:w="28" w:type="dxa"/>
            </w:tcMar>
            <w:vAlign w:val="bottom"/>
          </w:tcPr>
          <w:p>
            <w:pPr>
              <w:pStyle w:val="TableContents"/>
              <w:spacing w:before="0" w:after="283"/>
              <w:rPr/>
            </w:pPr>
            <w:r>
              <w:rPr/>
              <w:t xml:space="preserve">​ </w:t>
            </w:r>
          </w:p>
        </w:tc>
        <w:tc>
          <w:tcPr>
            <w:tcW w:w="1013" w:type="dxa"/>
            <w:tcBorders>
              <w:bottom w:val="single" w:sz="8" w:space="0" w:color="000000"/>
            </w:tcBorders>
            <w:shd w:fill="FFFFFF" w:val="clear"/>
            <w:tcMar>
              <w:bottom w:w="28" w:type="dxa"/>
            </w:tcMar>
            <w:vAlign w:val="bottom"/>
          </w:tcPr>
          <w:p>
            <w:pPr>
              <w:pStyle w:val="TableContents"/>
              <w:spacing w:before="0" w:after="283"/>
              <w:jc w:val="right"/>
              <w:rPr/>
            </w:pPr>
            <w:r>
              <w:rPr/>
              <w:t xml:space="preserve">​ </w:t>
            </w:r>
          </w:p>
        </w:tc>
        <w:tc>
          <w:tcPr>
            <w:tcW w:w="187" w:type="dxa"/>
            <w:tcBorders/>
            <w:shd w:fill="FFFFFF" w:val="clear"/>
            <w:vAlign w:val="bottom"/>
          </w:tcPr>
          <w:p>
            <w:pPr>
              <w:pStyle w:val="TableContents"/>
              <w:spacing w:before="0" w:after="283"/>
              <w:rPr/>
            </w:pPr>
            <w:r>
              <w:rPr/>
              <w:t>​</w:t>
            </w:r>
          </w:p>
        </w:tc>
        <w:tc>
          <w:tcPr>
            <w:tcW w:w="98" w:type="dxa"/>
            <w:tcBorders>
              <w:bottom w:val="single" w:sz="8" w:space="0" w:color="000000"/>
            </w:tcBorders>
            <w:shd w:fill="FFFFFF" w:val="clear"/>
            <w:tcMar>
              <w:bottom w:w="28" w:type="dxa"/>
            </w:tcMar>
            <w:vAlign w:val="bottom"/>
          </w:tcPr>
          <w:p>
            <w:pPr>
              <w:pStyle w:val="TableContents"/>
              <w:spacing w:before="0" w:after="283"/>
              <w:rPr/>
            </w:pPr>
            <w:r>
              <w:rPr/>
              <w:t xml:space="preserve">​ </w:t>
            </w:r>
          </w:p>
        </w:tc>
        <w:tc>
          <w:tcPr>
            <w:tcW w:w="1013" w:type="dxa"/>
            <w:tcBorders>
              <w:bottom w:val="single" w:sz="8" w:space="0" w:color="000000"/>
            </w:tcBorders>
            <w:shd w:fill="FFFFFF" w:val="clear"/>
            <w:tcMar>
              <w:bottom w:w="28" w:type="dxa"/>
            </w:tcMar>
            <w:vAlign w:val="bottom"/>
          </w:tcPr>
          <w:p>
            <w:pPr>
              <w:pStyle w:val="TableContents"/>
              <w:spacing w:before="0" w:after="283"/>
              <w:jc w:val="right"/>
              <w:rPr/>
            </w:pPr>
            <w:r>
              <w:rPr/>
              <w:t xml:space="preserve">​ </w:t>
            </w:r>
          </w:p>
        </w:tc>
        <w:tc>
          <w:tcPr>
            <w:tcW w:w="187" w:type="dxa"/>
            <w:tcBorders/>
            <w:shd w:fill="FFFFFF" w:val="clear"/>
            <w:vAlign w:val="bottom"/>
          </w:tcPr>
          <w:p>
            <w:pPr>
              <w:pStyle w:val="TableContents"/>
              <w:spacing w:before="0" w:after="283"/>
              <w:rPr/>
            </w:pPr>
            <w:r>
              <w:rPr/>
              <w:t>​</w:t>
            </w:r>
          </w:p>
        </w:tc>
        <w:tc>
          <w:tcPr>
            <w:tcW w:w="62" w:type="dxa"/>
            <w:tcBorders>
              <w:bottom w:val="single" w:sz="8" w:space="0" w:color="000000"/>
            </w:tcBorders>
            <w:shd w:fill="FFFFFF" w:val="clear"/>
            <w:tcMar>
              <w:bottom w:w="28" w:type="dxa"/>
            </w:tcMar>
            <w:vAlign w:val="bottom"/>
          </w:tcPr>
          <w:p>
            <w:pPr>
              <w:pStyle w:val="TableContents"/>
              <w:spacing w:before="0" w:after="283"/>
              <w:rPr/>
            </w:pPr>
            <w:r>
              <w:rPr/>
              <w:t xml:space="preserve">​ </w:t>
            </w:r>
          </w:p>
        </w:tc>
        <w:tc>
          <w:tcPr>
            <w:tcW w:w="1013" w:type="dxa"/>
            <w:tcBorders>
              <w:bottom w:val="single" w:sz="8" w:space="0" w:color="000000"/>
            </w:tcBorders>
            <w:shd w:fill="FFFFFF" w:val="clear"/>
            <w:tcMar>
              <w:bottom w:w="28" w:type="dxa"/>
            </w:tcMar>
            <w:vAlign w:val="bottom"/>
          </w:tcPr>
          <w:p>
            <w:pPr>
              <w:pStyle w:val="TableContents"/>
              <w:spacing w:before="0" w:after="283"/>
              <w:jc w:val="right"/>
              <w:rPr/>
            </w:pPr>
            <w:r>
              <w:rPr/>
              <w:t xml:space="preserve">​ </w:t>
            </w:r>
          </w:p>
        </w:tc>
        <w:tc>
          <w:tcPr>
            <w:tcW w:w="187" w:type="dxa"/>
            <w:tcBorders/>
            <w:shd w:fill="FFFFFF" w:val="clear"/>
            <w:vAlign w:val="bottom"/>
          </w:tcPr>
          <w:p>
            <w:pPr>
              <w:pStyle w:val="TableContents"/>
              <w:spacing w:before="0" w:after="283"/>
              <w:rPr/>
            </w:pPr>
            <w:r>
              <w:rPr/>
              <w:t>​</w:t>
            </w:r>
          </w:p>
        </w:tc>
        <w:tc>
          <w:tcPr>
            <w:tcW w:w="99" w:type="dxa"/>
            <w:tcBorders>
              <w:bottom w:val="single" w:sz="8" w:space="0" w:color="000000"/>
            </w:tcBorders>
            <w:shd w:fill="FFFFFF" w:val="clear"/>
            <w:tcMar>
              <w:bottom w:w="28" w:type="dxa"/>
            </w:tcMar>
            <w:vAlign w:val="bottom"/>
          </w:tcPr>
          <w:p>
            <w:pPr>
              <w:pStyle w:val="TableContents"/>
              <w:spacing w:before="0" w:after="283"/>
              <w:rPr/>
            </w:pPr>
            <w:r>
              <w:rPr/>
              <w:t xml:space="preserve">​ </w:t>
            </w:r>
          </w:p>
        </w:tc>
        <w:tc>
          <w:tcPr>
            <w:tcW w:w="1012" w:type="dxa"/>
            <w:tcBorders>
              <w:bottom w:val="single" w:sz="8" w:space="0" w:color="000000"/>
            </w:tcBorders>
            <w:shd w:fill="FFFFFF" w:val="clear"/>
            <w:tcMar>
              <w:bottom w:w="28" w:type="dxa"/>
            </w:tcMar>
            <w:vAlign w:val="bottom"/>
          </w:tcPr>
          <w:p>
            <w:pPr>
              <w:pStyle w:val="TableContents"/>
              <w:spacing w:before="0" w:after="283"/>
              <w:jc w:val="right"/>
              <w:rPr/>
            </w:pPr>
            <w:r>
              <w:rPr/>
              <w:t xml:space="preserve">​ </w:t>
            </w:r>
          </w:p>
        </w:tc>
        <w:tc>
          <w:tcPr>
            <w:tcW w:w="187" w:type="dxa"/>
            <w:tcBorders/>
            <w:shd w:fill="FFFFFF" w:val="clear"/>
            <w:vAlign w:val="bottom"/>
          </w:tcPr>
          <w:p>
            <w:pPr>
              <w:pStyle w:val="TableContents"/>
              <w:spacing w:before="0" w:after="283"/>
              <w:rPr/>
            </w:pPr>
            <w:r>
              <w:rPr/>
              <w:t>​</w:t>
            </w:r>
          </w:p>
        </w:tc>
        <w:tc>
          <w:tcPr>
            <w:tcW w:w="99" w:type="dxa"/>
            <w:tcBorders>
              <w:bottom w:val="single" w:sz="8" w:space="0" w:color="000000"/>
            </w:tcBorders>
            <w:shd w:fill="FFFFFF" w:val="clear"/>
            <w:tcMar>
              <w:bottom w:w="28" w:type="dxa"/>
            </w:tcMar>
            <w:vAlign w:val="bottom"/>
          </w:tcPr>
          <w:p>
            <w:pPr>
              <w:pStyle w:val="TableContents"/>
              <w:spacing w:before="0" w:after="283"/>
              <w:rPr/>
            </w:pPr>
            <w:r>
              <w:rPr/>
              <w:t xml:space="preserve">​ </w:t>
            </w:r>
          </w:p>
        </w:tc>
        <w:tc>
          <w:tcPr>
            <w:tcW w:w="1013" w:type="dxa"/>
            <w:tcBorders>
              <w:bottom w:val="single" w:sz="8" w:space="0" w:color="000000"/>
            </w:tcBorders>
            <w:shd w:fill="FFFFFF" w:val="clear"/>
            <w:tcMar>
              <w:bottom w:w="28" w:type="dxa"/>
            </w:tcMar>
            <w:vAlign w:val="bottom"/>
          </w:tcPr>
          <w:p>
            <w:pPr>
              <w:pStyle w:val="TableContents"/>
              <w:spacing w:before="0" w:after="283"/>
              <w:jc w:val="right"/>
              <w:rPr/>
            </w:pPr>
            <w:r>
              <w:rPr/>
              <w:t xml:space="preserve">​ </w:t>
            </w:r>
          </w:p>
        </w:tc>
        <w:tc>
          <w:tcPr>
            <w:tcW w:w="187" w:type="dxa"/>
            <w:tcBorders/>
            <w:shd w:fill="FFFFFF" w:val="clear"/>
            <w:vAlign w:val="bottom"/>
          </w:tcPr>
          <w:p>
            <w:pPr>
              <w:pStyle w:val="TableContents"/>
              <w:spacing w:before="0" w:after="283"/>
              <w:rPr/>
            </w:pPr>
            <w:r>
              <w:rPr/>
              <w:t xml:space="preserve">​ </w:t>
            </w:r>
          </w:p>
        </w:tc>
      </w:tr>
    </w:tbl>
    <w:p>
      <w:pPr>
        <w:pStyle w:val="TextBody"/>
        <w:rPr>
          <w:rFonts w:ascii="times" w:hAnsi="times"/>
          <w:bdr w:val="single" w:sz="8" w:space="12" w:color="000000"/>
        </w:rPr>
      </w:pPr>
      <w:r>
        <w:rPr>
          <w:rFonts w:ascii="times" w:hAnsi="times"/>
          <w:b/>
          <w:sz w:val="20"/>
          <w:bdr w:val="single" w:sz="8" w:space="12" w:color="000000"/>
        </w:rPr>
        <w:t>EBITDA, Adjusted EBITDA and Adjusted EPU.</w:t>
      </w:r>
      <w:r>
        <w:rPr>
          <w:rFonts w:ascii="times" w:hAnsi="times"/>
          <w:bdr w:val="single" w:sz="8" w:space="12" w:color="000000"/>
        </w:rPr>
        <w:t> </w:t>
      </w:r>
      <w:r>
        <w:rPr>
          <w:rFonts w:ascii="times" w:hAnsi="times"/>
          <w:sz w:val="20"/>
          <w:bdr w:val="single" w:sz="8" w:space="12" w:color="000000"/>
        </w:rPr>
        <w:t xml:space="preserve">EBITDA is defined as earnings before financial income and costs, gain/loss on derivatives, taxes, depreciation and amortization. Adjusted EBITDA is defined as EBITDA before impairment loss on vessels and restructuring costs. Adjusted EPU represents earnings per unit attributable to the Partnership, basic, before (a) non-cash gain/loss on derivatives that includes unrealized gain/loss on derivatives held for trading, (b) write-off and accelerated amortization of unamortized deferred loan issuance costs, (c) impairment loss on vessels and (d) restructuring costs. EBITDA, Adjusted EBITDA and Adjusted EPU, which are non-GAAP financial measures, are used as supplemental financial measures by management and external users of financial statements, such as investors, to assess our financial and operating performance. The Partnership believes that these non-GAAP financial measures assist our management and investors by increasing the comparability of our performance from period to period. The Partnership believes that including EBITDA, Adjusted EBITDA and Adjusted EPU assist our management and investors in (i) understanding and analyzing the results of our operating and business performance, (ii) selecting between investing in us and other investment alternatives and (iii) monitoring our ongoing financial and operational strength in assessing whether to purchase and/or to continue to hold our common units. This increased comparability is achieved by excluding the potentially disparate effects between periods of, in the case of EBITDA and Adjusted EBITDA, financial costs, gain/loss on derivatives, taxes, depreciation and amortization; in the case of Adjusted EBITDA, impairment loss on vessels and restructuring costs and, in the case of Adjusted EPU, non-cash gain/loss on derivatives, write-off and accelerated amortization of unamortized deferred loan issuance costs, impairment loss on vessels and restructuring costs, which items are affected by various and possibly changing financing methods, financial market conditions, general shipping market conditions, capital structure and historical cost basis and which items may significantly affect results of operations between periods. In the year ended December 31, 2020, restructuring costs have been excluded from Adjusted EBITDA and Adjusted EPU because restructuring costs represent charges reflecting specific actions taken by management to improve the Partnership's future profitability and therefore are not considered representative of the underlying operations of the Partnership. In the years ended December 31, 2020 and 2019, impairment loss has been excluded from Adjusted EBITDA and Adjusted EPU because impairment loss on vessels represents the excess of their carrying amount over the amount that is expected to be recovered from them in the future and therefore is not considered representative of the underlying operations of the Partnership. </w:t>
      </w:r>
    </w:p>
    <w:p>
      <w:pPr>
        <w:pStyle w:val="TextBody"/>
        <w:jc w:val="center"/>
        <w:rPr>
          <w:rFonts w:ascii="times" w:hAnsi="times"/>
          <w:sz w:val="20"/>
        </w:rPr>
      </w:pPr>
      <w:r>
        <w:rPr>
          <w:rFonts w:ascii="times" w:hAnsi="times"/>
          <w:sz w:val="20"/>
        </w:rPr>
        <w:t>S-18</w:t>
      </w:r>
    </w:p>
    <w:p>
      <w:pPr>
        <w:pStyle w:val="HorizontalLine"/>
        <w:pBdr>
          <w:bottom w:val="single" w:sz="20" w:space="0" w:color="808080"/>
        </w:pBdr>
        <w:rPr/>
      </w:pPr>
      <w:r>
        <w:rPr/>
      </w:r>
      <w:r>
        <w:br w:type="page"/>
      </w:r>
    </w:p>
    <w:p>
      <w:pPr>
        <w:pStyle w:val="TextBody"/>
        <w:rPr/>
      </w:pPr>
      <w:hyperlink w:anchor="bE43504A_main_toc">
        <w:bookmarkStart w:id="55" w:name="page_bo43504_1_19"/>
        <w:bookmarkEnd w:id="55"/>
        <w:r>
          <w:rPr>
            <w:rStyle w:val="InternetLink"/>
            <w:rFonts w:ascii="times" w:hAnsi="times"/>
            <w:sz w:val="20"/>
          </w:rPr>
          <w:t>Table of Contents</w:t>
        </w:r>
      </w:hyperlink>
      <w:r>
        <w:rPr>
          <w:rFonts w:ascii="times" w:hAnsi="times"/>
          <w:sz w:val="20"/>
        </w:rPr>
        <w:t xml:space="preserve"> </w:t>
      </w:r>
    </w:p>
    <w:p>
      <w:pPr>
        <w:pStyle w:val="TextBody"/>
        <w:rPr>
          <w:sz w:val="20"/>
        </w:rPr>
      </w:pPr>
      <w:r>
        <w:rPr>
          <w:sz w:val="20"/>
        </w:rPr>
      </w:r>
    </w:p>
    <w:p>
      <w:pPr>
        <w:pStyle w:val="TextBody"/>
        <w:rPr>
          <w:rFonts w:ascii="times" w:hAnsi="times"/>
          <w:sz w:val="20"/>
          <w:bdr w:val="single" w:sz="8" w:space="12" w:color="000000"/>
        </w:rPr>
      </w:pPr>
      <w:r>
        <w:rPr>
          <w:rFonts w:ascii="times" w:hAnsi="times"/>
          <w:sz w:val="20"/>
          <w:bdr w:val="single" w:sz="8" w:space="12" w:color="000000"/>
        </w:rPr>
        <w:t xml:space="preserve">EBITDA, Adjusted EBITDA and Adjusted EPU have limitations as analytical tools and should not be considered as alternatives to, or as substitutes for, or superior to profit, profit from operations, earnings per unit or any other measure of operating performance presented in accordance with IFRS. Some of these limitations include the fact that they do not reflect (i) our cash expenditures or future requirements for capital expenditures or contractual commitments, (ii) changes in, or cash requirements for, our working capital needs and (iii) the cash requirements necessary to service interest or principal payments on our debt. Although depreciation and amortization are non-cash charges, the assets being depreciated and amortized will often have to be replaced in the future and EBITDA and Adjusted EBITDA do not reflect any cash requirements for such replacements. </w:t>
      </w:r>
    </w:p>
    <w:p>
      <w:pPr>
        <w:pStyle w:val="TextBody"/>
        <w:rPr>
          <w:rFonts w:ascii="times" w:hAnsi="times"/>
          <w:sz w:val="20"/>
          <w:bdr w:val="single" w:sz="8" w:space="12" w:color="000000"/>
        </w:rPr>
      </w:pPr>
      <w:r>
        <w:rPr>
          <w:rFonts w:ascii="times" w:hAnsi="times"/>
          <w:sz w:val="20"/>
          <w:bdr w:val="single" w:sz="8" w:space="12" w:color="000000"/>
        </w:rPr>
        <w:t xml:space="preserve">EBITDA, Adjusted EBITDA and Adjusted EPU are not adjusted for all non-cash income or expense items that are reflected in our statement of cash flows and other companies in our industry may calculate these measures differently from how we calculate such figures, limiting their usefulness as comparative measures. EBITDA, Adjusted EBITDA and Adjusted EPU exclude some, but not all, items that affect profit or loss and these measures may vary among other companies. Therefore, EBITDA, Adjusted EBITDA and Adjusted EPU as presented herein may not be comparable to similarly titled measures of other companies. The following table reconciles EBITDA, Adjusted EBITDA and Adjusted EPU to Profit, the most directly comparable IFRS financial measure, for the periods presented. </w:t>
      </w:r>
    </w:p>
    <w:p>
      <w:pPr>
        <w:pStyle w:val="TextBody"/>
        <w:rPr>
          <w:rFonts w:ascii="times" w:hAnsi="times"/>
          <w:sz w:val="20"/>
          <w:bdr w:val="single" w:sz="8" w:space="12" w:color="000000"/>
        </w:rPr>
      </w:pPr>
      <w:r>
        <w:rPr>
          <w:rFonts w:ascii="times" w:hAnsi="times"/>
          <w:sz w:val="20"/>
          <w:bdr w:val="single" w:sz="8" w:space="12" w:color="000000"/>
        </w:rPr>
        <w:t xml:space="preserve">EBITDA and Adjusted EBITDA are presented on the basis of IFRS Common Control Reported Results and Partnership Performance Results. Partnership Performance Results are non-GAAP measures. The difference between IFRS Common Control Reported Results and Partnership Performance Results are results attributable to GasLog as set out in the reconciliation above. </w:t>
      </w:r>
    </w:p>
    <w:p>
      <w:pPr>
        <w:pStyle w:val="TextBody"/>
        <w:ind w:left="200" w:right="0" w:hanging="200"/>
        <w:rPr>
          <w:rFonts w:ascii="times" w:hAnsi="times"/>
          <w:b/>
          <w:sz w:val="20"/>
          <w:bdr w:val="single" w:sz="8" w:space="12" w:color="000000"/>
        </w:rPr>
      </w:pPr>
      <w:bookmarkStart w:id="56" w:name="toc_bo43504_1"/>
      <w:bookmarkStart w:id="57" w:name="bo43504_reconciliation_of_prof__bo402209"/>
      <w:bookmarkEnd w:id="56"/>
      <w:bookmarkEnd w:id="57"/>
      <w:r>
        <w:rPr>
          <w:rFonts w:ascii="times" w:hAnsi="times"/>
          <w:b/>
          <w:sz w:val="20"/>
          <w:bdr w:val="single" w:sz="8" w:space="12" w:color="000000"/>
        </w:rPr>
        <w:t xml:space="preserve">Reconciliation of Profit to EBITDA and Adjusted EBITDA: </w:t>
      </w:r>
    </w:p>
    <w:tbl>
      <w:tblPr>
        <w:tblW w:w="5000" w:type="pct"/>
        <w:jc w:val="center"/>
        <w:tblInd w:w="0" w:type="dxa"/>
        <w:tblCellMar>
          <w:top w:w="0" w:type="dxa"/>
          <w:left w:w="0" w:type="dxa"/>
          <w:bottom w:w="0" w:type="dxa"/>
          <w:right w:w="0" w:type="dxa"/>
        </w:tblCellMar>
      </w:tblPr>
      <w:tblGrid>
        <w:gridCol w:w="1760"/>
        <w:gridCol w:w="101"/>
        <w:gridCol w:w="105"/>
        <w:gridCol w:w="619"/>
        <w:gridCol w:w="100"/>
        <w:gridCol w:w="106"/>
        <w:gridCol w:w="618"/>
        <w:gridCol w:w="100"/>
        <w:gridCol w:w="106"/>
        <w:gridCol w:w="618"/>
        <w:gridCol w:w="101"/>
        <w:gridCol w:w="105"/>
        <w:gridCol w:w="619"/>
        <w:gridCol w:w="100"/>
        <w:gridCol w:w="106"/>
        <w:gridCol w:w="618"/>
        <w:gridCol w:w="100"/>
        <w:gridCol w:w="106"/>
        <w:gridCol w:w="619"/>
        <w:gridCol w:w="100"/>
        <w:gridCol w:w="105"/>
        <w:gridCol w:w="619"/>
        <w:gridCol w:w="100"/>
        <w:gridCol w:w="106"/>
        <w:gridCol w:w="618"/>
        <w:gridCol w:w="100"/>
        <w:gridCol w:w="106"/>
        <w:gridCol w:w="619"/>
        <w:gridCol w:w="100"/>
        <w:gridCol w:w="106"/>
        <w:gridCol w:w="618"/>
        <w:gridCol w:w="201"/>
      </w:tblGrid>
      <w:tr>
        <w:trPr/>
        <w:tc>
          <w:tcPr>
            <w:tcW w:w="1760" w:type="dxa"/>
            <w:tcBorders/>
            <w:shd w:fill="auto" w:val="clear"/>
            <w:vAlign w:val="center"/>
          </w:tcPr>
          <w:p>
            <w:pPr>
              <w:pStyle w:val="TableContents"/>
              <w:spacing w:before="0" w:after="283"/>
              <w:rPr>
                <w:sz w:val="4"/>
                <w:szCs w:val="4"/>
              </w:rPr>
            </w:pPr>
            <w:r>
              <w:rPr>
                <w:sz w:val="4"/>
                <w:szCs w:val="4"/>
              </w:rPr>
            </w:r>
          </w:p>
        </w:tc>
        <w:tc>
          <w:tcPr>
            <w:tcW w:w="101" w:type="dxa"/>
            <w:tcBorders/>
            <w:shd w:fill="auto" w:val="clear"/>
            <w:vAlign w:val="center"/>
          </w:tcPr>
          <w:p>
            <w:pPr>
              <w:pStyle w:val="TableContents"/>
              <w:spacing w:before="0" w:after="283"/>
              <w:rPr>
                <w:sz w:val="4"/>
                <w:szCs w:val="4"/>
              </w:rPr>
            </w:pPr>
            <w:r>
              <w:rPr>
                <w:sz w:val="4"/>
                <w:szCs w:val="4"/>
              </w:rPr>
            </w:r>
          </w:p>
        </w:tc>
        <w:tc>
          <w:tcPr>
            <w:tcW w:w="105" w:type="dxa"/>
            <w:tcBorders/>
            <w:shd w:fill="auto" w:val="clear"/>
            <w:vAlign w:val="center"/>
          </w:tcPr>
          <w:p>
            <w:pPr>
              <w:pStyle w:val="TableContents"/>
              <w:spacing w:before="0" w:after="283"/>
              <w:rPr>
                <w:sz w:val="4"/>
                <w:szCs w:val="4"/>
              </w:rPr>
            </w:pPr>
            <w:r>
              <w:rPr>
                <w:sz w:val="4"/>
                <w:szCs w:val="4"/>
              </w:rPr>
            </w:r>
          </w:p>
        </w:tc>
        <w:tc>
          <w:tcPr>
            <w:tcW w:w="619" w:type="dxa"/>
            <w:tcBorders/>
            <w:shd w:fill="auto" w:val="clear"/>
            <w:vAlign w:val="center"/>
          </w:tcPr>
          <w:p>
            <w:pPr>
              <w:pStyle w:val="TableContents"/>
              <w:spacing w:before="0" w:after="283"/>
              <w:rPr>
                <w:sz w:val="4"/>
                <w:szCs w:val="4"/>
              </w:rPr>
            </w:pPr>
            <w:r>
              <w:rPr>
                <w:sz w:val="4"/>
                <w:szCs w:val="4"/>
              </w:rPr>
            </w:r>
          </w:p>
        </w:tc>
        <w:tc>
          <w:tcPr>
            <w:tcW w:w="100" w:type="dxa"/>
            <w:tcBorders/>
            <w:shd w:fill="auto" w:val="clear"/>
            <w:vAlign w:val="center"/>
          </w:tcPr>
          <w:p>
            <w:pPr>
              <w:pStyle w:val="TableContents"/>
              <w:spacing w:before="0" w:after="283"/>
              <w:rPr>
                <w:sz w:val="4"/>
                <w:szCs w:val="4"/>
              </w:rPr>
            </w:pPr>
            <w:r>
              <w:rPr>
                <w:sz w:val="4"/>
                <w:szCs w:val="4"/>
              </w:rPr>
            </w:r>
          </w:p>
        </w:tc>
        <w:tc>
          <w:tcPr>
            <w:tcW w:w="106" w:type="dxa"/>
            <w:tcBorders/>
            <w:shd w:fill="auto" w:val="clear"/>
            <w:vAlign w:val="center"/>
          </w:tcPr>
          <w:p>
            <w:pPr>
              <w:pStyle w:val="TableContents"/>
              <w:spacing w:before="0" w:after="283"/>
              <w:rPr>
                <w:sz w:val="4"/>
                <w:szCs w:val="4"/>
              </w:rPr>
            </w:pPr>
            <w:r>
              <w:rPr>
                <w:sz w:val="4"/>
                <w:szCs w:val="4"/>
              </w:rPr>
            </w:r>
          </w:p>
        </w:tc>
        <w:tc>
          <w:tcPr>
            <w:tcW w:w="618" w:type="dxa"/>
            <w:tcBorders/>
            <w:shd w:fill="auto" w:val="clear"/>
            <w:vAlign w:val="center"/>
          </w:tcPr>
          <w:p>
            <w:pPr>
              <w:pStyle w:val="TableContents"/>
              <w:spacing w:before="0" w:after="283"/>
              <w:rPr>
                <w:sz w:val="4"/>
                <w:szCs w:val="4"/>
              </w:rPr>
            </w:pPr>
            <w:r>
              <w:rPr>
                <w:sz w:val="4"/>
                <w:szCs w:val="4"/>
              </w:rPr>
            </w:r>
          </w:p>
        </w:tc>
        <w:tc>
          <w:tcPr>
            <w:tcW w:w="100" w:type="dxa"/>
            <w:tcBorders/>
            <w:shd w:fill="auto" w:val="clear"/>
            <w:vAlign w:val="center"/>
          </w:tcPr>
          <w:p>
            <w:pPr>
              <w:pStyle w:val="TableContents"/>
              <w:spacing w:before="0" w:after="283"/>
              <w:rPr>
                <w:sz w:val="4"/>
                <w:szCs w:val="4"/>
              </w:rPr>
            </w:pPr>
            <w:r>
              <w:rPr>
                <w:sz w:val="4"/>
                <w:szCs w:val="4"/>
              </w:rPr>
            </w:r>
          </w:p>
        </w:tc>
        <w:tc>
          <w:tcPr>
            <w:tcW w:w="106" w:type="dxa"/>
            <w:tcBorders/>
            <w:shd w:fill="auto" w:val="clear"/>
            <w:vAlign w:val="center"/>
          </w:tcPr>
          <w:p>
            <w:pPr>
              <w:pStyle w:val="TableContents"/>
              <w:spacing w:before="0" w:after="283"/>
              <w:rPr>
                <w:sz w:val="4"/>
                <w:szCs w:val="4"/>
              </w:rPr>
            </w:pPr>
            <w:r>
              <w:rPr>
                <w:sz w:val="4"/>
                <w:szCs w:val="4"/>
              </w:rPr>
            </w:r>
          </w:p>
        </w:tc>
        <w:tc>
          <w:tcPr>
            <w:tcW w:w="618" w:type="dxa"/>
            <w:tcBorders/>
            <w:shd w:fill="auto" w:val="clear"/>
            <w:vAlign w:val="center"/>
          </w:tcPr>
          <w:p>
            <w:pPr>
              <w:pStyle w:val="TableContents"/>
              <w:spacing w:before="0" w:after="283"/>
              <w:rPr>
                <w:sz w:val="4"/>
                <w:szCs w:val="4"/>
              </w:rPr>
            </w:pPr>
            <w:r>
              <w:rPr>
                <w:sz w:val="4"/>
                <w:szCs w:val="4"/>
              </w:rPr>
            </w:r>
          </w:p>
        </w:tc>
        <w:tc>
          <w:tcPr>
            <w:tcW w:w="101" w:type="dxa"/>
            <w:tcBorders/>
            <w:shd w:fill="auto" w:val="clear"/>
            <w:vAlign w:val="center"/>
          </w:tcPr>
          <w:p>
            <w:pPr>
              <w:pStyle w:val="TableContents"/>
              <w:spacing w:before="0" w:after="283"/>
              <w:rPr>
                <w:sz w:val="4"/>
                <w:szCs w:val="4"/>
              </w:rPr>
            </w:pPr>
            <w:r>
              <w:rPr>
                <w:sz w:val="4"/>
                <w:szCs w:val="4"/>
              </w:rPr>
            </w:r>
          </w:p>
        </w:tc>
        <w:tc>
          <w:tcPr>
            <w:tcW w:w="105" w:type="dxa"/>
            <w:tcBorders/>
            <w:shd w:fill="auto" w:val="clear"/>
            <w:vAlign w:val="center"/>
          </w:tcPr>
          <w:p>
            <w:pPr>
              <w:pStyle w:val="TableContents"/>
              <w:spacing w:before="0" w:after="283"/>
              <w:rPr>
                <w:sz w:val="4"/>
                <w:szCs w:val="4"/>
              </w:rPr>
            </w:pPr>
            <w:r>
              <w:rPr>
                <w:sz w:val="4"/>
                <w:szCs w:val="4"/>
              </w:rPr>
            </w:r>
          </w:p>
        </w:tc>
        <w:tc>
          <w:tcPr>
            <w:tcW w:w="619" w:type="dxa"/>
            <w:tcBorders/>
            <w:shd w:fill="auto" w:val="clear"/>
            <w:vAlign w:val="center"/>
          </w:tcPr>
          <w:p>
            <w:pPr>
              <w:pStyle w:val="TableContents"/>
              <w:spacing w:before="0" w:after="283"/>
              <w:rPr>
                <w:sz w:val="4"/>
                <w:szCs w:val="4"/>
              </w:rPr>
            </w:pPr>
            <w:r>
              <w:rPr>
                <w:sz w:val="4"/>
                <w:szCs w:val="4"/>
              </w:rPr>
            </w:r>
          </w:p>
        </w:tc>
        <w:tc>
          <w:tcPr>
            <w:tcW w:w="100" w:type="dxa"/>
            <w:tcBorders/>
            <w:shd w:fill="auto" w:val="clear"/>
            <w:vAlign w:val="center"/>
          </w:tcPr>
          <w:p>
            <w:pPr>
              <w:pStyle w:val="TableContents"/>
              <w:spacing w:before="0" w:after="283"/>
              <w:rPr>
                <w:sz w:val="4"/>
                <w:szCs w:val="4"/>
              </w:rPr>
            </w:pPr>
            <w:r>
              <w:rPr>
                <w:sz w:val="4"/>
                <w:szCs w:val="4"/>
              </w:rPr>
            </w:r>
          </w:p>
        </w:tc>
        <w:tc>
          <w:tcPr>
            <w:tcW w:w="106" w:type="dxa"/>
            <w:tcBorders/>
            <w:shd w:fill="auto" w:val="clear"/>
            <w:vAlign w:val="center"/>
          </w:tcPr>
          <w:p>
            <w:pPr>
              <w:pStyle w:val="TableContents"/>
              <w:spacing w:before="0" w:after="283"/>
              <w:rPr>
                <w:sz w:val="4"/>
                <w:szCs w:val="4"/>
              </w:rPr>
            </w:pPr>
            <w:r>
              <w:rPr>
                <w:sz w:val="4"/>
                <w:szCs w:val="4"/>
              </w:rPr>
            </w:r>
          </w:p>
        </w:tc>
        <w:tc>
          <w:tcPr>
            <w:tcW w:w="618" w:type="dxa"/>
            <w:tcBorders/>
            <w:shd w:fill="auto" w:val="clear"/>
            <w:vAlign w:val="center"/>
          </w:tcPr>
          <w:p>
            <w:pPr>
              <w:pStyle w:val="TableContents"/>
              <w:spacing w:before="0" w:after="283"/>
              <w:rPr>
                <w:sz w:val="4"/>
                <w:szCs w:val="4"/>
              </w:rPr>
            </w:pPr>
            <w:r>
              <w:rPr>
                <w:sz w:val="4"/>
                <w:szCs w:val="4"/>
              </w:rPr>
            </w:r>
          </w:p>
        </w:tc>
        <w:tc>
          <w:tcPr>
            <w:tcW w:w="100" w:type="dxa"/>
            <w:tcBorders/>
            <w:shd w:fill="auto" w:val="clear"/>
            <w:vAlign w:val="center"/>
          </w:tcPr>
          <w:p>
            <w:pPr>
              <w:pStyle w:val="TableContents"/>
              <w:spacing w:before="0" w:after="283"/>
              <w:rPr>
                <w:sz w:val="4"/>
                <w:szCs w:val="4"/>
              </w:rPr>
            </w:pPr>
            <w:r>
              <w:rPr>
                <w:sz w:val="4"/>
                <w:szCs w:val="4"/>
              </w:rPr>
            </w:r>
          </w:p>
        </w:tc>
        <w:tc>
          <w:tcPr>
            <w:tcW w:w="106" w:type="dxa"/>
            <w:tcBorders/>
            <w:shd w:fill="auto" w:val="clear"/>
            <w:vAlign w:val="center"/>
          </w:tcPr>
          <w:p>
            <w:pPr>
              <w:pStyle w:val="TableContents"/>
              <w:spacing w:before="0" w:after="283"/>
              <w:rPr>
                <w:sz w:val="4"/>
                <w:szCs w:val="4"/>
              </w:rPr>
            </w:pPr>
            <w:r>
              <w:rPr>
                <w:sz w:val="4"/>
                <w:szCs w:val="4"/>
              </w:rPr>
            </w:r>
          </w:p>
        </w:tc>
        <w:tc>
          <w:tcPr>
            <w:tcW w:w="619" w:type="dxa"/>
            <w:tcBorders/>
            <w:shd w:fill="auto" w:val="clear"/>
            <w:vAlign w:val="center"/>
          </w:tcPr>
          <w:p>
            <w:pPr>
              <w:pStyle w:val="TableContents"/>
              <w:spacing w:before="0" w:after="283"/>
              <w:rPr>
                <w:sz w:val="4"/>
                <w:szCs w:val="4"/>
              </w:rPr>
            </w:pPr>
            <w:r>
              <w:rPr>
                <w:sz w:val="4"/>
                <w:szCs w:val="4"/>
              </w:rPr>
            </w:r>
          </w:p>
        </w:tc>
        <w:tc>
          <w:tcPr>
            <w:tcW w:w="100" w:type="dxa"/>
            <w:tcBorders/>
            <w:shd w:fill="auto" w:val="clear"/>
            <w:vAlign w:val="center"/>
          </w:tcPr>
          <w:p>
            <w:pPr>
              <w:pStyle w:val="TableContents"/>
              <w:spacing w:before="0" w:after="283"/>
              <w:rPr>
                <w:sz w:val="4"/>
                <w:szCs w:val="4"/>
              </w:rPr>
            </w:pPr>
            <w:r>
              <w:rPr>
                <w:sz w:val="4"/>
                <w:szCs w:val="4"/>
              </w:rPr>
            </w:r>
          </w:p>
        </w:tc>
        <w:tc>
          <w:tcPr>
            <w:tcW w:w="105" w:type="dxa"/>
            <w:tcBorders/>
            <w:shd w:fill="auto" w:val="clear"/>
            <w:vAlign w:val="center"/>
          </w:tcPr>
          <w:p>
            <w:pPr>
              <w:pStyle w:val="TableContents"/>
              <w:spacing w:before="0" w:after="283"/>
              <w:rPr>
                <w:sz w:val="4"/>
                <w:szCs w:val="4"/>
              </w:rPr>
            </w:pPr>
            <w:r>
              <w:rPr>
                <w:sz w:val="4"/>
                <w:szCs w:val="4"/>
              </w:rPr>
            </w:r>
          </w:p>
        </w:tc>
        <w:tc>
          <w:tcPr>
            <w:tcW w:w="619" w:type="dxa"/>
            <w:tcBorders/>
            <w:shd w:fill="auto" w:val="clear"/>
            <w:vAlign w:val="center"/>
          </w:tcPr>
          <w:p>
            <w:pPr>
              <w:pStyle w:val="TableContents"/>
              <w:spacing w:before="0" w:after="283"/>
              <w:rPr>
                <w:sz w:val="4"/>
                <w:szCs w:val="4"/>
              </w:rPr>
            </w:pPr>
            <w:r>
              <w:rPr>
                <w:sz w:val="4"/>
                <w:szCs w:val="4"/>
              </w:rPr>
            </w:r>
          </w:p>
        </w:tc>
        <w:tc>
          <w:tcPr>
            <w:tcW w:w="100" w:type="dxa"/>
            <w:tcBorders/>
            <w:shd w:fill="auto" w:val="clear"/>
            <w:vAlign w:val="center"/>
          </w:tcPr>
          <w:p>
            <w:pPr>
              <w:pStyle w:val="TableContents"/>
              <w:spacing w:before="0" w:after="283"/>
              <w:rPr>
                <w:sz w:val="4"/>
                <w:szCs w:val="4"/>
              </w:rPr>
            </w:pPr>
            <w:r>
              <w:rPr>
                <w:sz w:val="4"/>
                <w:szCs w:val="4"/>
              </w:rPr>
            </w:r>
          </w:p>
        </w:tc>
        <w:tc>
          <w:tcPr>
            <w:tcW w:w="106" w:type="dxa"/>
            <w:tcBorders/>
            <w:shd w:fill="auto" w:val="clear"/>
            <w:vAlign w:val="center"/>
          </w:tcPr>
          <w:p>
            <w:pPr>
              <w:pStyle w:val="TableContents"/>
              <w:spacing w:before="0" w:after="283"/>
              <w:rPr>
                <w:sz w:val="4"/>
                <w:szCs w:val="4"/>
              </w:rPr>
            </w:pPr>
            <w:r>
              <w:rPr>
                <w:sz w:val="4"/>
                <w:szCs w:val="4"/>
              </w:rPr>
            </w:r>
          </w:p>
        </w:tc>
        <w:tc>
          <w:tcPr>
            <w:tcW w:w="618" w:type="dxa"/>
            <w:tcBorders/>
            <w:shd w:fill="auto" w:val="clear"/>
            <w:vAlign w:val="center"/>
          </w:tcPr>
          <w:p>
            <w:pPr>
              <w:pStyle w:val="TableContents"/>
              <w:spacing w:before="0" w:after="283"/>
              <w:rPr>
                <w:sz w:val="4"/>
                <w:szCs w:val="4"/>
              </w:rPr>
            </w:pPr>
            <w:r>
              <w:rPr>
                <w:sz w:val="4"/>
                <w:szCs w:val="4"/>
              </w:rPr>
            </w:r>
          </w:p>
        </w:tc>
        <w:tc>
          <w:tcPr>
            <w:tcW w:w="100" w:type="dxa"/>
            <w:tcBorders/>
            <w:shd w:fill="auto" w:val="clear"/>
            <w:vAlign w:val="center"/>
          </w:tcPr>
          <w:p>
            <w:pPr>
              <w:pStyle w:val="TableContents"/>
              <w:spacing w:before="0" w:after="283"/>
              <w:rPr>
                <w:sz w:val="4"/>
                <w:szCs w:val="4"/>
              </w:rPr>
            </w:pPr>
            <w:r>
              <w:rPr>
                <w:sz w:val="4"/>
                <w:szCs w:val="4"/>
              </w:rPr>
            </w:r>
          </w:p>
        </w:tc>
        <w:tc>
          <w:tcPr>
            <w:tcW w:w="106" w:type="dxa"/>
            <w:tcBorders/>
            <w:shd w:fill="auto" w:val="clear"/>
            <w:vAlign w:val="center"/>
          </w:tcPr>
          <w:p>
            <w:pPr>
              <w:pStyle w:val="TableContents"/>
              <w:spacing w:before="0" w:after="283"/>
              <w:rPr>
                <w:sz w:val="4"/>
                <w:szCs w:val="4"/>
              </w:rPr>
            </w:pPr>
            <w:r>
              <w:rPr>
                <w:sz w:val="4"/>
                <w:szCs w:val="4"/>
              </w:rPr>
            </w:r>
          </w:p>
        </w:tc>
        <w:tc>
          <w:tcPr>
            <w:tcW w:w="619" w:type="dxa"/>
            <w:tcBorders/>
            <w:shd w:fill="auto" w:val="clear"/>
            <w:vAlign w:val="center"/>
          </w:tcPr>
          <w:p>
            <w:pPr>
              <w:pStyle w:val="TableContents"/>
              <w:spacing w:before="0" w:after="283"/>
              <w:rPr>
                <w:sz w:val="4"/>
                <w:szCs w:val="4"/>
              </w:rPr>
            </w:pPr>
            <w:r>
              <w:rPr>
                <w:sz w:val="4"/>
                <w:szCs w:val="4"/>
              </w:rPr>
            </w:r>
          </w:p>
        </w:tc>
        <w:tc>
          <w:tcPr>
            <w:tcW w:w="100" w:type="dxa"/>
            <w:tcBorders/>
            <w:shd w:fill="auto" w:val="clear"/>
            <w:vAlign w:val="center"/>
          </w:tcPr>
          <w:p>
            <w:pPr>
              <w:pStyle w:val="TableContents"/>
              <w:spacing w:before="0" w:after="283"/>
              <w:rPr>
                <w:sz w:val="4"/>
                <w:szCs w:val="4"/>
              </w:rPr>
            </w:pPr>
            <w:r>
              <w:rPr>
                <w:sz w:val="4"/>
                <w:szCs w:val="4"/>
              </w:rPr>
            </w:r>
          </w:p>
        </w:tc>
        <w:tc>
          <w:tcPr>
            <w:tcW w:w="106" w:type="dxa"/>
            <w:tcBorders/>
            <w:shd w:fill="auto" w:val="clear"/>
            <w:vAlign w:val="center"/>
          </w:tcPr>
          <w:p>
            <w:pPr>
              <w:pStyle w:val="TableContents"/>
              <w:spacing w:before="0" w:after="283"/>
              <w:rPr>
                <w:sz w:val="4"/>
                <w:szCs w:val="4"/>
              </w:rPr>
            </w:pPr>
            <w:r>
              <w:rPr>
                <w:sz w:val="4"/>
                <w:szCs w:val="4"/>
              </w:rPr>
            </w:r>
          </w:p>
        </w:tc>
        <w:tc>
          <w:tcPr>
            <w:tcW w:w="618" w:type="dxa"/>
            <w:tcBorders/>
            <w:shd w:fill="auto" w:val="clear"/>
            <w:vAlign w:val="center"/>
          </w:tcPr>
          <w:p>
            <w:pPr>
              <w:pStyle w:val="TableContents"/>
              <w:spacing w:before="0" w:after="283"/>
              <w:rPr>
                <w:sz w:val="4"/>
                <w:szCs w:val="4"/>
              </w:rPr>
            </w:pPr>
            <w:r>
              <w:rPr>
                <w:sz w:val="4"/>
                <w:szCs w:val="4"/>
              </w:rPr>
            </w:r>
          </w:p>
        </w:tc>
        <w:tc>
          <w:tcPr>
            <w:tcW w:w="201" w:type="dxa"/>
            <w:tcBorders/>
            <w:shd w:fill="auto" w:val="clear"/>
            <w:vAlign w:val="center"/>
          </w:tcPr>
          <w:p>
            <w:pPr>
              <w:pStyle w:val="TableContents"/>
              <w:spacing w:before="0" w:after="283"/>
              <w:rPr>
                <w:sz w:val="4"/>
                <w:szCs w:val="4"/>
              </w:rPr>
            </w:pPr>
            <w:r>
              <w:rPr>
                <w:sz w:val="4"/>
                <w:szCs w:val="4"/>
              </w:rPr>
            </w:r>
          </w:p>
        </w:tc>
      </w:tr>
      <w:tr>
        <w:trPr/>
        <w:tc>
          <w:tcPr>
            <w:tcW w:w="1760" w:type="dxa"/>
            <w:tcBorders/>
            <w:shd w:fill="auto" w:val="clear"/>
            <w:vAlign w:val="bottom"/>
          </w:tcPr>
          <w:p>
            <w:pPr>
              <w:pStyle w:val="TableHeading"/>
              <w:spacing w:before="0" w:after="283"/>
              <w:jc w:val="left"/>
              <w:rPr/>
            </w:pPr>
            <w:r>
              <w:rPr/>
              <w:t> </w:t>
            </w:r>
          </w:p>
        </w:tc>
        <w:tc>
          <w:tcPr>
            <w:tcW w:w="101" w:type="dxa"/>
            <w:tcBorders/>
            <w:shd w:fill="auto" w:val="clear"/>
            <w:vAlign w:val="bottom"/>
          </w:tcPr>
          <w:p>
            <w:pPr>
              <w:pStyle w:val="TableHeading"/>
              <w:suppressLineNumbers/>
              <w:spacing w:before="0" w:after="283"/>
              <w:jc w:val="center"/>
              <w:rPr/>
            </w:pPr>
            <w:r>
              <w:rPr/>
              <w:t> </w:t>
            </w:r>
          </w:p>
        </w:tc>
        <w:tc>
          <w:tcPr>
            <w:tcW w:w="4021" w:type="dxa"/>
            <w:gridSpan w:val="14"/>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IFRS Common Control Reported Results</w:t>
              <w:br/>
              <w:t xml:space="preserve">Year ended December 31, </w:t>
            </w:r>
          </w:p>
        </w:tc>
        <w:tc>
          <w:tcPr>
            <w:tcW w:w="100" w:type="dxa"/>
            <w:tcBorders/>
            <w:shd w:fill="auto" w:val="clear"/>
            <w:vAlign w:val="bottom"/>
          </w:tcPr>
          <w:p>
            <w:pPr>
              <w:pStyle w:val="TableHeading"/>
              <w:suppressLineNumbers/>
              <w:spacing w:before="0" w:after="283"/>
              <w:jc w:val="center"/>
              <w:rPr/>
            </w:pPr>
            <w:r>
              <w:rPr/>
              <w:t> </w:t>
            </w:r>
          </w:p>
        </w:tc>
        <w:tc>
          <w:tcPr>
            <w:tcW w:w="4022" w:type="dxa"/>
            <w:gridSpan w:val="14"/>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Partnership Performance Results</w:t>
              <w:br/>
              <w:t xml:space="preserve">Year ended December 31, </w:t>
            </w:r>
          </w:p>
        </w:tc>
        <w:tc>
          <w:tcPr>
            <w:tcW w:w="201" w:type="dxa"/>
            <w:tcBorders/>
            <w:shd w:fill="auto" w:val="clear"/>
            <w:vAlign w:val="bottom"/>
          </w:tcPr>
          <w:p>
            <w:pPr>
              <w:pStyle w:val="TableHeading"/>
              <w:suppressLineNumbers/>
              <w:spacing w:before="0" w:after="283"/>
              <w:jc w:val="center"/>
              <w:rPr/>
            </w:pPr>
            <w:r>
              <w:rPr/>
              <w:t> </w:t>
            </w:r>
          </w:p>
        </w:tc>
      </w:tr>
      <w:tr>
        <w:trPr/>
        <w:tc>
          <w:tcPr>
            <w:tcW w:w="1760" w:type="dxa"/>
            <w:tcBorders/>
            <w:shd w:fill="auto" w:val="clear"/>
            <w:vAlign w:val="bottom"/>
          </w:tcPr>
          <w:p>
            <w:pPr>
              <w:pStyle w:val="TableHeading"/>
              <w:spacing w:before="0" w:after="283"/>
              <w:jc w:val="left"/>
              <w:rPr/>
            </w:pPr>
            <w:r>
              <w:rPr/>
              <w:t> </w:t>
            </w:r>
          </w:p>
        </w:tc>
        <w:tc>
          <w:tcPr>
            <w:tcW w:w="101" w:type="dxa"/>
            <w:tcBorders/>
            <w:shd w:fill="auto" w:val="clear"/>
            <w:vAlign w:val="bottom"/>
          </w:tcPr>
          <w:p>
            <w:pPr>
              <w:pStyle w:val="TableHeading"/>
              <w:suppressLineNumbers/>
              <w:spacing w:before="0" w:after="283"/>
              <w:jc w:val="center"/>
              <w:rPr/>
            </w:pPr>
            <w:r>
              <w:rPr/>
              <w:t> </w:t>
            </w:r>
          </w:p>
        </w:tc>
        <w:tc>
          <w:tcPr>
            <w:tcW w:w="724" w:type="dxa"/>
            <w:gridSpan w:val="2"/>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2016 </w:t>
            </w:r>
          </w:p>
        </w:tc>
        <w:tc>
          <w:tcPr>
            <w:tcW w:w="100" w:type="dxa"/>
            <w:tcBorders/>
            <w:shd w:fill="auto" w:val="clear"/>
            <w:vAlign w:val="bottom"/>
          </w:tcPr>
          <w:p>
            <w:pPr>
              <w:pStyle w:val="TableHeading"/>
              <w:suppressLineNumbers/>
              <w:spacing w:before="0" w:after="283"/>
              <w:jc w:val="center"/>
              <w:rPr/>
            </w:pPr>
            <w:r>
              <w:rPr/>
              <w:t> </w:t>
            </w:r>
          </w:p>
        </w:tc>
        <w:tc>
          <w:tcPr>
            <w:tcW w:w="724" w:type="dxa"/>
            <w:gridSpan w:val="2"/>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2017 </w:t>
            </w:r>
          </w:p>
        </w:tc>
        <w:tc>
          <w:tcPr>
            <w:tcW w:w="100" w:type="dxa"/>
            <w:tcBorders/>
            <w:shd w:fill="auto" w:val="clear"/>
            <w:vAlign w:val="bottom"/>
          </w:tcPr>
          <w:p>
            <w:pPr>
              <w:pStyle w:val="TableHeading"/>
              <w:suppressLineNumbers/>
              <w:spacing w:before="0" w:after="283"/>
              <w:jc w:val="center"/>
              <w:rPr/>
            </w:pPr>
            <w:r>
              <w:rPr/>
              <w:t> </w:t>
            </w:r>
          </w:p>
        </w:tc>
        <w:tc>
          <w:tcPr>
            <w:tcW w:w="724" w:type="dxa"/>
            <w:gridSpan w:val="2"/>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2018 </w:t>
            </w:r>
          </w:p>
        </w:tc>
        <w:tc>
          <w:tcPr>
            <w:tcW w:w="101" w:type="dxa"/>
            <w:tcBorders/>
            <w:shd w:fill="auto" w:val="clear"/>
            <w:vAlign w:val="bottom"/>
          </w:tcPr>
          <w:p>
            <w:pPr>
              <w:pStyle w:val="TableHeading"/>
              <w:suppressLineNumbers/>
              <w:spacing w:before="0" w:after="283"/>
              <w:jc w:val="center"/>
              <w:rPr/>
            </w:pPr>
            <w:r>
              <w:rPr/>
              <w:t> </w:t>
            </w:r>
          </w:p>
        </w:tc>
        <w:tc>
          <w:tcPr>
            <w:tcW w:w="724" w:type="dxa"/>
            <w:gridSpan w:val="2"/>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2019 </w:t>
            </w:r>
          </w:p>
        </w:tc>
        <w:tc>
          <w:tcPr>
            <w:tcW w:w="100" w:type="dxa"/>
            <w:tcBorders/>
            <w:shd w:fill="auto" w:val="clear"/>
            <w:vAlign w:val="bottom"/>
          </w:tcPr>
          <w:p>
            <w:pPr>
              <w:pStyle w:val="TableHeading"/>
              <w:suppressLineNumbers/>
              <w:spacing w:before="0" w:after="283"/>
              <w:jc w:val="center"/>
              <w:rPr/>
            </w:pPr>
            <w:r>
              <w:rPr/>
              <w:t> </w:t>
            </w:r>
          </w:p>
        </w:tc>
        <w:tc>
          <w:tcPr>
            <w:tcW w:w="724" w:type="dxa"/>
            <w:gridSpan w:val="2"/>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2020 </w:t>
            </w:r>
          </w:p>
        </w:tc>
        <w:tc>
          <w:tcPr>
            <w:tcW w:w="100" w:type="dxa"/>
            <w:tcBorders/>
            <w:shd w:fill="auto" w:val="clear"/>
            <w:vAlign w:val="bottom"/>
          </w:tcPr>
          <w:p>
            <w:pPr>
              <w:pStyle w:val="TableHeading"/>
              <w:suppressLineNumbers/>
              <w:spacing w:before="0" w:after="283"/>
              <w:jc w:val="center"/>
              <w:rPr/>
            </w:pPr>
            <w:r>
              <w:rPr/>
              <w:t> </w:t>
            </w:r>
          </w:p>
        </w:tc>
        <w:tc>
          <w:tcPr>
            <w:tcW w:w="725" w:type="dxa"/>
            <w:gridSpan w:val="2"/>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2016 </w:t>
            </w:r>
          </w:p>
        </w:tc>
        <w:tc>
          <w:tcPr>
            <w:tcW w:w="100" w:type="dxa"/>
            <w:tcBorders/>
            <w:shd w:fill="auto" w:val="clear"/>
            <w:vAlign w:val="bottom"/>
          </w:tcPr>
          <w:p>
            <w:pPr>
              <w:pStyle w:val="TableHeading"/>
              <w:suppressLineNumbers/>
              <w:spacing w:before="0" w:after="283"/>
              <w:jc w:val="center"/>
              <w:rPr/>
            </w:pPr>
            <w:r>
              <w:rPr/>
              <w:t> </w:t>
            </w:r>
          </w:p>
        </w:tc>
        <w:tc>
          <w:tcPr>
            <w:tcW w:w="724" w:type="dxa"/>
            <w:gridSpan w:val="2"/>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2017 </w:t>
            </w:r>
          </w:p>
        </w:tc>
        <w:tc>
          <w:tcPr>
            <w:tcW w:w="100" w:type="dxa"/>
            <w:tcBorders/>
            <w:shd w:fill="auto" w:val="clear"/>
            <w:vAlign w:val="bottom"/>
          </w:tcPr>
          <w:p>
            <w:pPr>
              <w:pStyle w:val="TableHeading"/>
              <w:suppressLineNumbers/>
              <w:spacing w:before="0" w:after="283"/>
              <w:jc w:val="center"/>
              <w:rPr/>
            </w:pPr>
            <w:r>
              <w:rPr/>
              <w:t> </w:t>
            </w:r>
          </w:p>
        </w:tc>
        <w:tc>
          <w:tcPr>
            <w:tcW w:w="724" w:type="dxa"/>
            <w:gridSpan w:val="2"/>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2018 </w:t>
            </w:r>
          </w:p>
        </w:tc>
        <w:tc>
          <w:tcPr>
            <w:tcW w:w="100" w:type="dxa"/>
            <w:tcBorders/>
            <w:shd w:fill="auto" w:val="clear"/>
            <w:vAlign w:val="bottom"/>
          </w:tcPr>
          <w:p>
            <w:pPr>
              <w:pStyle w:val="TableHeading"/>
              <w:suppressLineNumbers/>
              <w:spacing w:before="0" w:after="283"/>
              <w:jc w:val="center"/>
              <w:rPr/>
            </w:pPr>
            <w:r>
              <w:rPr/>
              <w:t> </w:t>
            </w:r>
          </w:p>
        </w:tc>
        <w:tc>
          <w:tcPr>
            <w:tcW w:w="725" w:type="dxa"/>
            <w:gridSpan w:val="2"/>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2019 </w:t>
            </w:r>
          </w:p>
        </w:tc>
        <w:tc>
          <w:tcPr>
            <w:tcW w:w="100" w:type="dxa"/>
            <w:tcBorders/>
            <w:shd w:fill="auto" w:val="clear"/>
            <w:vAlign w:val="bottom"/>
          </w:tcPr>
          <w:p>
            <w:pPr>
              <w:pStyle w:val="TableHeading"/>
              <w:suppressLineNumbers/>
              <w:spacing w:before="0" w:after="283"/>
              <w:jc w:val="center"/>
              <w:rPr/>
            </w:pPr>
            <w:r>
              <w:rPr/>
              <w:t> </w:t>
            </w:r>
          </w:p>
        </w:tc>
        <w:tc>
          <w:tcPr>
            <w:tcW w:w="724" w:type="dxa"/>
            <w:gridSpan w:val="2"/>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2020 </w:t>
            </w:r>
          </w:p>
        </w:tc>
        <w:tc>
          <w:tcPr>
            <w:tcW w:w="201" w:type="dxa"/>
            <w:tcBorders/>
            <w:shd w:fill="auto" w:val="clear"/>
            <w:vAlign w:val="bottom"/>
          </w:tcPr>
          <w:p>
            <w:pPr>
              <w:pStyle w:val="TableHeading"/>
              <w:suppressLineNumbers/>
              <w:spacing w:before="0" w:after="283"/>
              <w:jc w:val="center"/>
              <w:rPr/>
            </w:pPr>
            <w:r>
              <w:rPr/>
              <w:t> </w:t>
            </w:r>
          </w:p>
        </w:tc>
      </w:tr>
      <w:tr>
        <w:trPr/>
        <w:tc>
          <w:tcPr>
            <w:tcW w:w="1760" w:type="dxa"/>
            <w:tcBorders/>
            <w:shd w:fill="auto" w:val="clear"/>
            <w:vAlign w:val="bottom"/>
          </w:tcPr>
          <w:p>
            <w:pPr>
              <w:pStyle w:val="TableHeading"/>
              <w:spacing w:before="0" w:after="283"/>
              <w:jc w:val="left"/>
              <w:rPr/>
            </w:pPr>
            <w:r>
              <w:rPr/>
              <w:t> </w:t>
            </w:r>
          </w:p>
        </w:tc>
        <w:tc>
          <w:tcPr>
            <w:tcW w:w="101" w:type="dxa"/>
            <w:tcBorders/>
            <w:shd w:fill="auto" w:val="clear"/>
            <w:vAlign w:val="bottom"/>
          </w:tcPr>
          <w:p>
            <w:pPr>
              <w:pStyle w:val="TableHeading"/>
              <w:suppressLineNumbers/>
              <w:spacing w:before="0" w:after="283"/>
              <w:jc w:val="center"/>
              <w:rPr/>
            </w:pPr>
            <w:r>
              <w:rPr/>
              <w:t> </w:t>
            </w:r>
          </w:p>
        </w:tc>
        <w:tc>
          <w:tcPr>
            <w:tcW w:w="724" w:type="dxa"/>
            <w:gridSpan w:val="2"/>
            <w:tcBorders/>
            <w:shd w:fill="auto" w:val="clear"/>
            <w:vAlign w:val="bottom"/>
          </w:tcPr>
          <w:p>
            <w:pPr>
              <w:pStyle w:val="TableHeading"/>
              <w:spacing w:before="0" w:after="283"/>
              <w:jc w:val="left"/>
              <w:rPr/>
            </w:pPr>
            <w:r>
              <w:rPr/>
              <w:t> </w:t>
            </w:r>
          </w:p>
        </w:tc>
        <w:tc>
          <w:tcPr>
            <w:tcW w:w="100" w:type="dxa"/>
            <w:tcBorders/>
            <w:shd w:fill="auto" w:val="clear"/>
            <w:vAlign w:val="bottom"/>
          </w:tcPr>
          <w:p>
            <w:pPr>
              <w:pStyle w:val="TableHeading"/>
              <w:suppressLineNumbers/>
              <w:spacing w:before="0" w:after="283"/>
              <w:jc w:val="center"/>
              <w:rPr/>
            </w:pPr>
            <w:r>
              <w:rPr/>
              <w:t> </w:t>
            </w:r>
          </w:p>
        </w:tc>
        <w:tc>
          <w:tcPr>
            <w:tcW w:w="724" w:type="dxa"/>
            <w:gridSpan w:val="2"/>
            <w:tcBorders/>
            <w:shd w:fill="auto" w:val="clear"/>
            <w:vAlign w:val="bottom"/>
          </w:tcPr>
          <w:p>
            <w:pPr>
              <w:pStyle w:val="TableHeading"/>
              <w:spacing w:before="0" w:after="283"/>
              <w:jc w:val="left"/>
              <w:rPr/>
            </w:pPr>
            <w:r>
              <w:rPr/>
              <w:t> </w:t>
            </w:r>
          </w:p>
        </w:tc>
        <w:tc>
          <w:tcPr>
            <w:tcW w:w="100" w:type="dxa"/>
            <w:tcBorders/>
            <w:shd w:fill="auto" w:val="clear"/>
            <w:vAlign w:val="bottom"/>
          </w:tcPr>
          <w:p>
            <w:pPr>
              <w:pStyle w:val="TableHeading"/>
              <w:suppressLineNumbers/>
              <w:spacing w:before="0" w:after="283"/>
              <w:jc w:val="center"/>
              <w:rPr/>
            </w:pPr>
            <w:r>
              <w:rPr/>
              <w:t> </w:t>
            </w:r>
          </w:p>
        </w:tc>
        <w:tc>
          <w:tcPr>
            <w:tcW w:w="724" w:type="dxa"/>
            <w:gridSpan w:val="2"/>
            <w:tcBorders/>
            <w:shd w:fill="auto" w:val="clear"/>
            <w:vAlign w:val="bottom"/>
          </w:tcPr>
          <w:p>
            <w:pPr>
              <w:pStyle w:val="TableHeading"/>
              <w:spacing w:before="0" w:after="283"/>
              <w:jc w:val="left"/>
              <w:rPr/>
            </w:pPr>
            <w:r>
              <w:rPr/>
              <w:t> </w:t>
            </w:r>
          </w:p>
        </w:tc>
        <w:tc>
          <w:tcPr>
            <w:tcW w:w="101" w:type="dxa"/>
            <w:tcBorders/>
            <w:shd w:fill="auto" w:val="clear"/>
            <w:vAlign w:val="bottom"/>
          </w:tcPr>
          <w:p>
            <w:pPr>
              <w:pStyle w:val="TableHeading"/>
              <w:suppressLineNumbers/>
              <w:spacing w:before="0" w:after="283"/>
              <w:jc w:val="center"/>
              <w:rPr/>
            </w:pPr>
            <w:r>
              <w:rPr/>
              <w:t> </w:t>
            </w:r>
          </w:p>
        </w:tc>
        <w:tc>
          <w:tcPr>
            <w:tcW w:w="2373" w:type="dxa"/>
            <w:gridSpan w:val="8"/>
            <w:tcBorders/>
            <w:shd w:fill="auto" w:val="clear"/>
            <w:vAlign w:val="bottom"/>
          </w:tcPr>
          <w:p>
            <w:pPr>
              <w:pStyle w:val="TableHeading"/>
              <w:spacing w:before="0" w:after="283"/>
              <w:jc w:val="center"/>
              <w:rPr>
                <w:rFonts w:ascii="times" w:hAnsi="times"/>
                <w:b/>
                <w:sz w:val="14"/>
              </w:rPr>
            </w:pPr>
            <w:r>
              <w:rPr>
                <w:rFonts w:ascii="times" w:hAnsi="times"/>
                <w:b/>
                <w:sz w:val="14"/>
              </w:rPr>
              <w:t>(in thousands of U.S. dollars)</w:t>
            </w:r>
          </w:p>
        </w:tc>
        <w:tc>
          <w:tcPr>
            <w:tcW w:w="100" w:type="dxa"/>
            <w:tcBorders/>
            <w:shd w:fill="auto" w:val="clear"/>
            <w:vAlign w:val="bottom"/>
          </w:tcPr>
          <w:p>
            <w:pPr>
              <w:pStyle w:val="TableHeading"/>
              <w:suppressLineNumbers/>
              <w:spacing w:before="0" w:after="283"/>
              <w:jc w:val="center"/>
              <w:rPr/>
            </w:pPr>
            <w:r>
              <w:rPr/>
              <w:t> </w:t>
            </w:r>
          </w:p>
        </w:tc>
        <w:tc>
          <w:tcPr>
            <w:tcW w:w="724" w:type="dxa"/>
            <w:gridSpan w:val="2"/>
            <w:tcBorders/>
            <w:shd w:fill="auto" w:val="clear"/>
            <w:vAlign w:val="bottom"/>
          </w:tcPr>
          <w:p>
            <w:pPr>
              <w:pStyle w:val="TableHeading"/>
              <w:spacing w:before="0" w:after="283"/>
              <w:jc w:val="left"/>
              <w:rPr/>
            </w:pPr>
            <w:r>
              <w:rPr/>
              <w:t> </w:t>
            </w:r>
          </w:p>
        </w:tc>
        <w:tc>
          <w:tcPr>
            <w:tcW w:w="100" w:type="dxa"/>
            <w:tcBorders/>
            <w:shd w:fill="auto" w:val="clear"/>
            <w:vAlign w:val="bottom"/>
          </w:tcPr>
          <w:p>
            <w:pPr>
              <w:pStyle w:val="TableHeading"/>
              <w:suppressLineNumbers/>
              <w:spacing w:before="0" w:after="283"/>
              <w:jc w:val="center"/>
              <w:rPr/>
            </w:pPr>
            <w:r>
              <w:rPr/>
              <w:t> </w:t>
            </w:r>
          </w:p>
        </w:tc>
        <w:tc>
          <w:tcPr>
            <w:tcW w:w="724" w:type="dxa"/>
            <w:gridSpan w:val="2"/>
            <w:tcBorders/>
            <w:shd w:fill="auto" w:val="clear"/>
            <w:vAlign w:val="bottom"/>
          </w:tcPr>
          <w:p>
            <w:pPr>
              <w:pStyle w:val="TableHeading"/>
              <w:spacing w:before="0" w:after="283"/>
              <w:jc w:val="left"/>
              <w:rPr/>
            </w:pPr>
            <w:r>
              <w:rPr/>
              <w:t> </w:t>
            </w:r>
          </w:p>
        </w:tc>
        <w:tc>
          <w:tcPr>
            <w:tcW w:w="100" w:type="dxa"/>
            <w:tcBorders/>
            <w:shd w:fill="auto" w:val="clear"/>
            <w:vAlign w:val="bottom"/>
          </w:tcPr>
          <w:p>
            <w:pPr>
              <w:pStyle w:val="TableHeading"/>
              <w:suppressLineNumbers/>
              <w:spacing w:before="0" w:after="283"/>
              <w:jc w:val="center"/>
              <w:rPr/>
            </w:pPr>
            <w:r>
              <w:rPr/>
              <w:t> </w:t>
            </w:r>
          </w:p>
        </w:tc>
        <w:tc>
          <w:tcPr>
            <w:tcW w:w="725" w:type="dxa"/>
            <w:gridSpan w:val="2"/>
            <w:tcBorders/>
            <w:shd w:fill="auto" w:val="clear"/>
            <w:vAlign w:val="bottom"/>
          </w:tcPr>
          <w:p>
            <w:pPr>
              <w:pStyle w:val="TableHeading"/>
              <w:spacing w:before="0" w:after="283"/>
              <w:jc w:val="left"/>
              <w:rPr/>
            </w:pPr>
            <w:r>
              <w:rPr/>
              <w:t> </w:t>
            </w:r>
          </w:p>
        </w:tc>
        <w:tc>
          <w:tcPr>
            <w:tcW w:w="100" w:type="dxa"/>
            <w:tcBorders/>
            <w:shd w:fill="auto" w:val="clear"/>
            <w:vAlign w:val="bottom"/>
          </w:tcPr>
          <w:p>
            <w:pPr>
              <w:pStyle w:val="TableHeading"/>
              <w:suppressLineNumbers/>
              <w:spacing w:before="0" w:after="283"/>
              <w:jc w:val="center"/>
              <w:rPr/>
            </w:pPr>
            <w:r>
              <w:rPr/>
              <w:t> </w:t>
            </w:r>
          </w:p>
        </w:tc>
        <w:tc>
          <w:tcPr>
            <w:tcW w:w="724" w:type="dxa"/>
            <w:gridSpan w:val="2"/>
            <w:tcBorders/>
            <w:shd w:fill="auto" w:val="clear"/>
            <w:vAlign w:val="bottom"/>
          </w:tcPr>
          <w:p>
            <w:pPr>
              <w:pStyle w:val="TableHeading"/>
              <w:spacing w:before="0" w:after="283"/>
              <w:jc w:val="left"/>
              <w:rPr/>
            </w:pPr>
            <w:r>
              <w:rPr/>
              <w:t> </w:t>
            </w:r>
          </w:p>
        </w:tc>
        <w:tc>
          <w:tcPr>
            <w:tcW w:w="201" w:type="dxa"/>
            <w:tcBorders/>
            <w:shd w:fill="auto" w:val="clear"/>
            <w:vAlign w:val="bottom"/>
          </w:tcPr>
          <w:p>
            <w:pPr>
              <w:pStyle w:val="TableHeading"/>
              <w:suppressLineNumbers/>
              <w:spacing w:before="0" w:after="283"/>
              <w:jc w:val="center"/>
              <w:rPr/>
            </w:pPr>
            <w:r>
              <w:rPr/>
              <w:t> </w:t>
            </w:r>
          </w:p>
        </w:tc>
      </w:tr>
      <w:tr>
        <w:trPr/>
        <w:tc>
          <w:tcPr>
            <w:tcW w:w="1760" w:type="dxa"/>
            <w:tcBorders/>
            <w:shd w:fill="auto" w:val="clear"/>
            <w:vAlign w:val="bottom"/>
          </w:tcPr>
          <w:p>
            <w:pPr>
              <w:pStyle w:val="TableContents"/>
              <w:spacing w:before="0" w:after="283"/>
              <w:ind w:left="140" w:right="0" w:hanging="140"/>
              <w:rPr>
                <w:rFonts w:ascii="times" w:hAnsi="times"/>
                <w:sz w:val="14"/>
              </w:rPr>
            </w:pPr>
            <w:r>
              <w:rPr>
                <w:rFonts w:ascii="times" w:hAnsi="times"/>
                <w:sz w:val="14"/>
              </w:rPr>
              <w:t>Profit/(loss) for the year</w:t>
            </w:r>
          </w:p>
        </w:tc>
        <w:tc>
          <w:tcPr>
            <w:tcW w:w="101" w:type="dxa"/>
            <w:tcBorders/>
            <w:shd w:fill="auto" w:val="clear"/>
            <w:vAlign w:val="bottom"/>
          </w:tcPr>
          <w:p>
            <w:pPr>
              <w:pStyle w:val="TableContents"/>
              <w:spacing w:before="0" w:after="283"/>
              <w:rPr/>
            </w:pPr>
            <w:r>
              <w:rPr/>
              <w:t> </w:t>
            </w:r>
          </w:p>
        </w:tc>
        <w:tc>
          <w:tcPr>
            <w:tcW w:w="105" w:type="dxa"/>
            <w:tcBorders/>
            <w:shd w:fill="auto" w:val="clear"/>
            <w:vAlign w:val="bottom"/>
          </w:tcPr>
          <w:p>
            <w:pPr>
              <w:pStyle w:val="TableContents"/>
              <w:spacing w:before="0" w:after="283"/>
              <w:rPr>
                <w:rFonts w:ascii="times" w:hAnsi="times"/>
                <w:sz w:val="14"/>
              </w:rPr>
            </w:pPr>
            <w:r>
              <w:rPr>
                <w:rFonts w:ascii="times" w:hAnsi="times"/>
                <w:sz w:val="14"/>
              </w:rPr>
              <w:t>$</w:t>
            </w:r>
          </w:p>
        </w:tc>
        <w:tc>
          <w:tcPr>
            <w:tcW w:w="619" w:type="dxa"/>
            <w:tcBorders/>
            <w:shd w:fill="auto" w:val="clear"/>
            <w:vAlign w:val="bottom"/>
          </w:tcPr>
          <w:p>
            <w:pPr>
              <w:pStyle w:val="TableContents"/>
              <w:spacing w:before="0" w:after="283"/>
              <w:jc w:val="right"/>
              <w:rPr>
                <w:rFonts w:ascii="times" w:hAnsi="times"/>
                <w:sz w:val="14"/>
              </w:rPr>
            </w:pPr>
            <w:r>
              <w:rPr>
                <w:rFonts w:ascii="times" w:hAnsi="times"/>
                <w:sz w:val="14"/>
              </w:rPr>
              <w:t>106,387</w:t>
            </w:r>
          </w:p>
        </w:tc>
        <w:tc>
          <w:tcPr>
            <w:tcW w:w="100" w:type="dxa"/>
            <w:tcBorders/>
            <w:shd w:fill="auto" w:val="clear"/>
            <w:vAlign w:val="bottom"/>
          </w:tcPr>
          <w:p>
            <w:pPr>
              <w:pStyle w:val="TableContents"/>
              <w:spacing w:before="0" w:after="283"/>
              <w:rPr/>
            </w:pPr>
            <w:r>
              <w:rPr/>
              <w:t> </w:t>
            </w:r>
          </w:p>
        </w:tc>
        <w:tc>
          <w:tcPr>
            <w:tcW w:w="106" w:type="dxa"/>
            <w:tcBorders/>
            <w:shd w:fill="auto" w:val="clear"/>
            <w:vAlign w:val="bottom"/>
          </w:tcPr>
          <w:p>
            <w:pPr>
              <w:pStyle w:val="TableContents"/>
              <w:spacing w:before="0" w:after="283"/>
              <w:rPr>
                <w:rFonts w:ascii="times" w:hAnsi="times"/>
                <w:sz w:val="14"/>
              </w:rPr>
            </w:pPr>
            <w:r>
              <w:rPr>
                <w:rFonts w:ascii="times" w:hAnsi="times"/>
                <w:sz w:val="14"/>
              </w:rPr>
              <w:t>$</w:t>
            </w:r>
          </w:p>
        </w:tc>
        <w:tc>
          <w:tcPr>
            <w:tcW w:w="618" w:type="dxa"/>
            <w:tcBorders/>
            <w:shd w:fill="auto" w:val="clear"/>
            <w:vAlign w:val="bottom"/>
          </w:tcPr>
          <w:p>
            <w:pPr>
              <w:pStyle w:val="TableContents"/>
              <w:spacing w:before="0" w:after="283"/>
              <w:jc w:val="right"/>
              <w:rPr>
                <w:rFonts w:ascii="times" w:hAnsi="times"/>
                <w:sz w:val="14"/>
              </w:rPr>
            </w:pPr>
            <w:r>
              <w:rPr>
                <w:rFonts w:ascii="times" w:hAnsi="times"/>
                <w:sz w:val="14"/>
              </w:rPr>
              <w:t>148,098</w:t>
            </w:r>
          </w:p>
        </w:tc>
        <w:tc>
          <w:tcPr>
            <w:tcW w:w="100" w:type="dxa"/>
            <w:tcBorders/>
            <w:shd w:fill="auto" w:val="clear"/>
            <w:vAlign w:val="bottom"/>
          </w:tcPr>
          <w:p>
            <w:pPr>
              <w:pStyle w:val="TableContents"/>
              <w:spacing w:before="0" w:after="283"/>
              <w:rPr/>
            </w:pPr>
            <w:r>
              <w:rPr/>
              <w:t> </w:t>
            </w:r>
          </w:p>
        </w:tc>
        <w:tc>
          <w:tcPr>
            <w:tcW w:w="106" w:type="dxa"/>
            <w:tcBorders/>
            <w:shd w:fill="auto" w:val="clear"/>
            <w:vAlign w:val="bottom"/>
          </w:tcPr>
          <w:p>
            <w:pPr>
              <w:pStyle w:val="TableContents"/>
              <w:spacing w:before="0" w:after="283"/>
              <w:rPr>
                <w:rFonts w:ascii="times" w:hAnsi="times"/>
                <w:sz w:val="14"/>
              </w:rPr>
            </w:pPr>
            <w:r>
              <w:rPr>
                <w:rFonts w:ascii="times" w:hAnsi="times"/>
                <w:sz w:val="14"/>
              </w:rPr>
              <w:t>$</w:t>
            </w:r>
          </w:p>
        </w:tc>
        <w:tc>
          <w:tcPr>
            <w:tcW w:w="618" w:type="dxa"/>
            <w:tcBorders/>
            <w:shd w:fill="auto" w:val="clear"/>
            <w:vAlign w:val="bottom"/>
          </w:tcPr>
          <w:p>
            <w:pPr>
              <w:pStyle w:val="TableContents"/>
              <w:spacing w:before="0" w:after="283"/>
              <w:jc w:val="right"/>
              <w:rPr>
                <w:rFonts w:ascii="times" w:hAnsi="times"/>
                <w:sz w:val="14"/>
              </w:rPr>
            </w:pPr>
            <w:r>
              <w:rPr>
                <w:rFonts w:ascii="times" w:hAnsi="times"/>
                <w:sz w:val="14"/>
              </w:rPr>
              <w:t>128,046</w:t>
            </w:r>
          </w:p>
        </w:tc>
        <w:tc>
          <w:tcPr>
            <w:tcW w:w="101" w:type="dxa"/>
            <w:tcBorders/>
            <w:shd w:fill="auto" w:val="clear"/>
            <w:vAlign w:val="bottom"/>
          </w:tcPr>
          <w:p>
            <w:pPr>
              <w:pStyle w:val="TableContents"/>
              <w:spacing w:before="0" w:after="283"/>
              <w:rPr/>
            </w:pPr>
            <w:r>
              <w:rPr/>
              <w:t> </w:t>
            </w:r>
          </w:p>
        </w:tc>
        <w:tc>
          <w:tcPr>
            <w:tcW w:w="105" w:type="dxa"/>
            <w:tcBorders/>
            <w:shd w:fill="auto" w:val="clear"/>
            <w:vAlign w:val="bottom"/>
          </w:tcPr>
          <w:p>
            <w:pPr>
              <w:pStyle w:val="TableContents"/>
              <w:spacing w:before="0" w:after="283"/>
              <w:rPr>
                <w:rFonts w:ascii="times" w:hAnsi="times"/>
                <w:sz w:val="14"/>
              </w:rPr>
            </w:pPr>
            <w:r>
              <w:rPr>
                <w:rFonts w:ascii="times" w:hAnsi="times"/>
                <w:sz w:val="14"/>
              </w:rPr>
              <w:t>$</w:t>
            </w:r>
          </w:p>
        </w:tc>
        <w:tc>
          <w:tcPr>
            <w:tcW w:w="619" w:type="dxa"/>
            <w:tcBorders/>
            <w:shd w:fill="auto" w:val="clear"/>
            <w:vAlign w:val="bottom"/>
          </w:tcPr>
          <w:p>
            <w:pPr>
              <w:pStyle w:val="TableContents"/>
              <w:spacing w:before="0" w:after="283"/>
              <w:jc w:val="right"/>
              <w:rPr>
                <w:rFonts w:ascii="times" w:hAnsi="times"/>
                <w:sz w:val="14"/>
              </w:rPr>
            </w:pPr>
            <w:r>
              <w:rPr>
                <w:rFonts w:ascii="times" w:hAnsi="times"/>
                <w:sz w:val="14"/>
              </w:rPr>
              <w:t>(34,769</w:t>
            </w:r>
          </w:p>
        </w:tc>
        <w:tc>
          <w:tcPr>
            <w:tcW w:w="100" w:type="dxa"/>
            <w:tcBorders/>
            <w:shd w:fill="auto" w:val="clear"/>
            <w:vAlign w:val="bottom"/>
          </w:tcPr>
          <w:p>
            <w:pPr>
              <w:pStyle w:val="TableContents"/>
              <w:spacing w:before="0" w:after="283"/>
              <w:rPr>
                <w:rFonts w:ascii="times" w:hAnsi="times"/>
                <w:sz w:val="14"/>
              </w:rPr>
            </w:pPr>
            <w:r>
              <w:rPr>
                <w:rFonts w:ascii="times" w:hAnsi="times"/>
                <w:sz w:val="14"/>
              </w:rPr>
              <w:t>)</w:t>
            </w:r>
          </w:p>
        </w:tc>
        <w:tc>
          <w:tcPr>
            <w:tcW w:w="106" w:type="dxa"/>
            <w:tcBorders/>
            <w:shd w:fill="auto" w:val="clear"/>
            <w:vAlign w:val="bottom"/>
          </w:tcPr>
          <w:p>
            <w:pPr>
              <w:pStyle w:val="TableContents"/>
              <w:spacing w:before="0" w:after="283"/>
              <w:rPr>
                <w:rFonts w:ascii="times" w:hAnsi="times"/>
                <w:sz w:val="14"/>
              </w:rPr>
            </w:pPr>
            <w:r>
              <w:rPr>
                <w:rFonts w:ascii="times" w:hAnsi="times"/>
                <w:sz w:val="14"/>
              </w:rPr>
              <w:t>$</w:t>
            </w:r>
          </w:p>
        </w:tc>
        <w:tc>
          <w:tcPr>
            <w:tcW w:w="618" w:type="dxa"/>
            <w:tcBorders/>
            <w:shd w:fill="auto" w:val="clear"/>
            <w:vAlign w:val="bottom"/>
          </w:tcPr>
          <w:p>
            <w:pPr>
              <w:pStyle w:val="TableContents"/>
              <w:spacing w:before="0" w:after="283"/>
              <w:jc w:val="right"/>
              <w:rPr>
                <w:rFonts w:ascii="times" w:hAnsi="times"/>
                <w:sz w:val="14"/>
              </w:rPr>
            </w:pPr>
            <w:r>
              <w:rPr>
                <w:rFonts w:ascii="times" w:hAnsi="times"/>
                <w:sz w:val="14"/>
              </w:rPr>
              <w:t>56,859</w:t>
            </w:r>
          </w:p>
        </w:tc>
        <w:tc>
          <w:tcPr>
            <w:tcW w:w="100" w:type="dxa"/>
            <w:tcBorders/>
            <w:shd w:fill="auto" w:val="clear"/>
            <w:vAlign w:val="bottom"/>
          </w:tcPr>
          <w:p>
            <w:pPr>
              <w:pStyle w:val="TableContents"/>
              <w:spacing w:before="0" w:after="283"/>
              <w:rPr/>
            </w:pPr>
            <w:r>
              <w:rPr/>
              <w:t> </w:t>
            </w:r>
          </w:p>
        </w:tc>
        <w:tc>
          <w:tcPr>
            <w:tcW w:w="106" w:type="dxa"/>
            <w:tcBorders/>
            <w:shd w:fill="auto" w:val="clear"/>
            <w:vAlign w:val="bottom"/>
          </w:tcPr>
          <w:p>
            <w:pPr>
              <w:pStyle w:val="TableContents"/>
              <w:spacing w:before="0" w:after="283"/>
              <w:rPr>
                <w:rFonts w:ascii="times" w:hAnsi="times"/>
                <w:sz w:val="14"/>
              </w:rPr>
            </w:pPr>
            <w:r>
              <w:rPr>
                <w:rFonts w:ascii="times" w:hAnsi="times"/>
                <w:sz w:val="14"/>
              </w:rPr>
              <w:t>$</w:t>
            </w:r>
          </w:p>
        </w:tc>
        <w:tc>
          <w:tcPr>
            <w:tcW w:w="619" w:type="dxa"/>
            <w:tcBorders/>
            <w:shd w:fill="auto" w:val="clear"/>
            <w:vAlign w:val="bottom"/>
          </w:tcPr>
          <w:p>
            <w:pPr>
              <w:pStyle w:val="TableContents"/>
              <w:spacing w:before="0" w:after="283"/>
              <w:jc w:val="right"/>
              <w:rPr>
                <w:rFonts w:ascii="times" w:hAnsi="times"/>
                <w:sz w:val="14"/>
              </w:rPr>
            </w:pPr>
            <w:r>
              <w:rPr>
                <w:rFonts w:ascii="times" w:hAnsi="times"/>
                <w:sz w:val="14"/>
              </w:rPr>
              <w:t>77,270</w:t>
            </w:r>
          </w:p>
        </w:tc>
        <w:tc>
          <w:tcPr>
            <w:tcW w:w="100" w:type="dxa"/>
            <w:tcBorders/>
            <w:shd w:fill="auto" w:val="clear"/>
            <w:vAlign w:val="bottom"/>
          </w:tcPr>
          <w:p>
            <w:pPr>
              <w:pStyle w:val="TableContents"/>
              <w:spacing w:before="0" w:after="283"/>
              <w:rPr/>
            </w:pPr>
            <w:r>
              <w:rPr/>
              <w:t> </w:t>
            </w:r>
          </w:p>
        </w:tc>
        <w:tc>
          <w:tcPr>
            <w:tcW w:w="105" w:type="dxa"/>
            <w:tcBorders/>
            <w:shd w:fill="auto" w:val="clear"/>
            <w:vAlign w:val="bottom"/>
          </w:tcPr>
          <w:p>
            <w:pPr>
              <w:pStyle w:val="TableContents"/>
              <w:spacing w:before="0" w:after="283"/>
              <w:rPr>
                <w:rFonts w:ascii="times" w:hAnsi="times"/>
                <w:sz w:val="14"/>
              </w:rPr>
            </w:pPr>
            <w:r>
              <w:rPr>
                <w:rFonts w:ascii="times" w:hAnsi="times"/>
                <w:sz w:val="14"/>
              </w:rPr>
              <w:t>$</w:t>
            </w:r>
          </w:p>
        </w:tc>
        <w:tc>
          <w:tcPr>
            <w:tcW w:w="619" w:type="dxa"/>
            <w:tcBorders/>
            <w:shd w:fill="auto" w:val="clear"/>
            <w:vAlign w:val="bottom"/>
          </w:tcPr>
          <w:p>
            <w:pPr>
              <w:pStyle w:val="TableContents"/>
              <w:spacing w:before="0" w:after="283"/>
              <w:jc w:val="right"/>
              <w:rPr>
                <w:rFonts w:ascii="times" w:hAnsi="times"/>
                <w:sz w:val="14"/>
              </w:rPr>
            </w:pPr>
            <w:r>
              <w:rPr>
                <w:rFonts w:ascii="times" w:hAnsi="times"/>
                <w:sz w:val="14"/>
              </w:rPr>
              <w:t>94,117</w:t>
            </w:r>
          </w:p>
        </w:tc>
        <w:tc>
          <w:tcPr>
            <w:tcW w:w="100" w:type="dxa"/>
            <w:tcBorders/>
            <w:shd w:fill="auto" w:val="clear"/>
            <w:vAlign w:val="bottom"/>
          </w:tcPr>
          <w:p>
            <w:pPr>
              <w:pStyle w:val="TableContents"/>
              <w:spacing w:before="0" w:after="283"/>
              <w:rPr/>
            </w:pPr>
            <w:r>
              <w:rPr/>
              <w:t> </w:t>
            </w:r>
          </w:p>
        </w:tc>
        <w:tc>
          <w:tcPr>
            <w:tcW w:w="106" w:type="dxa"/>
            <w:tcBorders/>
            <w:shd w:fill="auto" w:val="clear"/>
            <w:vAlign w:val="bottom"/>
          </w:tcPr>
          <w:p>
            <w:pPr>
              <w:pStyle w:val="TableContents"/>
              <w:spacing w:before="0" w:after="283"/>
              <w:rPr>
                <w:rFonts w:ascii="times" w:hAnsi="times"/>
                <w:sz w:val="14"/>
              </w:rPr>
            </w:pPr>
            <w:r>
              <w:rPr>
                <w:rFonts w:ascii="times" w:hAnsi="times"/>
                <w:sz w:val="14"/>
              </w:rPr>
              <w:t>$</w:t>
            </w:r>
          </w:p>
        </w:tc>
        <w:tc>
          <w:tcPr>
            <w:tcW w:w="618" w:type="dxa"/>
            <w:tcBorders/>
            <w:shd w:fill="auto" w:val="clear"/>
            <w:vAlign w:val="bottom"/>
          </w:tcPr>
          <w:p>
            <w:pPr>
              <w:pStyle w:val="TableContents"/>
              <w:spacing w:before="0" w:after="283"/>
              <w:jc w:val="right"/>
              <w:rPr>
                <w:rFonts w:ascii="times" w:hAnsi="times"/>
                <w:sz w:val="14"/>
              </w:rPr>
            </w:pPr>
            <w:r>
              <w:rPr>
                <w:rFonts w:ascii="times" w:hAnsi="times"/>
                <w:sz w:val="14"/>
              </w:rPr>
              <w:t>102,597</w:t>
            </w:r>
          </w:p>
        </w:tc>
        <w:tc>
          <w:tcPr>
            <w:tcW w:w="100" w:type="dxa"/>
            <w:tcBorders/>
            <w:shd w:fill="auto" w:val="clear"/>
            <w:vAlign w:val="bottom"/>
          </w:tcPr>
          <w:p>
            <w:pPr>
              <w:pStyle w:val="TableContents"/>
              <w:spacing w:before="0" w:after="283"/>
              <w:rPr/>
            </w:pPr>
            <w:r>
              <w:rPr/>
              <w:t> </w:t>
            </w:r>
          </w:p>
        </w:tc>
        <w:tc>
          <w:tcPr>
            <w:tcW w:w="106" w:type="dxa"/>
            <w:tcBorders/>
            <w:shd w:fill="auto" w:val="clear"/>
            <w:vAlign w:val="bottom"/>
          </w:tcPr>
          <w:p>
            <w:pPr>
              <w:pStyle w:val="TableContents"/>
              <w:spacing w:before="0" w:after="283"/>
              <w:rPr>
                <w:rFonts w:ascii="times" w:hAnsi="times"/>
                <w:sz w:val="14"/>
              </w:rPr>
            </w:pPr>
            <w:r>
              <w:rPr>
                <w:rFonts w:ascii="times" w:hAnsi="times"/>
                <w:sz w:val="14"/>
              </w:rPr>
              <w:t>$</w:t>
            </w:r>
          </w:p>
        </w:tc>
        <w:tc>
          <w:tcPr>
            <w:tcW w:w="619" w:type="dxa"/>
            <w:tcBorders/>
            <w:shd w:fill="auto" w:val="clear"/>
            <w:vAlign w:val="bottom"/>
          </w:tcPr>
          <w:p>
            <w:pPr>
              <w:pStyle w:val="TableContents"/>
              <w:spacing w:before="0" w:after="283"/>
              <w:jc w:val="right"/>
              <w:rPr>
                <w:rFonts w:ascii="times" w:hAnsi="times"/>
                <w:sz w:val="14"/>
              </w:rPr>
            </w:pPr>
            <w:r>
              <w:rPr>
                <w:rFonts w:ascii="times" w:hAnsi="times"/>
                <w:sz w:val="14"/>
              </w:rPr>
              <w:t>(37,419</w:t>
            </w:r>
          </w:p>
        </w:tc>
        <w:tc>
          <w:tcPr>
            <w:tcW w:w="100" w:type="dxa"/>
            <w:tcBorders/>
            <w:shd w:fill="auto" w:val="clear"/>
            <w:vAlign w:val="bottom"/>
          </w:tcPr>
          <w:p>
            <w:pPr>
              <w:pStyle w:val="TableContents"/>
              <w:spacing w:before="0" w:after="283"/>
              <w:rPr>
                <w:rFonts w:ascii="times" w:hAnsi="times"/>
                <w:sz w:val="14"/>
              </w:rPr>
            </w:pPr>
            <w:r>
              <w:rPr>
                <w:rFonts w:ascii="times" w:hAnsi="times"/>
                <w:sz w:val="14"/>
              </w:rPr>
              <w:t>)</w:t>
            </w:r>
          </w:p>
        </w:tc>
        <w:tc>
          <w:tcPr>
            <w:tcW w:w="106" w:type="dxa"/>
            <w:tcBorders/>
            <w:shd w:fill="auto" w:val="clear"/>
            <w:vAlign w:val="bottom"/>
          </w:tcPr>
          <w:p>
            <w:pPr>
              <w:pStyle w:val="TableContents"/>
              <w:spacing w:before="0" w:after="283"/>
              <w:rPr>
                <w:rFonts w:ascii="times" w:hAnsi="times"/>
                <w:sz w:val="14"/>
              </w:rPr>
            </w:pPr>
            <w:r>
              <w:rPr>
                <w:rFonts w:ascii="times" w:hAnsi="times"/>
                <w:sz w:val="14"/>
              </w:rPr>
              <w:t>$</w:t>
            </w:r>
          </w:p>
        </w:tc>
        <w:tc>
          <w:tcPr>
            <w:tcW w:w="618" w:type="dxa"/>
            <w:tcBorders/>
            <w:shd w:fill="auto" w:val="clear"/>
            <w:vAlign w:val="bottom"/>
          </w:tcPr>
          <w:p>
            <w:pPr>
              <w:pStyle w:val="TableContents"/>
              <w:spacing w:before="0" w:after="283"/>
              <w:jc w:val="right"/>
              <w:rPr>
                <w:rFonts w:ascii="times" w:hAnsi="times"/>
                <w:sz w:val="14"/>
              </w:rPr>
            </w:pPr>
            <w:r>
              <w:rPr>
                <w:rFonts w:ascii="times" w:hAnsi="times"/>
                <w:sz w:val="14"/>
              </w:rPr>
              <w:t>56,859</w:t>
            </w:r>
          </w:p>
        </w:tc>
        <w:tc>
          <w:tcPr>
            <w:tcW w:w="201" w:type="dxa"/>
            <w:tcBorders/>
            <w:shd w:fill="auto" w:val="clear"/>
            <w:vAlign w:val="bottom"/>
          </w:tcPr>
          <w:p>
            <w:pPr>
              <w:pStyle w:val="TableContents"/>
              <w:spacing w:before="0" w:after="283"/>
              <w:rPr/>
            </w:pPr>
            <w:r>
              <w:rPr/>
              <w:t> </w:t>
            </w:r>
          </w:p>
        </w:tc>
      </w:tr>
      <w:tr>
        <w:trPr/>
        <w:tc>
          <w:tcPr>
            <w:tcW w:w="1760" w:type="dxa"/>
            <w:tcBorders/>
            <w:shd w:fill="auto" w:val="clear"/>
            <w:vAlign w:val="bottom"/>
          </w:tcPr>
          <w:p>
            <w:pPr>
              <w:pStyle w:val="TableContents"/>
              <w:spacing w:before="0" w:after="283"/>
              <w:ind w:left="140" w:right="0" w:hanging="140"/>
              <w:rPr>
                <w:rFonts w:ascii="times" w:hAnsi="times"/>
                <w:sz w:val="14"/>
              </w:rPr>
            </w:pPr>
            <w:r>
              <w:rPr>
                <w:rFonts w:ascii="times" w:hAnsi="times"/>
                <w:sz w:val="14"/>
              </w:rPr>
              <w:t>Depreciation</w:t>
            </w:r>
          </w:p>
        </w:tc>
        <w:tc>
          <w:tcPr>
            <w:tcW w:w="101" w:type="dxa"/>
            <w:tcBorders/>
            <w:shd w:fill="auto" w:val="clear"/>
            <w:vAlign w:val="bottom"/>
          </w:tcPr>
          <w:p>
            <w:pPr>
              <w:pStyle w:val="TableContents"/>
              <w:spacing w:before="0" w:after="283"/>
              <w:rPr/>
            </w:pPr>
            <w:r>
              <w:rPr/>
              <w:t> </w:t>
            </w:r>
          </w:p>
        </w:tc>
        <w:tc>
          <w:tcPr>
            <w:tcW w:w="105" w:type="dxa"/>
            <w:tcBorders/>
            <w:shd w:fill="auto" w:val="clear"/>
            <w:vAlign w:val="bottom"/>
          </w:tcPr>
          <w:p>
            <w:pPr>
              <w:pStyle w:val="TableContents"/>
              <w:spacing w:before="0" w:after="283"/>
              <w:rPr/>
            </w:pPr>
            <w:r>
              <w:rPr/>
              <w:t> </w:t>
            </w:r>
          </w:p>
        </w:tc>
        <w:tc>
          <w:tcPr>
            <w:tcW w:w="619" w:type="dxa"/>
            <w:tcBorders/>
            <w:shd w:fill="auto" w:val="clear"/>
            <w:vAlign w:val="bottom"/>
          </w:tcPr>
          <w:p>
            <w:pPr>
              <w:pStyle w:val="TableContents"/>
              <w:spacing w:before="0" w:after="283"/>
              <w:jc w:val="right"/>
              <w:rPr>
                <w:rFonts w:ascii="times" w:hAnsi="times"/>
                <w:sz w:val="14"/>
              </w:rPr>
            </w:pPr>
            <w:r>
              <w:rPr>
                <w:rFonts w:ascii="times" w:hAnsi="times"/>
                <w:sz w:val="14"/>
              </w:rPr>
              <w:t>73,297</w:t>
            </w:r>
          </w:p>
        </w:tc>
        <w:tc>
          <w:tcPr>
            <w:tcW w:w="100" w:type="dxa"/>
            <w:tcBorders/>
            <w:shd w:fill="auto" w:val="clear"/>
            <w:vAlign w:val="bottom"/>
          </w:tcPr>
          <w:p>
            <w:pPr>
              <w:pStyle w:val="TableContents"/>
              <w:spacing w:before="0" w:after="283"/>
              <w:rPr/>
            </w:pPr>
            <w:r>
              <w:rPr/>
              <w:t> </w:t>
            </w:r>
          </w:p>
        </w:tc>
        <w:tc>
          <w:tcPr>
            <w:tcW w:w="106" w:type="dxa"/>
            <w:tcBorders/>
            <w:shd w:fill="auto" w:val="clear"/>
            <w:vAlign w:val="bottom"/>
          </w:tcPr>
          <w:p>
            <w:pPr>
              <w:pStyle w:val="TableContents"/>
              <w:spacing w:before="0" w:after="283"/>
              <w:rPr/>
            </w:pPr>
            <w:r>
              <w:rPr/>
              <w:t> </w:t>
            </w:r>
          </w:p>
        </w:tc>
        <w:tc>
          <w:tcPr>
            <w:tcW w:w="618" w:type="dxa"/>
            <w:tcBorders/>
            <w:shd w:fill="auto" w:val="clear"/>
            <w:vAlign w:val="bottom"/>
          </w:tcPr>
          <w:p>
            <w:pPr>
              <w:pStyle w:val="TableContents"/>
              <w:spacing w:before="0" w:after="283"/>
              <w:jc w:val="right"/>
              <w:rPr>
                <w:rFonts w:ascii="times" w:hAnsi="times"/>
                <w:sz w:val="14"/>
              </w:rPr>
            </w:pPr>
            <w:r>
              <w:rPr>
                <w:rFonts w:ascii="times" w:hAnsi="times"/>
                <w:sz w:val="14"/>
              </w:rPr>
              <w:t>87,048</w:t>
            </w:r>
          </w:p>
        </w:tc>
        <w:tc>
          <w:tcPr>
            <w:tcW w:w="100" w:type="dxa"/>
            <w:tcBorders/>
            <w:shd w:fill="auto" w:val="clear"/>
            <w:vAlign w:val="bottom"/>
          </w:tcPr>
          <w:p>
            <w:pPr>
              <w:pStyle w:val="TableContents"/>
              <w:spacing w:before="0" w:after="283"/>
              <w:rPr/>
            </w:pPr>
            <w:r>
              <w:rPr/>
              <w:t> </w:t>
            </w:r>
          </w:p>
        </w:tc>
        <w:tc>
          <w:tcPr>
            <w:tcW w:w="106" w:type="dxa"/>
            <w:tcBorders/>
            <w:shd w:fill="auto" w:val="clear"/>
            <w:vAlign w:val="bottom"/>
          </w:tcPr>
          <w:p>
            <w:pPr>
              <w:pStyle w:val="TableContents"/>
              <w:spacing w:before="0" w:after="283"/>
              <w:rPr/>
            </w:pPr>
            <w:r>
              <w:rPr/>
              <w:t> </w:t>
            </w:r>
          </w:p>
        </w:tc>
        <w:tc>
          <w:tcPr>
            <w:tcW w:w="618" w:type="dxa"/>
            <w:tcBorders/>
            <w:shd w:fill="auto" w:val="clear"/>
            <w:vAlign w:val="bottom"/>
          </w:tcPr>
          <w:p>
            <w:pPr>
              <w:pStyle w:val="TableContents"/>
              <w:spacing w:before="0" w:after="283"/>
              <w:jc w:val="right"/>
              <w:rPr>
                <w:rFonts w:ascii="times" w:hAnsi="times"/>
                <w:sz w:val="14"/>
              </w:rPr>
            </w:pPr>
            <w:r>
              <w:rPr>
                <w:rFonts w:ascii="times" w:hAnsi="times"/>
                <w:sz w:val="14"/>
              </w:rPr>
              <w:t>87,584</w:t>
            </w:r>
          </w:p>
        </w:tc>
        <w:tc>
          <w:tcPr>
            <w:tcW w:w="101" w:type="dxa"/>
            <w:tcBorders/>
            <w:shd w:fill="auto" w:val="clear"/>
            <w:vAlign w:val="bottom"/>
          </w:tcPr>
          <w:p>
            <w:pPr>
              <w:pStyle w:val="TableContents"/>
              <w:spacing w:before="0" w:after="283"/>
              <w:rPr/>
            </w:pPr>
            <w:r>
              <w:rPr/>
              <w:t> </w:t>
            </w:r>
          </w:p>
        </w:tc>
        <w:tc>
          <w:tcPr>
            <w:tcW w:w="105" w:type="dxa"/>
            <w:tcBorders/>
            <w:shd w:fill="auto" w:val="clear"/>
            <w:vAlign w:val="bottom"/>
          </w:tcPr>
          <w:p>
            <w:pPr>
              <w:pStyle w:val="TableContents"/>
              <w:spacing w:before="0" w:after="283"/>
              <w:rPr/>
            </w:pPr>
            <w:r>
              <w:rPr/>
              <w:t> </w:t>
            </w:r>
          </w:p>
        </w:tc>
        <w:tc>
          <w:tcPr>
            <w:tcW w:w="619" w:type="dxa"/>
            <w:tcBorders/>
            <w:shd w:fill="auto" w:val="clear"/>
            <w:vAlign w:val="bottom"/>
          </w:tcPr>
          <w:p>
            <w:pPr>
              <w:pStyle w:val="TableContents"/>
              <w:spacing w:before="0" w:after="283"/>
              <w:jc w:val="right"/>
              <w:rPr>
                <w:rFonts w:ascii="times" w:hAnsi="times"/>
                <w:sz w:val="14"/>
              </w:rPr>
            </w:pPr>
            <w:r>
              <w:rPr>
                <w:rFonts w:ascii="times" w:hAnsi="times"/>
                <w:sz w:val="14"/>
              </w:rPr>
              <w:t>89,309</w:t>
            </w:r>
          </w:p>
        </w:tc>
        <w:tc>
          <w:tcPr>
            <w:tcW w:w="100" w:type="dxa"/>
            <w:tcBorders/>
            <w:shd w:fill="auto" w:val="clear"/>
            <w:vAlign w:val="bottom"/>
          </w:tcPr>
          <w:p>
            <w:pPr>
              <w:pStyle w:val="TableContents"/>
              <w:spacing w:before="0" w:after="283"/>
              <w:rPr/>
            </w:pPr>
            <w:r>
              <w:rPr/>
              <w:t> </w:t>
            </w:r>
          </w:p>
        </w:tc>
        <w:tc>
          <w:tcPr>
            <w:tcW w:w="106" w:type="dxa"/>
            <w:tcBorders/>
            <w:shd w:fill="auto" w:val="clear"/>
            <w:vAlign w:val="bottom"/>
          </w:tcPr>
          <w:p>
            <w:pPr>
              <w:pStyle w:val="TableContents"/>
              <w:spacing w:before="0" w:after="283"/>
              <w:rPr/>
            </w:pPr>
            <w:r>
              <w:rPr/>
              <w:t> </w:t>
            </w:r>
          </w:p>
        </w:tc>
        <w:tc>
          <w:tcPr>
            <w:tcW w:w="618" w:type="dxa"/>
            <w:tcBorders/>
            <w:shd w:fill="auto" w:val="clear"/>
            <w:vAlign w:val="bottom"/>
          </w:tcPr>
          <w:p>
            <w:pPr>
              <w:pStyle w:val="TableContents"/>
              <w:spacing w:before="0" w:after="283"/>
              <w:jc w:val="right"/>
              <w:rPr>
                <w:rFonts w:ascii="times" w:hAnsi="times"/>
                <w:sz w:val="14"/>
              </w:rPr>
            </w:pPr>
            <w:r>
              <w:rPr>
                <w:rFonts w:ascii="times" w:hAnsi="times"/>
                <w:sz w:val="14"/>
              </w:rPr>
              <w:t>83,058</w:t>
            </w:r>
          </w:p>
        </w:tc>
        <w:tc>
          <w:tcPr>
            <w:tcW w:w="100" w:type="dxa"/>
            <w:tcBorders/>
            <w:shd w:fill="auto" w:val="clear"/>
            <w:vAlign w:val="bottom"/>
          </w:tcPr>
          <w:p>
            <w:pPr>
              <w:pStyle w:val="TableContents"/>
              <w:spacing w:before="0" w:after="283"/>
              <w:rPr/>
            </w:pPr>
            <w:r>
              <w:rPr/>
              <w:t> </w:t>
            </w:r>
          </w:p>
        </w:tc>
        <w:tc>
          <w:tcPr>
            <w:tcW w:w="106" w:type="dxa"/>
            <w:tcBorders/>
            <w:shd w:fill="auto" w:val="clear"/>
            <w:vAlign w:val="bottom"/>
          </w:tcPr>
          <w:p>
            <w:pPr>
              <w:pStyle w:val="TableContents"/>
              <w:spacing w:before="0" w:after="283"/>
              <w:rPr/>
            </w:pPr>
            <w:r>
              <w:rPr/>
              <w:t> </w:t>
            </w:r>
          </w:p>
        </w:tc>
        <w:tc>
          <w:tcPr>
            <w:tcW w:w="619" w:type="dxa"/>
            <w:tcBorders/>
            <w:shd w:fill="auto" w:val="clear"/>
            <w:vAlign w:val="bottom"/>
          </w:tcPr>
          <w:p>
            <w:pPr>
              <w:pStyle w:val="TableContents"/>
              <w:spacing w:before="0" w:after="283"/>
              <w:jc w:val="right"/>
              <w:rPr>
                <w:rFonts w:ascii="times" w:hAnsi="times"/>
                <w:sz w:val="14"/>
              </w:rPr>
            </w:pPr>
            <w:r>
              <w:rPr>
                <w:rFonts w:ascii="times" w:hAnsi="times"/>
                <w:sz w:val="14"/>
              </w:rPr>
              <w:t>45,230</w:t>
            </w:r>
          </w:p>
        </w:tc>
        <w:tc>
          <w:tcPr>
            <w:tcW w:w="100" w:type="dxa"/>
            <w:tcBorders/>
            <w:shd w:fill="auto" w:val="clear"/>
            <w:vAlign w:val="bottom"/>
          </w:tcPr>
          <w:p>
            <w:pPr>
              <w:pStyle w:val="TableContents"/>
              <w:spacing w:before="0" w:after="283"/>
              <w:rPr/>
            </w:pPr>
            <w:r>
              <w:rPr/>
              <w:t> </w:t>
            </w:r>
          </w:p>
        </w:tc>
        <w:tc>
          <w:tcPr>
            <w:tcW w:w="105" w:type="dxa"/>
            <w:tcBorders/>
            <w:shd w:fill="auto" w:val="clear"/>
            <w:vAlign w:val="bottom"/>
          </w:tcPr>
          <w:p>
            <w:pPr>
              <w:pStyle w:val="TableContents"/>
              <w:spacing w:before="0" w:after="283"/>
              <w:rPr/>
            </w:pPr>
            <w:r>
              <w:rPr/>
              <w:t> </w:t>
            </w:r>
          </w:p>
        </w:tc>
        <w:tc>
          <w:tcPr>
            <w:tcW w:w="619" w:type="dxa"/>
            <w:tcBorders/>
            <w:shd w:fill="auto" w:val="clear"/>
            <w:vAlign w:val="bottom"/>
          </w:tcPr>
          <w:p>
            <w:pPr>
              <w:pStyle w:val="TableContents"/>
              <w:spacing w:before="0" w:after="283"/>
              <w:jc w:val="right"/>
              <w:rPr>
                <w:rFonts w:ascii="times" w:hAnsi="times"/>
                <w:sz w:val="14"/>
              </w:rPr>
            </w:pPr>
            <w:r>
              <w:rPr>
                <w:rFonts w:ascii="times" w:hAnsi="times"/>
                <w:sz w:val="14"/>
              </w:rPr>
              <w:t>58,193</w:t>
            </w:r>
          </w:p>
        </w:tc>
        <w:tc>
          <w:tcPr>
            <w:tcW w:w="100" w:type="dxa"/>
            <w:tcBorders/>
            <w:shd w:fill="auto" w:val="clear"/>
            <w:vAlign w:val="bottom"/>
          </w:tcPr>
          <w:p>
            <w:pPr>
              <w:pStyle w:val="TableContents"/>
              <w:spacing w:before="0" w:after="283"/>
              <w:rPr/>
            </w:pPr>
            <w:r>
              <w:rPr/>
              <w:t> </w:t>
            </w:r>
          </w:p>
        </w:tc>
        <w:tc>
          <w:tcPr>
            <w:tcW w:w="106" w:type="dxa"/>
            <w:tcBorders/>
            <w:shd w:fill="auto" w:val="clear"/>
            <w:vAlign w:val="bottom"/>
          </w:tcPr>
          <w:p>
            <w:pPr>
              <w:pStyle w:val="TableContents"/>
              <w:spacing w:before="0" w:after="283"/>
              <w:rPr/>
            </w:pPr>
            <w:r>
              <w:rPr/>
              <w:t> </w:t>
            </w:r>
          </w:p>
        </w:tc>
        <w:tc>
          <w:tcPr>
            <w:tcW w:w="618" w:type="dxa"/>
            <w:tcBorders/>
            <w:shd w:fill="auto" w:val="clear"/>
            <w:vAlign w:val="bottom"/>
          </w:tcPr>
          <w:p>
            <w:pPr>
              <w:pStyle w:val="TableContents"/>
              <w:spacing w:before="0" w:after="283"/>
              <w:jc w:val="right"/>
              <w:rPr>
                <w:rFonts w:ascii="times" w:hAnsi="times"/>
                <w:sz w:val="14"/>
              </w:rPr>
            </w:pPr>
            <w:r>
              <w:rPr>
                <w:rFonts w:ascii="times" w:hAnsi="times"/>
                <w:sz w:val="14"/>
              </w:rPr>
              <w:t>73,151</w:t>
            </w:r>
          </w:p>
        </w:tc>
        <w:tc>
          <w:tcPr>
            <w:tcW w:w="100" w:type="dxa"/>
            <w:tcBorders/>
            <w:shd w:fill="auto" w:val="clear"/>
            <w:vAlign w:val="bottom"/>
          </w:tcPr>
          <w:p>
            <w:pPr>
              <w:pStyle w:val="TableContents"/>
              <w:spacing w:before="0" w:after="283"/>
              <w:rPr/>
            </w:pPr>
            <w:r>
              <w:rPr/>
              <w:t> </w:t>
            </w:r>
          </w:p>
        </w:tc>
        <w:tc>
          <w:tcPr>
            <w:tcW w:w="106" w:type="dxa"/>
            <w:tcBorders/>
            <w:shd w:fill="auto" w:val="clear"/>
            <w:vAlign w:val="bottom"/>
          </w:tcPr>
          <w:p>
            <w:pPr>
              <w:pStyle w:val="TableContents"/>
              <w:spacing w:before="0" w:after="283"/>
              <w:rPr/>
            </w:pPr>
            <w:r>
              <w:rPr/>
              <w:t> </w:t>
            </w:r>
          </w:p>
        </w:tc>
        <w:tc>
          <w:tcPr>
            <w:tcW w:w="619" w:type="dxa"/>
            <w:tcBorders/>
            <w:shd w:fill="auto" w:val="clear"/>
            <w:vAlign w:val="bottom"/>
          </w:tcPr>
          <w:p>
            <w:pPr>
              <w:pStyle w:val="TableContents"/>
              <w:spacing w:before="0" w:after="283"/>
              <w:jc w:val="right"/>
              <w:rPr>
                <w:rFonts w:ascii="times" w:hAnsi="times"/>
                <w:sz w:val="14"/>
              </w:rPr>
            </w:pPr>
            <w:r>
              <w:rPr>
                <w:rFonts w:ascii="times" w:hAnsi="times"/>
                <w:sz w:val="14"/>
              </w:rPr>
              <w:t>87,819</w:t>
            </w:r>
          </w:p>
        </w:tc>
        <w:tc>
          <w:tcPr>
            <w:tcW w:w="100" w:type="dxa"/>
            <w:tcBorders/>
            <w:shd w:fill="auto" w:val="clear"/>
            <w:vAlign w:val="bottom"/>
          </w:tcPr>
          <w:p>
            <w:pPr>
              <w:pStyle w:val="TableContents"/>
              <w:spacing w:before="0" w:after="283"/>
              <w:rPr/>
            </w:pPr>
            <w:r>
              <w:rPr/>
              <w:t> </w:t>
            </w:r>
          </w:p>
        </w:tc>
        <w:tc>
          <w:tcPr>
            <w:tcW w:w="106" w:type="dxa"/>
            <w:tcBorders/>
            <w:shd w:fill="auto" w:val="clear"/>
            <w:vAlign w:val="bottom"/>
          </w:tcPr>
          <w:p>
            <w:pPr>
              <w:pStyle w:val="TableContents"/>
              <w:spacing w:before="0" w:after="283"/>
              <w:rPr/>
            </w:pPr>
            <w:r>
              <w:rPr/>
              <w:t> </w:t>
            </w:r>
          </w:p>
        </w:tc>
        <w:tc>
          <w:tcPr>
            <w:tcW w:w="618" w:type="dxa"/>
            <w:tcBorders/>
            <w:shd w:fill="auto" w:val="clear"/>
            <w:vAlign w:val="bottom"/>
          </w:tcPr>
          <w:p>
            <w:pPr>
              <w:pStyle w:val="TableContents"/>
              <w:spacing w:before="0" w:after="283"/>
              <w:jc w:val="right"/>
              <w:rPr>
                <w:rFonts w:ascii="times" w:hAnsi="times"/>
                <w:sz w:val="14"/>
              </w:rPr>
            </w:pPr>
            <w:r>
              <w:rPr>
                <w:rFonts w:ascii="times" w:hAnsi="times"/>
                <w:sz w:val="14"/>
              </w:rPr>
              <w:t>83,058</w:t>
            </w:r>
          </w:p>
        </w:tc>
        <w:tc>
          <w:tcPr>
            <w:tcW w:w="201" w:type="dxa"/>
            <w:tcBorders/>
            <w:shd w:fill="auto" w:val="clear"/>
            <w:vAlign w:val="bottom"/>
          </w:tcPr>
          <w:p>
            <w:pPr>
              <w:pStyle w:val="TableContents"/>
              <w:spacing w:before="0" w:after="283"/>
              <w:rPr/>
            </w:pPr>
            <w:r>
              <w:rPr/>
              <w:t> </w:t>
            </w:r>
          </w:p>
        </w:tc>
      </w:tr>
      <w:tr>
        <w:trPr/>
        <w:tc>
          <w:tcPr>
            <w:tcW w:w="1760" w:type="dxa"/>
            <w:tcBorders/>
            <w:shd w:fill="auto" w:val="clear"/>
            <w:vAlign w:val="bottom"/>
          </w:tcPr>
          <w:p>
            <w:pPr>
              <w:pStyle w:val="TableContents"/>
              <w:spacing w:before="0" w:after="283"/>
              <w:ind w:left="140" w:right="0" w:hanging="140"/>
              <w:rPr>
                <w:rFonts w:ascii="times" w:hAnsi="times"/>
                <w:sz w:val="14"/>
              </w:rPr>
            </w:pPr>
            <w:r>
              <w:rPr>
                <w:rFonts w:ascii="times" w:hAnsi="times"/>
                <w:sz w:val="14"/>
              </w:rPr>
              <w:t>Financial costs</w:t>
            </w:r>
          </w:p>
        </w:tc>
        <w:tc>
          <w:tcPr>
            <w:tcW w:w="101" w:type="dxa"/>
            <w:tcBorders/>
            <w:shd w:fill="auto" w:val="clear"/>
            <w:vAlign w:val="bottom"/>
          </w:tcPr>
          <w:p>
            <w:pPr>
              <w:pStyle w:val="TableContents"/>
              <w:spacing w:before="0" w:after="283"/>
              <w:rPr/>
            </w:pPr>
            <w:r>
              <w:rPr/>
              <w:t> </w:t>
            </w:r>
          </w:p>
        </w:tc>
        <w:tc>
          <w:tcPr>
            <w:tcW w:w="105" w:type="dxa"/>
            <w:tcBorders/>
            <w:shd w:fill="auto" w:val="clear"/>
            <w:vAlign w:val="bottom"/>
          </w:tcPr>
          <w:p>
            <w:pPr>
              <w:pStyle w:val="TableContents"/>
              <w:spacing w:before="0" w:after="283"/>
              <w:rPr/>
            </w:pPr>
            <w:r>
              <w:rPr/>
              <w:t> </w:t>
            </w:r>
          </w:p>
        </w:tc>
        <w:tc>
          <w:tcPr>
            <w:tcW w:w="619" w:type="dxa"/>
            <w:tcBorders/>
            <w:shd w:fill="auto" w:val="clear"/>
            <w:vAlign w:val="bottom"/>
          </w:tcPr>
          <w:p>
            <w:pPr>
              <w:pStyle w:val="TableContents"/>
              <w:spacing w:before="0" w:after="283"/>
              <w:jc w:val="right"/>
              <w:rPr>
                <w:rFonts w:ascii="times" w:hAnsi="times"/>
                <w:sz w:val="14"/>
              </w:rPr>
            </w:pPr>
            <w:r>
              <w:rPr>
                <w:rFonts w:ascii="times" w:hAnsi="times"/>
                <w:sz w:val="14"/>
              </w:rPr>
              <w:t>62,968</w:t>
            </w:r>
          </w:p>
        </w:tc>
        <w:tc>
          <w:tcPr>
            <w:tcW w:w="100" w:type="dxa"/>
            <w:tcBorders/>
            <w:shd w:fill="auto" w:val="clear"/>
            <w:vAlign w:val="bottom"/>
          </w:tcPr>
          <w:p>
            <w:pPr>
              <w:pStyle w:val="TableContents"/>
              <w:spacing w:before="0" w:after="283"/>
              <w:rPr/>
            </w:pPr>
            <w:r>
              <w:rPr/>
              <w:t> </w:t>
            </w:r>
          </w:p>
        </w:tc>
        <w:tc>
          <w:tcPr>
            <w:tcW w:w="106" w:type="dxa"/>
            <w:tcBorders/>
            <w:shd w:fill="auto" w:val="clear"/>
            <w:vAlign w:val="bottom"/>
          </w:tcPr>
          <w:p>
            <w:pPr>
              <w:pStyle w:val="TableContents"/>
              <w:spacing w:before="0" w:after="283"/>
              <w:rPr/>
            </w:pPr>
            <w:r>
              <w:rPr/>
              <w:t> </w:t>
            </w:r>
          </w:p>
        </w:tc>
        <w:tc>
          <w:tcPr>
            <w:tcW w:w="618" w:type="dxa"/>
            <w:tcBorders/>
            <w:shd w:fill="auto" w:val="clear"/>
            <w:vAlign w:val="bottom"/>
          </w:tcPr>
          <w:p>
            <w:pPr>
              <w:pStyle w:val="TableContents"/>
              <w:spacing w:before="0" w:after="283"/>
              <w:jc w:val="right"/>
              <w:rPr>
                <w:rFonts w:ascii="times" w:hAnsi="times"/>
                <w:sz w:val="14"/>
              </w:rPr>
            </w:pPr>
            <w:r>
              <w:rPr>
                <w:rFonts w:ascii="times" w:hAnsi="times"/>
                <w:sz w:val="14"/>
              </w:rPr>
              <w:t>70,793</w:t>
            </w:r>
          </w:p>
        </w:tc>
        <w:tc>
          <w:tcPr>
            <w:tcW w:w="100" w:type="dxa"/>
            <w:tcBorders/>
            <w:shd w:fill="auto" w:val="clear"/>
            <w:vAlign w:val="bottom"/>
          </w:tcPr>
          <w:p>
            <w:pPr>
              <w:pStyle w:val="TableContents"/>
              <w:spacing w:before="0" w:after="283"/>
              <w:rPr/>
            </w:pPr>
            <w:r>
              <w:rPr/>
              <w:t> </w:t>
            </w:r>
          </w:p>
        </w:tc>
        <w:tc>
          <w:tcPr>
            <w:tcW w:w="106" w:type="dxa"/>
            <w:tcBorders/>
            <w:shd w:fill="auto" w:val="clear"/>
            <w:vAlign w:val="bottom"/>
          </w:tcPr>
          <w:p>
            <w:pPr>
              <w:pStyle w:val="TableContents"/>
              <w:spacing w:before="0" w:after="283"/>
              <w:rPr/>
            </w:pPr>
            <w:r>
              <w:rPr/>
              <w:t> </w:t>
            </w:r>
          </w:p>
        </w:tc>
        <w:tc>
          <w:tcPr>
            <w:tcW w:w="618" w:type="dxa"/>
            <w:tcBorders/>
            <w:shd w:fill="auto" w:val="clear"/>
            <w:vAlign w:val="bottom"/>
          </w:tcPr>
          <w:p>
            <w:pPr>
              <w:pStyle w:val="TableContents"/>
              <w:spacing w:before="0" w:after="283"/>
              <w:jc w:val="right"/>
              <w:rPr>
                <w:rFonts w:ascii="times" w:hAnsi="times"/>
                <w:sz w:val="14"/>
              </w:rPr>
            </w:pPr>
            <w:r>
              <w:rPr>
                <w:rFonts w:ascii="times" w:hAnsi="times"/>
                <w:sz w:val="14"/>
              </w:rPr>
              <w:t>72,714</w:t>
            </w:r>
          </w:p>
        </w:tc>
        <w:tc>
          <w:tcPr>
            <w:tcW w:w="101" w:type="dxa"/>
            <w:tcBorders/>
            <w:shd w:fill="auto" w:val="clear"/>
            <w:vAlign w:val="bottom"/>
          </w:tcPr>
          <w:p>
            <w:pPr>
              <w:pStyle w:val="TableContents"/>
              <w:spacing w:before="0" w:after="283"/>
              <w:rPr/>
            </w:pPr>
            <w:r>
              <w:rPr/>
              <w:t> </w:t>
            </w:r>
          </w:p>
        </w:tc>
        <w:tc>
          <w:tcPr>
            <w:tcW w:w="105" w:type="dxa"/>
            <w:tcBorders/>
            <w:shd w:fill="auto" w:val="clear"/>
            <w:vAlign w:val="bottom"/>
          </w:tcPr>
          <w:p>
            <w:pPr>
              <w:pStyle w:val="TableContents"/>
              <w:spacing w:before="0" w:after="283"/>
              <w:rPr/>
            </w:pPr>
            <w:r>
              <w:rPr/>
              <w:t> </w:t>
            </w:r>
          </w:p>
        </w:tc>
        <w:tc>
          <w:tcPr>
            <w:tcW w:w="619" w:type="dxa"/>
            <w:tcBorders/>
            <w:shd w:fill="auto" w:val="clear"/>
            <w:vAlign w:val="bottom"/>
          </w:tcPr>
          <w:p>
            <w:pPr>
              <w:pStyle w:val="TableContents"/>
              <w:spacing w:before="0" w:after="283"/>
              <w:jc w:val="right"/>
              <w:rPr>
                <w:rFonts w:ascii="times" w:hAnsi="times"/>
                <w:sz w:val="14"/>
              </w:rPr>
            </w:pPr>
            <w:r>
              <w:rPr>
                <w:rFonts w:ascii="times" w:hAnsi="times"/>
                <w:sz w:val="14"/>
              </w:rPr>
              <w:t>71,998</w:t>
            </w:r>
          </w:p>
        </w:tc>
        <w:tc>
          <w:tcPr>
            <w:tcW w:w="100" w:type="dxa"/>
            <w:tcBorders/>
            <w:shd w:fill="auto" w:val="clear"/>
            <w:vAlign w:val="bottom"/>
          </w:tcPr>
          <w:p>
            <w:pPr>
              <w:pStyle w:val="TableContents"/>
              <w:spacing w:before="0" w:after="283"/>
              <w:rPr/>
            </w:pPr>
            <w:r>
              <w:rPr/>
              <w:t> </w:t>
            </w:r>
          </w:p>
        </w:tc>
        <w:tc>
          <w:tcPr>
            <w:tcW w:w="106" w:type="dxa"/>
            <w:tcBorders/>
            <w:shd w:fill="auto" w:val="clear"/>
            <w:vAlign w:val="bottom"/>
          </w:tcPr>
          <w:p>
            <w:pPr>
              <w:pStyle w:val="TableContents"/>
              <w:spacing w:before="0" w:after="283"/>
              <w:rPr/>
            </w:pPr>
            <w:r>
              <w:rPr/>
              <w:t> </w:t>
            </w:r>
          </w:p>
        </w:tc>
        <w:tc>
          <w:tcPr>
            <w:tcW w:w="618" w:type="dxa"/>
            <w:tcBorders/>
            <w:shd w:fill="auto" w:val="clear"/>
            <w:vAlign w:val="bottom"/>
          </w:tcPr>
          <w:p>
            <w:pPr>
              <w:pStyle w:val="TableContents"/>
              <w:spacing w:before="0" w:after="283"/>
              <w:jc w:val="right"/>
              <w:rPr>
                <w:rFonts w:ascii="times" w:hAnsi="times"/>
                <w:sz w:val="14"/>
              </w:rPr>
            </w:pPr>
            <w:r>
              <w:rPr>
                <w:rFonts w:ascii="times" w:hAnsi="times"/>
                <w:sz w:val="14"/>
              </w:rPr>
              <w:t>50,987</w:t>
            </w:r>
          </w:p>
        </w:tc>
        <w:tc>
          <w:tcPr>
            <w:tcW w:w="100" w:type="dxa"/>
            <w:tcBorders/>
            <w:shd w:fill="auto" w:val="clear"/>
            <w:vAlign w:val="bottom"/>
          </w:tcPr>
          <w:p>
            <w:pPr>
              <w:pStyle w:val="TableContents"/>
              <w:spacing w:before="0" w:after="283"/>
              <w:rPr/>
            </w:pPr>
            <w:r>
              <w:rPr/>
              <w:t> </w:t>
            </w:r>
          </w:p>
        </w:tc>
        <w:tc>
          <w:tcPr>
            <w:tcW w:w="106" w:type="dxa"/>
            <w:tcBorders/>
            <w:shd w:fill="auto" w:val="clear"/>
            <w:vAlign w:val="bottom"/>
          </w:tcPr>
          <w:p>
            <w:pPr>
              <w:pStyle w:val="TableContents"/>
              <w:spacing w:before="0" w:after="283"/>
              <w:rPr/>
            </w:pPr>
            <w:r>
              <w:rPr/>
              <w:t> </w:t>
            </w:r>
          </w:p>
        </w:tc>
        <w:tc>
          <w:tcPr>
            <w:tcW w:w="619" w:type="dxa"/>
            <w:tcBorders/>
            <w:shd w:fill="auto" w:val="clear"/>
            <w:vAlign w:val="bottom"/>
          </w:tcPr>
          <w:p>
            <w:pPr>
              <w:pStyle w:val="TableContents"/>
              <w:spacing w:before="0" w:after="283"/>
              <w:jc w:val="right"/>
              <w:rPr>
                <w:rFonts w:ascii="times" w:hAnsi="times"/>
                <w:sz w:val="14"/>
              </w:rPr>
            </w:pPr>
            <w:r>
              <w:rPr>
                <w:rFonts w:ascii="times" w:hAnsi="times"/>
                <w:sz w:val="14"/>
              </w:rPr>
              <w:t>30,187</w:t>
            </w:r>
          </w:p>
        </w:tc>
        <w:tc>
          <w:tcPr>
            <w:tcW w:w="100" w:type="dxa"/>
            <w:tcBorders/>
            <w:shd w:fill="auto" w:val="clear"/>
            <w:vAlign w:val="bottom"/>
          </w:tcPr>
          <w:p>
            <w:pPr>
              <w:pStyle w:val="TableContents"/>
              <w:spacing w:before="0" w:after="283"/>
              <w:rPr/>
            </w:pPr>
            <w:r>
              <w:rPr/>
              <w:t> </w:t>
            </w:r>
          </w:p>
        </w:tc>
        <w:tc>
          <w:tcPr>
            <w:tcW w:w="105" w:type="dxa"/>
            <w:tcBorders/>
            <w:shd w:fill="auto" w:val="clear"/>
            <w:vAlign w:val="bottom"/>
          </w:tcPr>
          <w:p>
            <w:pPr>
              <w:pStyle w:val="TableContents"/>
              <w:spacing w:before="0" w:after="283"/>
              <w:rPr/>
            </w:pPr>
            <w:r>
              <w:rPr/>
              <w:t> </w:t>
            </w:r>
          </w:p>
        </w:tc>
        <w:tc>
          <w:tcPr>
            <w:tcW w:w="619" w:type="dxa"/>
            <w:tcBorders/>
            <w:shd w:fill="auto" w:val="clear"/>
            <w:vAlign w:val="bottom"/>
          </w:tcPr>
          <w:p>
            <w:pPr>
              <w:pStyle w:val="TableContents"/>
              <w:spacing w:before="0" w:after="283"/>
              <w:jc w:val="right"/>
              <w:rPr>
                <w:rFonts w:ascii="times" w:hAnsi="times"/>
                <w:sz w:val="14"/>
              </w:rPr>
            </w:pPr>
            <w:r>
              <w:rPr>
                <w:rFonts w:ascii="times" w:hAnsi="times"/>
                <w:sz w:val="14"/>
              </w:rPr>
              <w:t>44,916</w:t>
            </w:r>
          </w:p>
        </w:tc>
        <w:tc>
          <w:tcPr>
            <w:tcW w:w="100" w:type="dxa"/>
            <w:tcBorders/>
            <w:shd w:fill="auto" w:val="clear"/>
            <w:vAlign w:val="bottom"/>
          </w:tcPr>
          <w:p>
            <w:pPr>
              <w:pStyle w:val="TableContents"/>
              <w:spacing w:before="0" w:after="283"/>
              <w:rPr/>
            </w:pPr>
            <w:r>
              <w:rPr/>
              <w:t> </w:t>
            </w:r>
          </w:p>
        </w:tc>
        <w:tc>
          <w:tcPr>
            <w:tcW w:w="106" w:type="dxa"/>
            <w:tcBorders/>
            <w:shd w:fill="auto" w:val="clear"/>
            <w:vAlign w:val="bottom"/>
          </w:tcPr>
          <w:p>
            <w:pPr>
              <w:pStyle w:val="TableContents"/>
              <w:spacing w:before="0" w:after="283"/>
              <w:rPr/>
            </w:pPr>
            <w:r>
              <w:rPr/>
              <w:t> </w:t>
            </w:r>
          </w:p>
        </w:tc>
        <w:tc>
          <w:tcPr>
            <w:tcW w:w="618" w:type="dxa"/>
            <w:tcBorders/>
            <w:shd w:fill="auto" w:val="clear"/>
            <w:vAlign w:val="bottom"/>
          </w:tcPr>
          <w:p>
            <w:pPr>
              <w:pStyle w:val="TableContents"/>
              <w:spacing w:before="0" w:after="283"/>
              <w:jc w:val="right"/>
              <w:rPr>
                <w:rFonts w:ascii="times" w:hAnsi="times"/>
                <w:sz w:val="14"/>
              </w:rPr>
            </w:pPr>
            <w:r>
              <w:rPr>
                <w:rFonts w:ascii="times" w:hAnsi="times"/>
                <w:sz w:val="14"/>
              </w:rPr>
              <w:t>60,258</w:t>
            </w:r>
          </w:p>
        </w:tc>
        <w:tc>
          <w:tcPr>
            <w:tcW w:w="100" w:type="dxa"/>
            <w:tcBorders/>
            <w:shd w:fill="auto" w:val="clear"/>
            <w:vAlign w:val="bottom"/>
          </w:tcPr>
          <w:p>
            <w:pPr>
              <w:pStyle w:val="TableContents"/>
              <w:spacing w:before="0" w:after="283"/>
              <w:rPr/>
            </w:pPr>
            <w:r>
              <w:rPr/>
              <w:t> </w:t>
            </w:r>
          </w:p>
        </w:tc>
        <w:tc>
          <w:tcPr>
            <w:tcW w:w="106" w:type="dxa"/>
            <w:tcBorders/>
            <w:shd w:fill="auto" w:val="clear"/>
            <w:vAlign w:val="bottom"/>
          </w:tcPr>
          <w:p>
            <w:pPr>
              <w:pStyle w:val="TableContents"/>
              <w:spacing w:before="0" w:after="283"/>
              <w:rPr/>
            </w:pPr>
            <w:r>
              <w:rPr/>
              <w:t> </w:t>
            </w:r>
          </w:p>
        </w:tc>
        <w:tc>
          <w:tcPr>
            <w:tcW w:w="619" w:type="dxa"/>
            <w:tcBorders/>
            <w:shd w:fill="auto" w:val="clear"/>
            <w:vAlign w:val="bottom"/>
          </w:tcPr>
          <w:p>
            <w:pPr>
              <w:pStyle w:val="TableContents"/>
              <w:spacing w:before="0" w:after="283"/>
              <w:jc w:val="right"/>
              <w:rPr>
                <w:rFonts w:ascii="times" w:hAnsi="times"/>
                <w:sz w:val="14"/>
              </w:rPr>
            </w:pPr>
            <w:r>
              <w:rPr>
                <w:rFonts w:ascii="times" w:hAnsi="times"/>
                <w:sz w:val="14"/>
              </w:rPr>
              <w:t>70,268</w:t>
            </w:r>
          </w:p>
        </w:tc>
        <w:tc>
          <w:tcPr>
            <w:tcW w:w="100" w:type="dxa"/>
            <w:tcBorders/>
            <w:shd w:fill="auto" w:val="clear"/>
            <w:vAlign w:val="bottom"/>
          </w:tcPr>
          <w:p>
            <w:pPr>
              <w:pStyle w:val="TableContents"/>
              <w:spacing w:before="0" w:after="283"/>
              <w:rPr/>
            </w:pPr>
            <w:r>
              <w:rPr/>
              <w:t> </w:t>
            </w:r>
          </w:p>
        </w:tc>
        <w:tc>
          <w:tcPr>
            <w:tcW w:w="106" w:type="dxa"/>
            <w:tcBorders/>
            <w:shd w:fill="auto" w:val="clear"/>
            <w:vAlign w:val="bottom"/>
          </w:tcPr>
          <w:p>
            <w:pPr>
              <w:pStyle w:val="TableContents"/>
              <w:spacing w:before="0" w:after="283"/>
              <w:rPr/>
            </w:pPr>
            <w:r>
              <w:rPr/>
              <w:t> </w:t>
            </w:r>
          </w:p>
        </w:tc>
        <w:tc>
          <w:tcPr>
            <w:tcW w:w="618" w:type="dxa"/>
            <w:tcBorders/>
            <w:shd w:fill="auto" w:val="clear"/>
            <w:vAlign w:val="bottom"/>
          </w:tcPr>
          <w:p>
            <w:pPr>
              <w:pStyle w:val="TableContents"/>
              <w:spacing w:before="0" w:after="283"/>
              <w:jc w:val="right"/>
              <w:rPr>
                <w:rFonts w:ascii="times" w:hAnsi="times"/>
                <w:sz w:val="14"/>
              </w:rPr>
            </w:pPr>
            <w:r>
              <w:rPr>
                <w:rFonts w:ascii="times" w:hAnsi="times"/>
                <w:sz w:val="14"/>
              </w:rPr>
              <w:t>50,987</w:t>
            </w:r>
          </w:p>
        </w:tc>
        <w:tc>
          <w:tcPr>
            <w:tcW w:w="201" w:type="dxa"/>
            <w:tcBorders/>
            <w:shd w:fill="auto" w:val="clear"/>
            <w:vAlign w:val="bottom"/>
          </w:tcPr>
          <w:p>
            <w:pPr>
              <w:pStyle w:val="TableContents"/>
              <w:spacing w:before="0" w:after="283"/>
              <w:rPr/>
            </w:pPr>
            <w:r>
              <w:rPr/>
              <w:t> </w:t>
            </w:r>
          </w:p>
        </w:tc>
      </w:tr>
      <w:tr>
        <w:trPr/>
        <w:tc>
          <w:tcPr>
            <w:tcW w:w="1760" w:type="dxa"/>
            <w:tcBorders/>
            <w:shd w:fill="auto" w:val="clear"/>
            <w:vAlign w:val="bottom"/>
          </w:tcPr>
          <w:p>
            <w:pPr>
              <w:pStyle w:val="TableContents"/>
              <w:spacing w:before="0" w:after="283"/>
              <w:ind w:left="140" w:right="0" w:hanging="140"/>
              <w:rPr>
                <w:rFonts w:ascii="times" w:hAnsi="times"/>
                <w:sz w:val="14"/>
              </w:rPr>
            </w:pPr>
            <w:r>
              <w:rPr>
                <w:rFonts w:ascii="times" w:hAnsi="times"/>
                <w:sz w:val="14"/>
              </w:rPr>
              <w:t>Financial income</w:t>
            </w:r>
          </w:p>
        </w:tc>
        <w:tc>
          <w:tcPr>
            <w:tcW w:w="101" w:type="dxa"/>
            <w:tcBorders/>
            <w:shd w:fill="auto" w:val="clear"/>
            <w:vAlign w:val="bottom"/>
          </w:tcPr>
          <w:p>
            <w:pPr>
              <w:pStyle w:val="TableContents"/>
              <w:spacing w:before="0" w:after="283"/>
              <w:rPr/>
            </w:pPr>
            <w:r>
              <w:rPr/>
              <w:t> </w:t>
            </w:r>
          </w:p>
        </w:tc>
        <w:tc>
          <w:tcPr>
            <w:tcW w:w="105" w:type="dxa"/>
            <w:tcBorders/>
            <w:shd w:fill="auto" w:val="clear"/>
            <w:vAlign w:val="bottom"/>
          </w:tcPr>
          <w:p>
            <w:pPr>
              <w:pStyle w:val="TableContents"/>
              <w:spacing w:before="0" w:after="283"/>
              <w:rPr/>
            </w:pPr>
            <w:r>
              <w:rPr/>
              <w:t> </w:t>
            </w:r>
          </w:p>
        </w:tc>
        <w:tc>
          <w:tcPr>
            <w:tcW w:w="619" w:type="dxa"/>
            <w:tcBorders/>
            <w:shd w:fill="auto" w:val="clear"/>
            <w:vAlign w:val="bottom"/>
          </w:tcPr>
          <w:p>
            <w:pPr>
              <w:pStyle w:val="TableContents"/>
              <w:spacing w:before="0" w:after="283"/>
              <w:jc w:val="right"/>
              <w:rPr>
                <w:rFonts w:ascii="times" w:hAnsi="times"/>
                <w:sz w:val="14"/>
              </w:rPr>
            </w:pPr>
            <w:r>
              <w:rPr>
                <w:rFonts w:ascii="times" w:hAnsi="times"/>
                <w:sz w:val="14"/>
              </w:rPr>
              <w:t>(214</w:t>
            </w:r>
          </w:p>
        </w:tc>
        <w:tc>
          <w:tcPr>
            <w:tcW w:w="100" w:type="dxa"/>
            <w:tcBorders/>
            <w:shd w:fill="auto" w:val="clear"/>
            <w:vAlign w:val="bottom"/>
          </w:tcPr>
          <w:p>
            <w:pPr>
              <w:pStyle w:val="TableContents"/>
              <w:spacing w:before="0" w:after="283"/>
              <w:rPr>
                <w:rFonts w:ascii="times" w:hAnsi="times"/>
                <w:sz w:val="14"/>
              </w:rPr>
            </w:pPr>
            <w:r>
              <w:rPr>
                <w:rFonts w:ascii="times" w:hAnsi="times"/>
                <w:sz w:val="14"/>
              </w:rPr>
              <w:t>)</w:t>
            </w:r>
          </w:p>
        </w:tc>
        <w:tc>
          <w:tcPr>
            <w:tcW w:w="106" w:type="dxa"/>
            <w:tcBorders/>
            <w:shd w:fill="auto" w:val="clear"/>
            <w:vAlign w:val="bottom"/>
          </w:tcPr>
          <w:p>
            <w:pPr>
              <w:pStyle w:val="TableContents"/>
              <w:spacing w:before="0" w:after="283"/>
              <w:rPr/>
            </w:pPr>
            <w:r>
              <w:rPr/>
              <w:t> </w:t>
            </w:r>
          </w:p>
        </w:tc>
        <w:tc>
          <w:tcPr>
            <w:tcW w:w="618" w:type="dxa"/>
            <w:tcBorders/>
            <w:shd w:fill="auto" w:val="clear"/>
            <w:vAlign w:val="bottom"/>
          </w:tcPr>
          <w:p>
            <w:pPr>
              <w:pStyle w:val="TableContents"/>
              <w:spacing w:before="0" w:after="283"/>
              <w:jc w:val="right"/>
              <w:rPr>
                <w:rFonts w:ascii="times" w:hAnsi="times"/>
                <w:sz w:val="14"/>
              </w:rPr>
            </w:pPr>
            <w:r>
              <w:rPr>
                <w:rFonts w:ascii="times" w:hAnsi="times"/>
                <w:sz w:val="14"/>
              </w:rPr>
              <w:t>(1,036</w:t>
            </w:r>
          </w:p>
        </w:tc>
        <w:tc>
          <w:tcPr>
            <w:tcW w:w="100" w:type="dxa"/>
            <w:tcBorders/>
            <w:shd w:fill="auto" w:val="clear"/>
            <w:vAlign w:val="bottom"/>
          </w:tcPr>
          <w:p>
            <w:pPr>
              <w:pStyle w:val="TableContents"/>
              <w:spacing w:before="0" w:after="283"/>
              <w:rPr>
                <w:rFonts w:ascii="times" w:hAnsi="times"/>
                <w:sz w:val="14"/>
              </w:rPr>
            </w:pPr>
            <w:r>
              <w:rPr>
                <w:rFonts w:ascii="times" w:hAnsi="times"/>
                <w:sz w:val="14"/>
              </w:rPr>
              <w:t>)</w:t>
            </w:r>
          </w:p>
        </w:tc>
        <w:tc>
          <w:tcPr>
            <w:tcW w:w="106" w:type="dxa"/>
            <w:tcBorders/>
            <w:shd w:fill="auto" w:val="clear"/>
            <w:vAlign w:val="bottom"/>
          </w:tcPr>
          <w:p>
            <w:pPr>
              <w:pStyle w:val="TableContents"/>
              <w:spacing w:before="0" w:after="283"/>
              <w:rPr/>
            </w:pPr>
            <w:r>
              <w:rPr/>
              <w:t> </w:t>
            </w:r>
          </w:p>
        </w:tc>
        <w:tc>
          <w:tcPr>
            <w:tcW w:w="618" w:type="dxa"/>
            <w:tcBorders/>
            <w:shd w:fill="auto" w:val="clear"/>
            <w:vAlign w:val="bottom"/>
          </w:tcPr>
          <w:p>
            <w:pPr>
              <w:pStyle w:val="TableContents"/>
              <w:spacing w:before="0" w:after="283"/>
              <w:jc w:val="right"/>
              <w:rPr>
                <w:rFonts w:ascii="times" w:hAnsi="times"/>
                <w:sz w:val="14"/>
              </w:rPr>
            </w:pPr>
            <w:r>
              <w:rPr>
                <w:rFonts w:ascii="times" w:hAnsi="times"/>
                <w:sz w:val="14"/>
              </w:rPr>
              <w:t>(2,448</w:t>
            </w:r>
          </w:p>
        </w:tc>
        <w:tc>
          <w:tcPr>
            <w:tcW w:w="101" w:type="dxa"/>
            <w:tcBorders/>
            <w:shd w:fill="auto" w:val="clear"/>
            <w:vAlign w:val="bottom"/>
          </w:tcPr>
          <w:p>
            <w:pPr>
              <w:pStyle w:val="TableContents"/>
              <w:spacing w:before="0" w:after="283"/>
              <w:rPr>
                <w:rFonts w:ascii="times" w:hAnsi="times"/>
                <w:sz w:val="14"/>
              </w:rPr>
            </w:pPr>
            <w:r>
              <w:rPr>
                <w:rFonts w:ascii="times" w:hAnsi="times"/>
                <w:sz w:val="14"/>
              </w:rPr>
              <w:t>)</w:t>
            </w:r>
          </w:p>
        </w:tc>
        <w:tc>
          <w:tcPr>
            <w:tcW w:w="105" w:type="dxa"/>
            <w:tcBorders/>
            <w:shd w:fill="auto" w:val="clear"/>
            <w:vAlign w:val="bottom"/>
          </w:tcPr>
          <w:p>
            <w:pPr>
              <w:pStyle w:val="TableContents"/>
              <w:spacing w:before="0" w:after="283"/>
              <w:rPr/>
            </w:pPr>
            <w:r>
              <w:rPr/>
              <w:t> </w:t>
            </w:r>
          </w:p>
        </w:tc>
        <w:tc>
          <w:tcPr>
            <w:tcW w:w="619" w:type="dxa"/>
            <w:tcBorders/>
            <w:shd w:fill="auto" w:val="clear"/>
            <w:vAlign w:val="bottom"/>
          </w:tcPr>
          <w:p>
            <w:pPr>
              <w:pStyle w:val="TableContents"/>
              <w:spacing w:before="0" w:after="283"/>
              <w:jc w:val="right"/>
              <w:rPr>
                <w:rFonts w:ascii="times" w:hAnsi="times"/>
                <w:sz w:val="14"/>
              </w:rPr>
            </w:pPr>
            <w:r>
              <w:rPr>
                <w:rFonts w:ascii="times" w:hAnsi="times"/>
                <w:sz w:val="14"/>
              </w:rPr>
              <w:t>(1,887</w:t>
            </w:r>
          </w:p>
        </w:tc>
        <w:tc>
          <w:tcPr>
            <w:tcW w:w="100" w:type="dxa"/>
            <w:tcBorders/>
            <w:shd w:fill="auto" w:val="clear"/>
            <w:vAlign w:val="bottom"/>
          </w:tcPr>
          <w:p>
            <w:pPr>
              <w:pStyle w:val="TableContents"/>
              <w:spacing w:before="0" w:after="283"/>
              <w:rPr>
                <w:rFonts w:ascii="times" w:hAnsi="times"/>
                <w:sz w:val="14"/>
              </w:rPr>
            </w:pPr>
            <w:r>
              <w:rPr>
                <w:rFonts w:ascii="times" w:hAnsi="times"/>
                <w:sz w:val="14"/>
              </w:rPr>
              <w:t>)</w:t>
            </w:r>
          </w:p>
        </w:tc>
        <w:tc>
          <w:tcPr>
            <w:tcW w:w="106" w:type="dxa"/>
            <w:tcBorders/>
            <w:shd w:fill="auto" w:val="clear"/>
            <w:vAlign w:val="bottom"/>
          </w:tcPr>
          <w:p>
            <w:pPr>
              <w:pStyle w:val="TableContents"/>
              <w:spacing w:before="0" w:after="283"/>
              <w:rPr/>
            </w:pPr>
            <w:r>
              <w:rPr/>
              <w:t> </w:t>
            </w:r>
          </w:p>
        </w:tc>
        <w:tc>
          <w:tcPr>
            <w:tcW w:w="618" w:type="dxa"/>
            <w:tcBorders/>
            <w:shd w:fill="auto" w:val="clear"/>
            <w:vAlign w:val="bottom"/>
          </w:tcPr>
          <w:p>
            <w:pPr>
              <w:pStyle w:val="TableContents"/>
              <w:spacing w:before="0" w:after="283"/>
              <w:jc w:val="right"/>
              <w:rPr>
                <w:rFonts w:ascii="times" w:hAnsi="times"/>
                <w:sz w:val="14"/>
              </w:rPr>
            </w:pPr>
            <w:r>
              <w:rPr>
                <w:rFonts w:ascii="times" w:hAnsi="times"/>
                <w:sz w:val="14"/>
              </w:rPr>
              <w:t>(295</w:t>
            </w:r>
          </w:p>
        </w:tc>
        <w:tc>
          <w:tcPr>
            <w:tcW w:w="100" w:type="dxa"/>
            <w:tcBorders/>
            <w:shd w:fill="auto" w:val="clear"/>
            <w:vAlign w:val="bottom"/>
          </w:tcPr>
          <w:p>
            <w:pPr>
              <w:pStyle w:val="TableContents"/>
              <w:spacing w:before="0" w:after="283"/>
              <w:rPr>
                <w:rFonts w:ascii="times" w:hAnsi="times"/>
                <w:sz w:val="14"/>
              </w:rPr>
            </w:pPr>
            <w:r>
              <w:rPr>
                <w:rFonts w:ascii="times" w:hAnsi="times"/>
                <w:sz w:val="14"/>
              </w:rPr>
              <w:t>)</w:t>
            </w:r>
          </w:p>
        </w:tc>
        <w:tc>
          <w:tcPr>
            <w:tcW w:w="106" w:type="dxa"/>
            <w:tcBorders/>
            <w:shd w:fill="auto" w:val="clear"/>
            <w:vAlign w:val="bottom"/>
          </w:tcPr>
          <w:p>
            <w:pPr>
              <w:pStyle w:val="TableContents"/>
              <w:spacing w:before="0" w:after="283"/>
              <w:rPr/>
            </w:pPr>
            <w:r>
              <w:rPr/>
              <w:t> </w:t>
            </w:r>
          </w:p>
        </w:tc>
        <w:tc>
          <w:tcPr>
            <w:tcW w:w="619" w:type="dxa"/>
            <w:tcBorders/>
            <w:shd w:fill="auto" w:val="clear"/>
            <w:vAlign w:val="bottom"/>
          </w:tcPr>
          <w:p>
            <w:pPr>
              <w:pStyle w:val="TableContents"/>
              <w:spacing w:before="0" w:after="283"/>
              <w:jc w:val="right"/>
              <w:rPr>
                <w:rFonts w:ascii="times" w:hAnsi="times"/>
                <w:sz w:val="14"/>
              </w:rPr>
            </w:pPr>
            <w:r>
              <w:rPr>
                <w:rFonts w:ascii="times" w:hAnsi="times"/>
                <w:sz w:val="14"/>
              </w:rPr>
              <w:t>(179</w:t>
            </w:r>
          </w:p>
        </w:tc>
        <w:tc>
          <w:tcPr>
            <w:tcW w:w="100" w:type="dxa"/>
            <w:tcBorders/>
            <w:shd w:fill="auto" w:val="clear"/>
            <w:vAlign w:val="bottom"/>
          </w:tcPr>
          <w:p>
            <w:pPr>
              <w:pStyle w:val="TableContents"/>
              <w:spacing w:before="0" w:after="283"/>
              <w:rPr>
                <w:rFonts w:ascii="times" w:hAnsi="times"/>
                <w:sz w:val="14"/>
              </w:rPr>
            </w:pPr>
            <w:r>
              <w:rPr>
                <w:rFonts w:ascii="times" w:hAnsi="times"/>
                <w:sz w:val="14"/>
              </w:rPr>
              <w:t>)</w:t>
            </w:r>
          </w:p>
        </w:tc>
        <w:tc>
          <w:tcPr>
            <w:tcW w:w="105" w:type="dxa"/>
            <w:tcBorders/>
            <w:shd w:fill="auto" w:val="clear"/>
            <w:vAlign w:val="bottom"/>
          </w:tcPr>
          <w:p>
            <w:pPr>
              <w:pStyle w:val="TableContents"/>
              <w:spacing w:before="0" w:after="283"/>
              <w:rPr/>
            </w:pPr>
            <w:r>
              <w:rPr/>
              <w:t> </w:t>
            </w:r>
          </w:p>
        </w:tc>
        <w:tc>
          <w:tcPr>
            <w:tcW w:w="619" w:type="dxa"/>
            <w:tcBorders/>
            <w:shd w:fill="auto" w:val="clear"/>
            <w:vAlign w:val="bottom"/>
          </w:tcPr>
          <w:p>
            <w:pPr>
              <w:pStyle w:val="TableContents"/>
              <w:spacing w:before="0" w:after="283"/>
              <w:jc w:val="right"/>
              <w:rPr>
                <w:rFonts w:ascii="times" w:hAnsi="times"/>
                <w:sz w:val="14"/>
              </w:rPr>
            </w:pPr>
            <w:r>
              <w:rPr>
                <w:rFonts w:ascii="times" w:hAnsi="times"/>
                <w:sz w:val="14"/>
              </w:rPr>
              <w:t>(972</w:t>
            </w:r>
          </w:p>
        </w:tc>
        <w:tc>
          <w:tcPr>
            <w:tcW w:w="100" w:type="dxa"/>
            <w:tcBorders/>
            <w:shd w:fill="auto" w:val="clear"/>
            <w:vAlign w:val="bottom"/>
          </w:tcPr>
          <w:p>
            <w:pPr>
              <w:pStyle w:val="TableContents"/>
              <w:spacing w:before="0" w:after="283"/>
              <w:rPr>
                <w:rFonts w:ascii="times" w:hAnsi="times"/>
                <w:sz w:val="14"/>
              </w:rPr>
            </w:pPr>
            <w:r>
              <w:rPr>
                <w:rFonts w:ascii="times" w:hAnsi="times"/>
                <w:sz w:val="14"/>
              </w:rPr>
              <w:t>)</w:t>
            </w:r>
          </w:p>
        </w:tc>
        <w:tc>
          <w:tcPr>
            <w:tcW w:w="106" w:type="dxa"/>
            <w:tcBorders/>
            <w:shd w:fill="auto" w:val="clear"/>
            <w:vAlign w:val="bottom"/>
          </w:tcPr>
          <w:p>
            <w:pPr>
              <w:pStyle w:val="TableContents"/>
              <w:spacing w:before="0" w:after="283"/>
              <w:rPr/>
            </w:pPr>
            <w:r>
              <w:rPr/>
              <w:t> </w:t>
            </w:r>
          </w:p>
        </w:tc>
        <w:tc>
          <w:tcPr>
            <w:tcW w:w="618" w:type="dxa"/>
            <w:tcBorders/>
            <w:shd w:fill="auto" w:val="clear"/>
            <w:vAlign w:val="bottom"/>
          </w:tcPr>
          <w:p>
            <w:pPr>
              <w:pStyle w:val="TableContents"/>
              <w:spacing w:before="0" w:after="283"/>
              <w:jc w:val="right"/>
              <w:rPr>
                <w:rFonts w:ascii="times" w:hAnsi="times"/>
                <w:sz w:val="14"/>
              </w:rPr>
            </w:pPr>
            <w:r>
              <w:rPr>
                <w:rFonts w:ascii="times" w:hAnsi="times"/>
                <w:sz w:val="14"/>
              </w:rPr>
              <w:t>(2,398</w:t>
            </w:r>
          </w:p>
        </w:tc>
        <w:tc>
          <w:tcPr>
            <w:tcW w:w="100" w:type="dxa"/>
            <w:tcBorders/>
            <w:shd w:fill="auto" w:val="clear"/>
            <w:vAlign w:val="bottom"/>
          </w:tcPr>
          <w:p>
            <w:pPr>
              <w:pStyle w:val="TableContents"/>
              <w:spacing w:before="0" w:after="283"/>
              <w:rPr>
                <w:rFonts w:ascii="times" w:hAnsi="times"/>
                <w:sz w:val="14"/>
              </w:rPr>
            </w:pPr>
            <w:r>
              <w:rPr>
                <w:rFonts w:ascii="times" w:hAnsi="times"/>
                <w:sz w:val="14"/>
              </w:rPr>
              <w:t>)</w:t>
            </w:r>
          </w:p>
        </w:tc>
        <w:tc>
          <w:tcPr>
            <w:tcW w:w="106" w:type="dxa"/>
            <w:tcBorders/>
            <w:shd w:fill="auto" w:val="clear"/>
            <w:vAlign w:val="bottom"/>
          </w:tcPr>
          <w:p>
            <w:pPr>
              <w:pStyle w:val="TableContents"/>
              <w:spacing w:before="0" w:after="283"/>
              <w:rPr/>
            </w:pPr>
            <w:r>
              <w:rPr/>
              <w:t> </w:t>
            </w:r>
          </w:p>
        </w:tc>
        <w:tc>
          <w:tcPr>
            <w:tcW w:w="619" w:type="dxa"/>
            <w:tcBorders/>
            <w:shd w:fill="auto" w:val="clear"/>
            <w:vAlign w:val="bottom"/>
          </w:tcPr>
          <w:p>
            <w:pPr>
              <w:pStyle w:val="TableContents"/>
              <w:spacing w:before="0" w:after="283"/>
              <w:jc w:val="right"/>
              <w:rPr>
                <w:rFonts w:ascii="times" w:hAnsi="times"/>
                <w:sz w:val="14"/>
              </w:rPr>
            </w:pPr>
            <w:r>
              <w:rPr>
                <w:rFonts w:ascii="times" w:hAnsi="times"/>
                <w:sz w:val="14"/>
              </w:rPr>
              <w:t>(1,873</w:t>
            </w:r>
          </w:p>
        </w:tc>
        <w:tc>
          <w:tcPr>
            <w:tcW w:w="100" w:type="dxa"/>
            <w:tcBorders/>
            <w:shd w:fill="auto" w:val="clear"/>
            <w:vAlign w:val="bottom"/>
          </w:tcPr>
          <w:p>
            <w:pPr>
              <w:pStyle w:val="TableContents"/>
              <w:spacing w:before="0" w:after="283"/>
              <w:rPr>
                <w:rFonts w:ascii="times" w:hAnsi="times"/>
                <w:sz w:val="14"/>
              </w:rPr>
            </w:pPr>
            <w:r>
              <w:rPr>
                <w:rFonts w:ascii="times" w:hAnsi="times"/>
                <w:sz w:val="14"/>
              </w:rPr>
              <w:t>)</w:t>
            </w:r>
          </w:p>
        </w:tc>
        <w:tc>
          <w:tcPr>
            <w:tcW w:w="106" w:type="dxa"/>
            <w:tcBorders/>
            <w:shd w:fill="auto" w:val="clear"/>
            <w:vAlign w:val="bottom"/>
          </w:tcPr>
          <w:p>
            <w:pPr>
              <w:pStyle w:val="TableContents"/>
              <w:spacing w:before="0" w:after="283"/>
              <w:rPr/>
            </w:pPr>
            <w:r>
              <w:rPr/>
              <w:t> </w:t>
            </w:r>
          </w:p>
        </w:tc>
        <w:tc>
          <w:tcPr>
            <w:tcW w:w="618" w:type="dxa"/>
            <w:tcBorders/>
            <w:shd w:fill="auto" w:val="clear"/>
            <w:vAlign w:val="bottom"/>
          </w:tcPr>
          <w:p>
            <w:pPr>
              <w:pStyle w:val="TableContents"/>
              <w:spacing w:before="0" w:after="283"/>
              <w:jc w:val="right"/>
              <w:rPr>
                <w:rFonts w:ascii="times" w:hAnsi="times"/>
                <w:sz w:val="14"/>
              </w:rPr>
            </w:pPr>
            <w:r>
              <w:rPr>
                <w:rFonts w:ascii="times" w:hAnsi="times"/>
                <w:sz w:val="14"/>
              </w:rPr>
              <w:t>(295</w:t>
            </w:r>
          </w:p>
        </w:tc>
        <w:tc>
          <w:tcPr>
            <w:tcW w:w="201" w:type="dxa"/>
            <w:tcBorders/>
            <w:shd w:fill="auto" w:val="clear"/>
            <w:vAlign w:val="bottom"/>
          </w:tcPr>
          <w:p>
            <w:pPr>
              <w:pStyle w:val="TableContents"/>
              <w:spacing w:before="0" w:after="283"/>
              <w:rPr>
                <w:rFonts w:ascii="times" w:hAnsi="times"/>
                <w:sz w:val="14"/>
              </w:rPr>
            </w:pPr>
            <w:r>
              <w:rPr>
                <w:rFonts w:ascii="times" w:hAnsi="times"/>
                <w:sz w:val="14"/>
              </w:rPr>
              <w:t>)</w:t>
            </w:r>
          </w:p>
        </w:tc>
      </w:tr>
      <w:tr>
        <w:trPr/>
        <w:tc>
          <w:tcPr>
            <w:tcW w:w="1760" w:type="dxa"/>
            <w:tcBorders/>
            <w:shd w:fill="auto" w:val="clear"/>
            <w:vAlign w:val="bottom"/>
          </w:tcPr>
          <w:p>
            <w:pPr>
              <w:pStyle w:val="TableContents"/>
              <w:spacing w:before="0" w:after="283"/>
              <w:ind w:left="140" w:right="0" w:hanging="140"/>
              <w:rPr>
                <w:rFonts w:ascii="times" w:hAnsi="times"/>
                <w:sz w:val="14"/>
              </w:rPr>
            </w:pPr>
            <w:r>
              <w:rPr>
                <w:rFonts w:ascii="times" w:hAnsi="times"/>
                <w:sz w:val="14"/>
              </w:rPr>
              <w:t>Loss/(gain) on derivatives</w:t>
            </w:r>
          </w:p>
        </w:tc>
        <w:tc>
          <w:tcPr>
            <w:tcW w:w="101" w:type="dxa"/>
            <w:tcBorders/>
            <w:shd w:fill="auto" w:val="clear"/>
            <w:vAlign w:val="bottom"/>
          </w:tcPr>
          <w:p>
            <w:pPr>
              <w:pStyle w:val="TableContents"/>
              <w:spacing w:before="0" w:after="283"/>
              <w:rPr/>
            </w:pPr>
            <w:r>
              <w:rPr/>
              <w:t> </w:t>
            </w:r>
          </w:p>
        </w:tc>
        <w:tc>
          <w:tcPr>
            <w:tcW w:w="105" w:type="dxa"/>
            <w:tcBorders/>
            <w:shd w:fill="auto" w:val="clear"/>
            <w:vAlign w:val="bottom"/>
          </w:tcPr>
          <w:p>
            <w:pPr>
              <w:pStyle w:val="TableContents"/>
              <w:spacing w:before="0" w:after="283"/>
              <w:rPr/>
            </w:pPr>
            <w:r>
              <w:rPr/>
              <w:t> </w:t>
            </w:r>
          </w:p>
        </w:tc>
        <w:tc>
          <w:tcPr>
            <w:tcW w:w="619" w:type="dxa"/>
            <w:tcBorders/>
            <w:shd w:fill="auto" w:val="clear"/>
            <w:vAlign w:val="bottom"/>
          </w:tcPr>
          <w:p>
            <w:pPr>
              <w:pStyle w:val="TableContents"/>
              <w:spacing w:before="0" w:after="283"/>
              <w:jc w:val="right"/>
              <w:rPr>
                <w:rFonts w:ascii="times" w:hAnsi="times"/>
                <w:sz w:val="14"/>
              </w:rPr>
            </w:pPr>
            <w:r>
              <w:rPr>
                <w:rFonts w:ascii="times" w:hAnsi="times"/>
                <w:sz w:val="14"/>
              </w:rPr>
              <w:t>6,837</w:t>
            </w:r>
          </w:p>
        </w:tc>
        <w:tc>
          <w:tcPr>
            <w:tcW w:w="100" w:type="dxa"/>
            <w:tcBorders/>
            <w:shd w:fill="auto" w:val="clear"/>
            <w:vAlign w:val="bottom"/>
          </w:tcPr>
          <w:p>
            <w:pPr>
              <w:pStyle w:val="TableContents"/>
              <w:spacing w:before="0" w:after="283"/>
              <w:rPr/>
            </w:pPr>
            <w:r>
              <w:rPr/>
              <w:t> </w:t>
            </w:r>
          </w:p>
        </w:tc>
        <w:tc>
          <w:tcPr>
            <w:tcW w:w="106" w:type="dxa"/>
            <w:tcBorders/>
            <w:shd w:fill="auto" w:val="clear"/>
            <w:vAlign w:val="bottom"/>
          </w:tcPr>
          <w:p>
            <w:pPr>
              <w:pStyle w:val="TableContents"/>
              <w:spacing w:before="0" w:after="283"/>
              <w:rPr/>
            </w:pPr>
            <w:r>
              <w:rPr/>
              <w:t> </w:t>
            </w:r>
          </w:p>
        </w:tc>
        <w:tc>
          <w:tcPr>
            <w:tcW w:w="618" w:type="dxa"/>
            <w:tcBorders/>
            <w:shd w:fill="auto" w:val="clear"/>
            <w:vAlign w:val="bottom"/>
          </w:tcPr>
          <w:p>
            <w:pPr>
              <w:pStyle w:val="TableContents"/>
              <w:spacing w:before="0" w:after="283"/>
              <w:jc w:val="right"/>
              <w:rPr>
                <w:rFonts w:ascii="times" w:hAnsi="times"/>
                <w:sz w:val="14"/>
              </w:rPr>
            </w:pPr>
            <w:r>
              <w:rPr>
                <w:rFonts w:ascii="times" w:hAnsi="times"/>
                <w:sz w:val="14"/>
              </w:rPr>
              <w:t>(121</w:t>
            </w:r>
          </w:p>
        </w:tc>
        <w:tc>
          <w:tcPr>
            <w:tcW w:w="100" w:type="dxa"/>
            <w:tcBorders/>
            <w:shd w:fill="auto" w:val="clear"/>
            <w:vAlign w:val="bottom"/>
          </w:tcPr>
          <w:p>
            <w:pPr>
              <w:pStyle w:val="TableContents"/>
              <w:spacing w:before="0" w:after="283"/>
              <w:rPr>
                <w:rFonts w:ascii="times" w:hAnsi="times"/>
                <w:sz w:val="14"/>
              </w:rPr>
            </w:pPr>
            <w:r>
              <w:rPr>
                <w:rFonts w:ascii="times" w:hAnsi="times"/>
                <w:sz w:val="14"/>
              </w:rPr>
              <w:t>)</w:t>
            </w:r>
          </w:p>
        </w:tc>
        <w:tc>
          <w:tcPr>
            <w:tcW w:w="106" w:type="dxa"/>
            <w:tcBorders/>
            <w:shd w:fill="auto" w:val="clear"/>
            <w:vAlign w:val="bottom"/>
          </w:tcPr>
          <w:p>
            <w:pPr>
              <w:pStyle w:val="TableContents"/>
              <w:spacing w:before="0" w:after="283"/>
              <w:rPr/>
            </w:pPr>
            <w:r>
              <w:rPr/>
              <w:t> </w:t>
            </w:r>
          </w:p>
        </w:tc>
        <w:tc>
          <w:tcPr>
            <w:tcW w:w="618" w:type="dxa"/>
            <w:tcBorders/>
            <w:shd w:fill="auto" w:val="clear"/>
            <w:vAlign w:val="bottom"/>
          </w:tcPr>
          <w:p>
            <w:pPr>
              <w:pStyle w:val="TableContents"/>
              <w:spacing w:before="0" w:after="283"/>
              <w:jc w:val="right"/>
              <w:rPr>
                <w:rFonts w:ascii="times" w:hAnsi="times"/>
                <w:sz w:val="14"/>
              </w:rPr>
            </w:pPr>
            <w:r>
              <w:rPr>
                <w:rFonts w:ascii="times" w:hAnsi="times"/>
                <w:sz w:val="14"/>
              </w:rPr>
              <w:t>48</w:t>
            </w:r>
          </w:p>
        </w:tc>
        <w:tc>
          <w:tcPr>
            <w:tcW w:w="101" w:type="dxa"/>
            <w:tcBorders/>
            <w:shd w:fill="auto" w:val="clear"/>
            <w:vAlign w:val="bottom"/>
          </w:tcPr>
          <w:p>
            <w:pPr>
              <w:pStyle w:val="TableContents"/>
              <w:spacing w:before="0" w:after="283"/>
              <w:rPr/>
            </w:pPr>
            <w:r>
              <w:rPr/>
              <w:t> </w:t>
            </w:r>
          </w:p>
        </w:tc>
        <w:tc>
          <w:tcPr>
            <w:tcW w:w="105" w:type="dxa"/>
            <w:tcBorders/>
            <w:shd w:fill="auto" w:val="clear"/>
            <w:vAlign w:val="bottom"/>
          </w:tcPr>
          <w:p>
            <w:pPr>
              <w:pStyle w:val="TableContents"/>
              <w:spacing w:before="0" w:after="283"/>
              <w:rPr/>
            </w:pPr>
            <w:r>
              <w:rPr/>
              <w:t> </w:t>
            </w:r>
          </w:p>
        </w:tc>
        <w:tc>
          <w:tcPr>
            <w:tcW w:w="619" w:type="dxa"/>
            <w:tcBorders/>
            <w:shd w:fill="auto" w:val="clear"/>
            <w:vAlign w:val="bottom"/>
          </w:tcPr>
          <w:p>
            <w:pPr>
              <w:pStyle w:val="TableContents"/>
              <w:spacing w:before="0" w:after="283"/>
              <w:jc w:val="right"/>
              <w:rPr>
                <w:rFonts w:ascii="times" w:hAnsi="times"/>
                <w:sz w:val="14"/>
              </w:rPr>
            </w:pPr>
            <w:r>
              <w:rPr>
                <w:rFonts w:ascii="times" w:hAnsi="times"/>
                <w:sz w:val="14"/>
              </w:rPr>
              <w:t>12,795</w:t>
            </w:r>
          </w:p>
        </w:tc>
        <w:tc>
          <w:tcPr>
            <w:tcW w:w="100" w:type="dxa"/>
            <w:tcBorders/>
            <w:shd w:fill="auto" w:val="clear"/>
            <w:vAlign w:val="bottom"/>
          </w:tcPr>
          <w:p>
            <w:pPr>
              <w:pStyle w:val="TableContents"/>
              <w:spacing w:before="0" w:after="283"/>
              <w:rPr/>
            </w:pPr>
            <w:r>
              <w:rPr/>
              <w:t> </w:t>
            </w:r>
          </w:p>
        </w:tc>
        <w:tc>
          <w:tcPr>
            <w:tcW w:w="106" w:type="dxa"/>
            <w:tcBorders/>
            <w:shd w:fill="auto" w:val="clear"/>
            <w:vAlign w:val="bottom"/>
          </w:tcPr>
          <w:p>
            <w:pPr>
              <w:pStyle w:val="TableContents"/>
              <w:spacing w:before="0" w:after="283"/>
              <w:rPr/>
            </w:pPr>
            <w:r>
              <w:rPr/>
              <w:t> </w:t>
            </w:r>
          </w:p>
        </w:tc>
        <w:tc>
          <w:tcPr>
            <w:tcW w:w="618" w:type="dxa"/>
            <w:tcBorders/>
            <w:shd w:fill="auto" w:val="clear"/>
            <w:vAlign w:val="bottom"/>
          </w:tcPr>
          <w:p>
            <w:pPr>
              <w:pStyle w:val="TableContents"/>
              <w:spacing w:before="0" w:after="283"/>
              <w:jc w:val="right"/>
              <w:rPr>
                <w:rFonts w:ascii="times" w:hAnsi="times"/>
                <w:sz w:val="14"/>
              </w:rPr>
            </w:pPr>
            <w:r>
              <w:rPr>
                <w:rFonts w:ascii="times" w:hAnsi="times"/>
                <w:sz w:val="14"/>
              </w:rPr>
              <w:t>14,929</w:t>
            </w:r>
          </w:p>
        </w:tc>
        <w:tc>
          <w:tcPr>
            <w:tcW w:w="100" w:type="dxa"/>
            <w:tcBorders/>
            <w:shd w:fill="auto" w:val="clear"/>
            <w:vAlign w:val="bottom"/>
          </w:tcPr>
          <w:p>
            <w:pPr>
              <w:pStyle w:val="TableContents"/>
              <w:spacing w:before="0" w:after="283"/>
              <w:rPr/>
            </w:pPr>
            <w:r>
              <w:rPr/>
              <w:t> </w:t>
            </w:r>
          </w:p>
        </w:tc>
        <w:tc>
          <w:tcPr>
            <w:tcW w:w="106" w:type="dxa"/>
            <w:tcBorders/>
            <w:shd w:fill="auto" w:val="clear"/>
            <w:vAlign w:val="bottom"/>
          </w:tcPr>
          <w:p>
            <w:pPr>
              <w:pStyle w:val="TableContents"/>
              <w:spacing w:before="0" w:after="283"/>
              <w:rPr/>
            </w:pPr>
            <w:r>
              <w:rPr/>
              <w:t> </w:t>
            </w:r>
          </w:p>
        </w:tc>
        <w:tc>
          <w:tcPr>
            <w:tcW w:w="619" w:type="dxa"/>
            <w:tcBorders/>
            <w:shd w:fill="auto" w:val="clear"/>
            <w:vAlign w:val="bottom"/>
          </w:tcPr>
          <w:p>
            <w:pPr>
              <w:pStyle w:val="TableContents"/>
              <w:spacing w:before="0" w:after="283"/>
              <w:jc w:val="right"/>
              <w:rPr>
                <w:rFonts w:ascii="times" w:hAnsi="times"/>
                <w:sz w:val="14"/>
              </w:rPr>
            </w:pPr>
            <w:r>
              <w:rPr>
                <w:rFonts w:ascii="times" w:hAnsi="times"/>
                <w:sz w:val="14"/>
              </w:rPr>
              <w:t>(3,623</w:t>
            </w:r>
          </w:p>
        </w:tc>
        <w:tc>
          <w:tcPr>
            <w:tcW w:w="100" w:type="dxa"/>
            <w:tcBorders/>
            <w:shd w:fill="auto" w:val="clear"/>
            <w:vAlign w:val="bottom"/>
          </w:tcPr>
          <w:p>
            <w:pPr>
              <w:pStyle w:val="TableContents"/>
              <w:spacing w:before="0" w:after="283"/>
              <w:rPr>
                <w:rFonts w:ascii="times" w:hAnsi="times"/>
                <w:sz w:val="14"/>
              </w:rPr>
            </w:pPr>
            <w:r>
              <w:rPr>
                <w:rFonts w:ascii="times" w:hAnsi="times"/>
                <w:sz w:val="14"/>
              </w:rPr>
              <w:t>)</w:t>
            </w:r>
          </w:p>
        </w:tc>
        <w:tc>
          <w:tcPr>
            <w:tcW w:w="105" w:type="dxa"/>
            <w:tcBorders/>
            <w:shd w:fill="auto" w:val="clear"/>
            <w:vAlign w:val="bottom"/>
          </w:tcPr>
          <w:p>
            <w:pPr>
              <w:pStyle w:val="TableContents"/>
              <w:spacing w:before="0" w:after="283"/>
              <w:rPr/>
            </w:pPr>
            <w:r>
              <w:rPr/>
              <w:t> </w:t>
            </w:r>
          </w:p>
        </w:tc>
        <w:tc>
          <w:tcPr>
            <w:tcW w:w="619" w:type="dxa"/>
            <w:tcBorders/>
            <w:shd w:fill="auto" w:val="clear"/>
            <w:vAlign w:val="bottom"/>
          </w:tcPr>
          <w:p>
            <w:pPr>
              <w:pStyle w:val="TableContents"/>
              <w:spacing w:before="0" w:after="283"/>
              <w:jc w:val="right"/>
              <w:rPr>
                <w:rFonts w:ascii="times" w:hAnsi="times"/>
                <w:sz w:val="14"/>
              </w:rPr>
            </w:pPr>
            <w:r>
              <w:rPr>
                <w:rFonts w:ascii="times" w:hAnsi="times"/>
                <w:sz w:val="14"/>
              </w:rPr>
              <w:t>(121</w:t>
            </w:r>
          </w:p>
        </w:tc>
        <w:tc>
          <w:tcPr>
            <w:tcW w:w="100" w:type="dxa"/>
            <w:tcBorders/>
            <w:shd w:fill="auto" w:val="clear"/>
            <w:vAlign w:val="bottom"/>
          </w:tcPr>
          <w:p>
            <w:pPr>
              <w:pStyle w:val="TableContents"/>
              <w:spacing w:before="0" w:after="283"/>
              <w:rPr>
                <w:rFonts w:ascii="times" w:hAnsi="times"/>
                <w:sz w:val="14"/>
              </w:rPr>
            </w:pPr>
            <w:r>
              <w:rPr>
                <w:rFonts w:ascii="times" w:hAnsi="times"/>
                <w:sz w:val="14"/>
              </w:rPr>
              <w:t>)</w:t>
            </w:r>
          </w:p>
        </w:tc>
        <w:tc>
          <w:tcPr>
            <w:tcW w:w="106" w:type="dxa"/>
            <w:tcBorders/>
            <w:shd w:fill="auto" w:val="clear"/>
            <w:vAlign w:val="bottom"/>
          </w:tcPr>
          <w:p>
            <w:pPr>
              <w:pStyle w:val="TableContents"/>
              <w:spacing w:before="0" w:after="283"/>
              <w:rPr/>
            </w:pPr>
            <w:r>
              <w:rPr/>
              <w:t> </w:t>
            </w:r>
          </w:p>
        </w:tc>
        <w:tc>
          <w:tcPr>
            <w:tcW w:w="618" w:type="dxa"/>
            <w:tcBorders/>
            <w:shd w:fill="auto" w:val="clear"/>
            <w:vAlign w:val="bottom"/>
          </w:tcPr>
          <w:p>
            <w:pPr>
              <w:pStyle w:val="TableContents"/>
              <w:spacing w:before="0" w:after="283"/>
              <w:jc w:val="right"/>
              <w:rPr>
                <w:rFonts w:ascii="times" w:hAnsi="times"/>
                <w:sz w:val="14"/>
              </w:rPr>
            </w:pPr>
            <w:r>
              <w:rPr>
                <w:rFonts w:ascii="times" w:hAnsi="times"/>
                <w:sz w:val="14"/>
              </w:rPr>
              <w:t>48</w:t>
            </w:r>
          </w:p>
        </w:tc>
        <w:tc>
          <w:tcPr>
            <w:tcW w:w="100" w:type="dxa"/>
            <w:tcBorders/>
            <w:shd w:fill="auto" w:val="clear"/>
            <w:vAlign w:val="bottom"/>
          </w:tcPr>
          <w:p>
            <w:pPr>
              <w:pStyle w:val="TableContents"/>
              <w:spacing w:before="0" w:after="283"/>
              <w:rPr/>
            </w:pPr>
            <w:r>
              <w:rPr/>
              <w:t> </w:t>
            </w:r>
          </w:p>
        </w:tc>
        <w:tc>
          <w:tcPr>
            <w:tcW w:w="106" w:type="dxa"/>
            <w:tcBorders/>
            <w:shd w:fill="auto" w:val="clear"/>
            <w:vAlign w:val="bottom"/>
          </w:tcPr>
          <w:p>
            <w:pPr>
              <w:pStyle w:val="TableContents"/>
              <w:spacing w:before="0" w:after="283"/>
              <w:rPr/>
            </w:pPr>
            <w:r>
              <w:rPr/>
              <w:t> </w:t>
            </w:r>
          </w:p>
        </w:tc>
        <w:tc>
          <w:tcPr>
            <w:tcW w:w="619" w:type="dxa"/>
            <w:tcBorders/>
            <w:shd w:fill="auto" w:val="clear"/>
            <w:vAlign w:val="bottom"/>
          </w:tcPr>
          <w:p>
            <w:pPr>
              <w:pStyle w:val="TableContents"/>
              <w:spacing w:before="0" w:after="283"/>
              <w:jc w:val="right"/>
              <w:rPr>
                <w:rFonts w:ascii="times" w:hAnsi="times"/>
                <w:sz w:val="14"/>
              </w:rPr>
            </w:pPr>
            <w:r>
              <w:rPr>
                <w:rFonts w:ascii="times" w:hAnsi="times"/>
                <w:sz w:val="14"/>
              </w:rPr>
              <w:t>12,795</w:t>
            </w:r>
          </w:p>
        </w:tc>
        <w:tc>
          <w:tcPr>
            <w:tcW w:w="100" w:type="dxa"/>
            <w:tcBorders/>
            <w:shd w:fill="auto" w:val="clear"/>
            <w:vAlign w:val="bottom"/>
          </w:tcPr>
          <w:p>
            <w:pPr>
              <w:pStyle w:val="TableContents"/>
              <w:spacing w:before="0" w:after="283"/>
              <w:rPr/>
            </w:pPr>
            <w:r>
              <w:rPr/>
              <w:t> </w:t>
            </w:r>
          </w:p>
        </w:tc>
        <w:tc>
          <w:tcPr>
            <w:tcW w:w="106" w:type="dxa"/>
            <w:tcBorders/>
            <w:shd w:fill="auto" w:val="clear"/>
            <w:vAlign w:val="bottom"/>
          </w:tcPr>
          <w:p>
            <w:pPr>
              <w:pStyle w:val="TableContents"/>
              <w:spacing w:before="0" w:after="283"/>
              <w:rPr/>
            </w:pPr>
            <w:r>
              <w:rPr/>
              <w:t> </w:t>
            </w:r>
          </w:p>
        </w:tc>
        <w:tc>
          <w:tcPr>
            <w:tcW w:w="618" w:type="dxa"/>
            <w:tcBorders/>
            <w:shd w:fill="auto" w:val="clear"/>
            <w:vAlign w:val="bottom"/>
          </w:tcPr>
          <w:p>
            <w:pPr>
              <w:pStyle w:val="TableContents"/>
              <w:spacing w:before="0" w:after="283"/>
              <w:jc w:val="right"/>
              <w:rPr>
                <w:rFonts w:ascii="times" w:hAnsi="times"/>
                <w:sz w:val="14"/>
              </w:rPr>
            </w:pPr>
            <w:r>
              <w:rPr>
                <w:rFonts w:ascii="times" w:hAnsi="times"/>
                <w:sz w:val="14"/>
              </w:rPr>
              <w:t xml:space="preserve">14,929 </w:t>
            </w:r>
          </w:p>
        </w:tc>
        <w:tc>
          <w:tcPr>
            <w:tcW w:w="201" w:type="dxa"/>
            <w:tcBorders/>
            <w:shd w:fill="auto" w:val="clear"/>
            <w:vAlign w:val="bottom"/>
          </w:tcPr>
          <w:p>
            <w:pPr>
              <w:pStyle w:val="TableContents"/>
              <w:spacing w:before="0" w:after="283"/>
              <w:rPr/>
            </w:pPr>
            <w:r>
              <w:rPr/>
              <w:t> </w:t>
            </w:r>
          </w:p>
        </w:tc>
      </w:tr>
      <w:tr>
        <w:trPr/>
        <w:tc>
          <w:tcPr>
            <w:tcW w:w="1760" w:type="dxa"/>
            <w:tcBorders/>
            <w:shd w:fill="FFFFFF" w:val="clear"/>
            <w:vAlign w:val="bottom"/>
          </w:tcPr>
          <w:p>
            <w:pPr>
              <w:pStyle w:val="TableContents"/>
              <w:spacing w:before="0" w:after="283"/>
              <w:rPr/>
            </w:pPr>
            <w:r>
              <w:rPr/>
              <w:t>​</w:t>
            </w:r>
          </w:p>
        </w:tc>
        <w:tc>
          <w:tcPr>
            <w:tcW w:w="101" w:type="dxa"/>
            <w:tcBorders/>
            <w:shd w:fill="FFFFFF" w:val="clear"/>
            <w:vAlign w:val="bottom"/>
          </w:tcPr>
          <w:p>
            <w:pPr>
              <w:pStyle w:val="TableContents"/>
              <w:spacing w:before="0" w:after="283"/>
              <w:rPr/>
            </w:pPr>
            <w:r>
              <w:rPr/>
              <w:t>​</w:t>
            </w:r>
          </w:p>
        </w:tc>
        <w:tc>
          <w:tcPr>
            <w:tcW w:w="105" w:type="dxa"/>
            <w:tcBorders>
              <w:bottom w:val="single" w:sz="8" w:space="0" w:color="000000"/>
            </w:tcBorders>
            <w:shd w:fill="FFFFFF" w:val="clear"/>
            <w:tcMar>
              <w:bottom w:w="28" w:type="dxa"/>
            </w:tcMar>
            <w:vAlign w:val="bottom"/>
          </w:tcPr>
          <w:p>
            <w:pPr>
              <w:pStyle w:val="TableContents"/>
              <w:spacing w:before="0" w:after="283"/>
              <w:rPr/>
            </w:pPr>
            <w:r>
              <w:rPr/>
              <w:t xml:space="preserve">​ </w:t>
            </w:r>
          </w:p>
        </w:tc>
        <w:tc>
          <w:tcPr>
            <w:tcW w:w="619" w:type="dxa"/>
            <w:tcBorders>
              <w:bottom w:val="single" w:sz="8" w:space="0" w:color="000000"/>
            </w:tcBorders>
            <w:shd w:fill="FFFFFF" w:val="clear"/>
            <w:tcMar>
              <w:bottom w:w="28" w:type="dxa"/>
            </w:tcMar>
            <w:vAlign w:val="bottom"/>
          </w:tcPr>
          <w:p>
            <w:pPr>
              <w:pStyle w:val="TableContents"/>
              <w:spacing w:before="0" w:after="283"/>
              <w:jc w:val="right"/>
              <w:rPr/>
            </w:pPr>
            <w:r>
              <w:rPr/>
              <w:t xml:space="preserve">​ </w:t>
            </w:r>
          </w:p>
        </w:tc>
        <w:tc>
          <w:tcPr>
            <w:tcW w:w="100" w:type="dxa"/>
            <w:tcBorders/>
            <w:shd w:fill="FFFFFF" w:val="clear"/>
            <w:vAlign w:val="bottom"/>
          </w:tcPr>
          <w:p>
            <w:pPr>
              <w:pStyle w:val="TableContents"/>
              <w:spacing w:before="0" w:after="283"/>
              <w:rPr/>
            </w:pPr>
            <w:r>
              <w:rPr/>
              <w:t>​</w:t>
            </w:r>
          </w:p>
        </w:tc>
        <w:tc>
          <w:tcPr>
            <w:tcW w:w="106" w:type="dxa"/>
            <w:tcBorders>
              <w:bottom w:val="single" w:sz="8" w:space="0" w:color="000000"/>
            </w:tcBorders>
            <w:shd w:fill="FFFFFF" w:val="clear"/>
            <w:tcMar>
              <w:bottom w:w="28" w:type="dxa"/>
            </w:tcMar>
            <w:vAlign w:val="bottom"/>
          </w:tcPr>
          <w:p>
            <w:pPr>
              <w:pStyle w:val="TableContents"/>
              <w:spacing w:before="0" w:after="283"/>
              <w:rPr/>
            </w:pPr>
            <w:r>
              <w:rPr/>
              <w:t xml:space="preserve">​ </w:t>
            </w:r>
          </w:p>
        </w:tc>
        <w:tc>
          <w:tcPr>
            <w:tcW w:w="618" w:type="dxa"/>
            <w:tcBorders>
              <w:bottom w:val="single" w:sz="8" w:space="0" w:color="000000"/>
            </w:tcBorders>
            <w:shd w:fill="FFFFFF" w:val="clear"/>
            <w:tcMar>
              <w:bottom w:w="28" w:type="dxa"/>
            </w:tcMar>
            <w:vAlign w:val="bottom"/>
          </w:tcPr>
          <w:p>
            <w:pPr>
              <w:pStyle w:val="TableContents"/>
              <w:spacing w:before="0" w:after="283"/>
              <w:jc w:val="right"/>
              <w:rPr/>
            </w:pPr>
            <w:r>
              <w:rPr/>
              <w:t xml:space="preserve">​ </w:t>
            </w:r>
          </w:p>
        </w:tc>
        <w:tc>
          <w:tcPr>
            <w:tcW w:w="100" w:type="dxa"/>
            <w:tcBorders/>
            <w:shd w:fill="FFFFFF" w:val="clear"/>
            <w:vAlign w:val="bottom"/>
          </w:tcPr>
          <w:p>
            <w:pPr>
              <w:pStyle w:val="TableContents"/>
              <w:spacing w:before="0" w:after="283"/>
              <w:rPr/>
            </w:pPr>
            <w:r>
              <w:rPr/>
              <w:t>​</w:t>
            </w:r>
          </w:p>
        </w:tc>
        <w:tc>
          <w:tcPr>
            <w:tcW w:w="106" w:type="dxa"/>
            <w:tcBorders>
              <w:bottom w:val="single" w:sz="8" w:space="0" w:color="000000"/>
            </w:tcBorders>
            <w:shd w:fill="FFFFFF" w:val="clear"/>
            <w:tcMar>
              <w:bottom w:w="28" w:type="dxa"/>
            </w:tcMar>
            <w:vAlign w:val="bottom"/>
          </w:tcPr>
          <w:p>
            <w:pPr>
              <w:pStyle w:val="TableContents"/>
              <w:spacing w:before="0" w:after="283"/>
              <w:rPr/>
            </w:pPr>
            <w:r>
              <w:rPr/>
              <w:t xml:space="preserve">​ </w:t>
            </w:r>
          </w:p>
        </w:tc>
        <w:tc>
          <w:tcPr>
            <w:tcW w:w="618" w:type="dxa"/>
            <w:tcBorders>
              <w:bottom w:val="single" w:sz="8" w:space="0" w:color="000000"/>
            </w:tcBorders>
            <w:shd w:fill="FFFFFF" w:val="clear"/>
            <w:tcMar>
              <w:bottom w:w="28" w:type="dxa"/>
            </w:tcMar>
            <w:vAlign w:val="bottom"/>
          </w:tcPr>
          <w:p>
            <w:pPr>
              <w:pStyle w:val="TableContents"/>
              <w:spacing w:before="0" w:after="283"/>
              <w:jc w:val="right"/>
              <w:rPr/>
            </w:pPr>
            <w:r>
              <w:rPr/>
              <w:t xml:space="preserve">​ </w:t>
            </w:r>
          </w:p>
        </w:tc>
        <w:tc>
          <w:tcPr>
            <w:tcW w:w="101" w:type="dxa"/>
            <w:tcBorders/>
            <w:shd w:fill="FFFFFF" w:val="clear"/>
            <w:vAlign w:val="bottom"/>
          </w:tcPr>
          <w:p>
            <w:pPr>
              <w:pStyle w:val="TableContents"/>
              <w:spacing w:before="0" w:after="283"/>
              <w:rPr/>
            </w:pPr>
            <w:r>
              <w:rPr/>
              <w:t>​</w:t>
            </w:r>
          </w:p>
        </w:tc>
        <w:tc>
          <w:tcPr>
            <w:tcW w:w="105" w:type="dxa"/>
            <w:tcBorders>
              <w:bottom w:val="single" w:sz="8" w:space="0" w:color="000000"/>
            </w:tcBorders>
            <w:shd w:fill="FFFFFF" w:val="clear"/>
            <w:tcMar>
              <w:bottom w:w="28" w:type="dxa"/>
            </w:tcMar>
            <w:vAlign w:val="bottom"/>
          </w:tcPr>
          <w:p>
            <w:pPr>
              <w:pStyle w:val="TableContents"/>
              <w:spacing w:before="0" w:after="283"/>
              <w:rPr/>
            </w:pPr>
            <w:r>
              <w:rPr/>
              <w:t xml:space="preserve">​ </w:t>
            </w:r>
          </w:p>
        </w:tc>
        <w:tc>
          <w:tcPr>
            <w:tcW w:w="619" w:type="dxa"/>
            <w:tcBorders>
              <w:bottom w:val="single" w:sz="8" w:space="0" w:color="000000"/>
            </w:tcBorders>
            <w:shd w:fill="FFFFFF" w:val="clear"/>
            <w:tcMar>
              <w:bottom w:w="28" w:type="dxa"/>
            </w:tcMar>
            <w:vAlign w:val="bottom"/>
          </w:tcPr>
          <w:p>
            <w:pPr>
              <w:pStyle w:val="TableContents"/>
              <w:spacing w:before="0" w:after="283"/>
              <w:jc w:val="right"/>
              <w:rPr/>
            </w:pPr>
            <w:r>
              <w:rPr/>
              <w:t xml:space="preserve">​ </w:t>
            </w:r>
          </w:p>
        </w:tc>
        <w:tc>
          <w:tcPr>
            <w:tcW w:w="100" w:type="dxa"/>
            <w:tcBorders/>
            <w:shd w:fill="FFFFFF" w:val="clear"/>
            <w:vAlign w:val="bottom"/>
          </w:tcPr>
          <w:p>
            <w:pPr>
              <w:pStyle w:val="TableContents"/>
              <w:spacing w:before="0" w:after="283"/>
              <w:rPr/>
            </w:pPr>
            <w:r>
              <w:rPr/>
              <w:t>​</w:t>
            </w:r>
          </w:p>
        </w:tc>
        <w:tc>
          <w:tcPr>
            <w:tcW w:w="106" w:type="dxa"/>
            <w:tcBorders>
              <w:bottom w:val="single" w:sz="8" w:space="0" w:color="000000"/>
            </w:tcBorders>
            <w:shd w:fill="FFFFFF" w:val="clear"/>
            <w:tcMar>
              <w:bottom w:w="28" w:type="dxa"/>
            </w:tcMar>
            <w:vAlign w:val="bottom"/>
          </w:tcPr>
          <w:p>
            <w:pPr>
              <w:pStyle w:val="TableContents"/>
              <w:spacing w:before="0" w:after="283"/>
              <w:rPr/>
            </w:pPr>
            <w:r>
              <w:rPr/>
              <w:t xml:space="preserve">​ </w:t>
            </w:r>
          </w:p>
        </w:tc>
        <w:tc>
          <w:tcPr>
            <w:tcW w:w="618" w:type="dxa"/>
            <w:tcBorders>
              <w:bottom w:val="single" w:sz="8" w:space="0" w:color="000000"/>
            </w:tcBorders>
            <w:shd w:fill="FFFFFF" w:val="clear"/>
            <w:tcMar>
              <w:bottom w:w="28" w:type="dxa"/>
            </w:tcMar>
            <w:vAlign w:val="bottom"/>
          </w:tcPr>
          <w:p>
            <w:pPr>
              <w:pStyle w:val="TableContents"/>
              <w:spacing w:before="0" w:after="283"/>
              <w:jc w:val="right"/>
              <w:rPr/>
            </w:pPr>
            <w:r>
              <w:rPr/>
              <w:t xml:space="preserve">​ </w:t>
            </w:r>
          </w:p>
        </w:tc>
        <w:tc>
          <w:tcPr>
            <w:tcW w:w="100" w:type="dxa"/>
            <w:tcBorders/>
            <w:shd w:fill="FFFFFF" w:val="clear"/>
            <w:vAlign w:val="bottom"/>
          </w:tcPr>
          <w:p>
            <w:pPr>
              <w:pStyle w:val="TableContents"/>
              <w:spacing w:before="0" w:after="283"/>
              <w:rPr/>
            </w:pPr>
            <w:r>
              <w:rPr/>
              <w:t>​</w:t>
            </w:r>
          </w:p>
        </w:tc>
        <w:tc>
          <w:tcPr>
            <w:tcW w:w="106" w:type="dxa"/>
            <w:tcBorders>
              <w:bottom w:val="single" w:sz="8" w:space="0" w:color="000000"/>
            </w:tcBorders>
            <w:shd w:fill="FFFFFF" w:val="clear"/>
            <w:tcMar>
              <w:bottom w:w="28" w:type="dxa"/>
            </w:tcMar>
            <w:vAlign w:val="bottom"/>
          </w:tcPr>
          <w:p>
            <w:pPr>
              <w:pStyle w:val="TableContents"/>
              <w:spacing w:before="0" w:after="283"/>
              <w:rPr/>
            </w:pPr>
            <w:r>
              <w:rPr/>
              <w:t xml:space="preserve">​ </w:t>
            </w:r>
          </w:p>
        </w:tc>
        <w:tc>
          <w:tcPr>
            <w:tcW w:w="619" w:type="dxa"/>
            <w:tcBorders>
              <w:bottom w:val="single" w:sz="8" w:space="0" w:color="000000"/>
            </w:tcBorders>
            <w:shd w:fill="FFFFFF" w:val="clear"/>
            <w:tcMar>
              <w:bottom w:w="28" w:type="dxa"/>
            </w:tcMar>
            <w:vAlign w:val="bottom"/>
          </w:tcPr>
          <w:p>
            <w:pPr>
              <w:pStyle w:val="TableContents"/>
              <w:spacing w:before="0" w:after="283"/>
              <w:jc w:val="right"/>
              <w:rPr/>
            </w:pPr>
            <w:r>
              <w:rPr/>
              <w:t xml:space="preserve">​ </w:t>
            </w:r>
          </w:p>
        </w:tc>
        <w:tc>
          <w:tcPr>
            <w:tcW w:w="100" w:type="dxa"/>
            <w:tcBorders/>
            <w:shd w:fill="FFFFFF" w:val="clear"/>
            <w:vAlign w:val="bottom"/>
          </w:tcPr>
          <w:p>
            <w:pPr>
              <w:pStyle w:val="TableContents"/>
              <w:spacing w:before="0" w:after="283"/>
              <w:rPr/>
            </w:pPr>
            <w:r>
              <w:rPr/>
              <w:t>​</w:t>
            </w:r>
          </w:p>
        </w:tc>
        <w:tc>
          <w:tcPr>
            <w:tcW w:w="105" w:type="dxa"/>
            <w:tcBorders>
              <w:bottom w:val="single" w:sz="8" w:space="0" w:color="000000"/>
            </w:tcBorders>
            <w:shd w:fill="FFFFFF" w:val="clear"/>
            <w:tcMar>
              <w:bottom w:w="28" w:type="dxa"/>
            </w:tcMar>
            <w:vAlign w:val="bottom"/>
          </w:tcPr>
          <w:p>
            <w:pPr>
              <w:pStyle w:val="TableContents"/>
              <w:spacing w:before="0" w:after="283"/>
              <w:rPr/>
            </w:pPr>
            <w:r>
              <w:rPr/>
              <w:t xml:space="preserve">​ </w:t>
            </w:r>
          </w:p>
        </w:tc>
        <w:tc>
          <w:tcPr>
            <w:tcW w:w="619" w:type="dxa"/>
            <w:tcBorders>
              <w:bottom w:val="single" w:sz="8" w:space="0" w:color="000000"/>
            </w:tcBorders>
            <w:shd w:fill="FFFFFF" w:val="clear"/>
            <w:tcMar>
              <w:bottom w:w="28" w:type="dxa"/>
            </w:tcMar>
            <w:vAlign w:val="bottom"/>
          </w:tcPr>
          <w:p>
            <w:pPr>
              <w:pStyle w:val="TableContents"/>
              <w:spacing w:before="0" w:after="283"/>
              <w:jc w:val="right"/>
              <w:rPr/>
            </w:pPr>
            <w:r>
              <w:rPr/>
              <w:t xml:space="preserve">​ </w:t>
            </w:r>
          </w:p>
        </w:tc>
        <w:tc>
          <w:tcPr>
            <w:tcW w:w="100" w:type="dxa"/>
            <w:tcBorders/>
            <w:shd w:fill="FFFFFF" w:val="clear"/>
            <w:vAlign w:val="bottom"/>
          </w:tcPr>
          <w:p>
            <w:pPr>
              <w:pStyle w:val="TableContents"/>
              <w:spacing w:before="0" w:after="283"/>
              <w:rPr/>
            </w:pPr>
            <w:r>
              <w:rPr/>
              <w:t>​</w:t>
            </w:r>
          </w:p>
        </w:tc>
        <w:tc>
          <w:tcPr>
            <w:tcW w:w="106" w:type="dxa"/>
            <w:tcBorders>
              <w:bottom w:val="single" w:sz="8" w:space="0" w:color="000000"/>
            </w:tcBorders>
            <w:shd w:fill="FFFFFF" w:val="clear"/>
            <w:tcMar>
              <w:bottom w:w="28" w:type="dxa"/>
            </w:tcMar>
            <w:vAlign w:val="bottom"/>
          </w:tcPr>
          <w:p>
            <w:pPr>
              <w:pStyle w:val="TableContents"/>
              <w:spacing w:before="0" w:after="283"/>
              <w:rPr/>
            </w:pPr>
            <w:r>
              <w:rPr/>
              <w:t xml:space="preserve">​ </w:t>
            </w:r>
          </w:p>
        </w:tc>
        <w:tc>
          <w:tcPr>
            <w:tcW w:w="618" w:type="dxa"/>
            <w:tcBorders>
              <w:bottom w:val="single" w:sz="8" w:space="0" w:color="000000"/>
            </w:tcBorders>
            <w:shd w:fill="FFFFFF" w:val="clear"/>
            <w:tcMar>
              <w:bottom w:w="28" w:type="dxa"/>
            </w:tcMar>
            <w:vAlign w:val="bottom"/>
          </w:tcPr>
          <w:p>
            <w:pPr>
              <w:pStyle w:val="TableContents"/>
              <w:spacing w:before="0" w:after="283"/>
              <w:jc w:val="right"/>
              <w:rPr/>
            </w:pPr>
            <w:r>
              <w:rPr/>
              <w:t xml:space="preserve">​ </w:t>
            </w:r>
          </w:p>
        </w:tc>
        <w:tc>
          <w:tcPr>
            <w:tcW w:w="100" w:type="dxa"/>
            <w:tcBorders/>
            <w:shd w:fill="FFFFFF" w:val="clear"/>
            <w:vAlign w:val="bottom"/>
          </w:tcPr>
          <w:p>
            <w:pPr>
              <w:pStyle w:val="TableContents"/>
              <w:spacing w:before="0" w:after="283"/>
              <w:rPr/>
            </w:pPr>
            <w:r>
              <w:rPr/>
              <w:t>​</w:t>
            </w:r>
          </w:p>
        </w:tc>
        <w:tc>
          <w:tcPr>
            <w:tcW w:w="106" w:type="dxa"/>
            <w:tcBorders>
              <w:bottom w:val="single" w:sz="8" w:space="0" w:color="000000"/>
            </w:tcBorders>
            <w:shd w:fill="FFFFFF" w:val="clear"/>
            <w:tcMar>
              <w:bottom w:w="28" w:type="dxa"/>
            </w:tcMar>
            <w:vAlign w:val="bottom"/>
          </w:tcPr>
          <w:p>
            <w:pPr>
              <w:pStyle w:val="TableContents"/>
              <w:spacing w:before="0" w:after="283"/>
              <w:rPr/>
            </w:pPr>
            <w:r>
              <w:rPr/>
              <w:t xml:space="preserve">​ </w:t>
            </w:r>
          </w:p>
        </w:tc>
        <w:tc>
          <w:tcPr>
            <w:tcW w:w="619" w:type="dxa"/>
            <w:tcBorders>
              <w:bottom w:val="single" w:sz="8" w:space="0" w:color="000000"/>
            </w:tcBorders>
            <w:shd w:fill="FFFFFF" w:val="clear"/>
            <w:tcMar>
              <w:bottom w:w="28" w:type="dxa"/>
            </w:tcMar>
            <w:vAlign w:val="bottom"/>
          </w:tcPr>
          <w:p>
            <w:pPr>
              <w:pStyle w:val="TableContents"/>
              <w:spacing w:before="0" w:after="283"/>
              <w:jc w:val="right"/>
              <w:rPr/>
            </w:pPr>
            <w:r>
              <w:rPr/>
              <w:t xml:space="preserve">​ </w:t>
            </w:r>
          </w:p>
        </w:tc>
        <w:tc>
          <w:tcPr>
            <w:tcW w:w="100" w:type="dxa"/>
            <w:tcBorders/>
            <w:shd w:fill="FFFFFF" w:val="clear"/>
            <w:vAlign w:val="bottom"/>
          </w:tcPr>
          <w:p>
            <w:pPr>
              <w:pStyle w:val="TableContents"/>
              <w:spacing w:before="0" w:after="283"/>
              <w:rPr/>
            </w:pPr>
            <w:r>
              <w:rPr/>
              <w:t>​</w:t>
            </w:r>
          </w:p>
        </w:tc>
        <w:tc>
          <w:tcPr>
            <w:tcW w:w="106" w:type="dxa"/>
            <w:tcBorders>
              <w:bottom w:val="single" w:sz="8" w:space="0" w:color="000000"/>
            </w:tcBorders>
            <w:shd w:fill="FFFFFF" w:val="clear"/>
            <w:tcMar>
              <w:bottom w:w="28" w:type="dxa"/>
            </w:tcMar>
            <w:vAlign w:val="bottom"/>
          </w:tcPr>
          <w:p>
            <w:pPr>
              <w:pStyle w:val="TableContents"/>
              <w:spacing w:before="0" w:after="283"/>
              <w:rPr/>
            </w:pPr>
            <w:r>
              <w:rPr/>
              <w:t xml:space="preserve">​ </w:t>
            </w:r>
          </w:p>
        </w:tc>
        <w:tc>
          <w:tcPr>
            <w:tcW w:w="618" w:type="dxa"/>
            <w:tcBorders>
              <w:bottom w:val="single" w:sz="8" w:space="0" w:color="000000"/>
            </w:tcBorders>
            <w:shd w:fill="FFFFFF" w:val="clear"/>
            <w:tcMar>
              <w:bottom w:w="28" w:type="dxa"/>
            </w:tcMar>
            <w:vAlign w:val="bottom"/>
          </w:tcPr>
          <w:p>
            <w:pPr>
              <w:pStyle w:val="TableContents"/>
              <w:spacing w:before="0" w:after="283"/>
              <w:jc w:val="right"/>
              <w:rPr/>
            </w:pPr>
            <w:r>
              <w:rPr/>
              <w:t xml:space="preserve">​ </w:t>
            </w:r>
          </w:p>
        </w:tc>
        <w:tc>
          <w:tcPr>
            <w:tcW w:w="201" w:type="dxa"/>
            <w:tcBorders/>
            <w:shd w:fill="FFFFFF" w:val="clear"/>
            <w:vAlign w:val="bottom"/>
          </w:tcPr>
          <w:p>
            <w:pPr>
              <w:pStyle w:val="TableContents"/>
              <w:spacing w:before="0" w:after="283"/>
              <w:rPr/>
            </w:pPr>
            <w:r>
              <w:rPr/>
              <w:t>​</w:t>
            </w:r>
          </w:p>
        </w:tc>
      </w:tr>
      <w:tr>
        <w:trPr/>
        <w:tc>
          <w:tcPr>
            <w:tcW w:w="1760" w:type="dxa"/>
            <w:tcBorders/>
            <w:shd w:fill="auto" w:val="clear"/>
            <w:vAlign w:val="bottom"/>
          </w:tcPr>
          <w:p>
            <w:pPr>
              <w:pStyle w:val="TableContents"/>
              <w:spacing w:before="0" w:after="283"/>
              <w:ind w:left="140" w:right="0" w:hanging="140"/>
              <w:rPr>
                <w:rFonts w:ascii="times" w:hAnsi="times"/>
                <w:b/>
                <w:sz w:val="14"/>
              </w:rPr>
            </w:pPr>
            <w:r>
              <w:rPr>
                <w:rFonts w:ascii="times" w:hAnsi="times"/>
                <w:b/>
                <w:sz w:val="14"/>
              </w:rPr>
              <w:t>EBITDA</w:t>
            </w:r>
          </w:p>
        </w:tc>
        <w:tc>
          <w:tcPr>
            <w:tcW w:w="101" w:type="dxa"/>
            <w:tcBorders/>
            <w:shd w:fill="auto" w:val="clear"/>
            <w:vAlign w:val="bottom"/>
          </w:tcPr>
          <w:p>
            <w:pPr>
              <w:pStyle w:val="TableContents"/>
              <w:spacing w:before="0" w:after="283"/>
              <w:rPr/>
            </w:pPr>
            <w:r>
              <w:rPr/>
              <w:t> </w:t>
            </w:r>
          </w:p>
        </w:tc>
        <w:tc>
          <w:tcPr>
            <w:tcW w:w="105" w:type="dxa"/>
            <w:tcBorders/>
            <w:shd w:fill="auto" w:val="clear"/>
            <w:vAlign w:val="bottom"/>
          </w:tcPr>
          <w:p>
            <w:pPr>
              <w:pStyle w:val="TableContents"/>
              <w:spacing w:before="0" w:after="283"/>
              <w:rPr>
                <w:rFonts w:ascii="times" w:hAnsi="times"/>
                <w:b/>
                <w:sz w:val="14"/>
              </w:rPr>
            </w:pPr>
            <w:r>
              <w:rPr>
                <w:rFonts w:ascii="times" w:hAnsi="times"/>
                <w:b/>
                <w:sz w:val="14"/>
              </w:rPr>
              <w:t>$</w:t>
            </w:r>
          </w:p>
        </w:tc>
        <w:tc>
          <w:tcPr>
            <w:tcW w:w="619" w:type="dxa"/>
            <w:tcBorders/>
            <w:shd w:fill="auto" w:val="clear"/>
            <w:vAlign w:val="bottom"/>
          </w:tcPr>
          <w:p>
            <w:pPr>
              <w:pStyle w:val="TableContents"/>
              <w:spacing w:before="0" w:after="283"/>
              <w:jc w:val="right"/>
              <w:rPr>
                <w:rFonts w:ascii="times" w:hAnsi="times"/>
                <w:b/>
                <w:sz w:val="14"/>
              </w:rPr>
            </w:pPr>
            <w:r>
              <w:rPr>
                <w:rFonts w:ascii="times" w:hAnsi="times"/>
                <w:b/>
                <w:sz w:val="14"/>
              </w:rPr>
              <w:t>249,275</w:t>
            </w:r>
          </w:p>
        </w:tc>
        <w:tc>
          <w:tcPr>
            <w:tcW w:w="100" w:type="dxa"/>
            <w:tcBorders/>
            <w:shd w:fill="auto" w:val="clear"/>
            <w:vAlign w:val="bottom"/>
          </w:tcPr>
          <w:p>
            <w:pPr>
              <w:pStyle w:val="TableContents"/>
              <w:spacing w:before="0" w:after="283"/>
              <w:rPr/>
            </w:pPr>
            <w:r>
              <w:rPr/>
              <w:t> </w:t>
            </w:r>
          </w:p>
        </w:tc>
        <w:tc>
          <w:tcPr>
            <w:tcW w:w="106" w:type="dxa"/>
            <w:tcBorders/>
            <w:shd w:fill="auto" w:val="clear"/>
            <w:vAlign w:val="bottom"/>
          </w:tcPr>
          <w:p>
            <w:pPr>
              <w:pStyle w:val="TableContents"/>
              <w:spacing w:before="0" w:after="283"/>
              <w:rPr>
                <w:rFonts w:ascii="times" w:hAnsi="times"/>
                <w:b/>
                <w:sz w:val="14"/>
              </w:rPr>
            </w:pPr>
            <w:r>
              <w:rPr>
                <w:rFonts w:ascii="times" w:hAnsi="times"/>
                <w:b/>
                <w:sz w:val="14"/>
              </w:rPr>
              <w:t>$</w:t>
            </w:r>
          </w:p>
        </w:tc>
        <w:tc>
          <w:tcPr>
            <w:tcW w:w="618" w:type="dxa"/>
            <w:tcBorders/>
            <w:shd w:fill="auto" w:val="clear"/>
            <w:vAlign w:val="bottom"/>
          </w:tcPr>
          <w:p>
            <w:pPr>
              <w:pStyle w:val="TableContents"/>
              <w:spacing w:before="0" w:after="283"/>
              <w:jc w:val="right"/>
              <w:rPr>
                <w:rFonts w:ascii="times" w:hAnsi="times"/>
                <w:b/>
                <w:sz w:val="14"/>
              </w:rPr>
            </w:pPr>
            <w:r>
              <w:rPr>
                <w:rFonts w:ascii="times" w:hAnsi="times"/>
                <w:b/>
                <w:sz w:val="14"/>
              </w:rPr>
              <w:t>304,782</w:t>
            </w:r>
          </w:p>
        </w:tc>
        <w:tc>
          <w:tcPr>
            <w:tcW w:w="100" w:type="dxa"/>
            <w:tcBorders/>
            <w:shd w:fill="auto" w:val="clear"/>
            <w:vAlign w:val="bottom"/>
          </w:tcPr>
          <w:p>
            <w:pPr>
              <w:pStyle w:val="TableContents"/>
              <w:spacing w:before="0" w:after="283"/>
              <w:rPr/>
            </w:pPr>
            <w:r>
              <w:rPr/>
              <w:t> </w:t>
            </w:r>
          </w:p>
        </w:tc>
        <w:tc>
          <w:tcPr>
            <w:tcW w:w="106" w:type="dxa"/>
            <w:tcBorders/>
            <w:shd w:fill="auto" w:val="clear"/>
            <w:vAlign w:val="bottom"/>
          </w:tcPr>
          <w:p>
            <w:pPr>
              <w:pStyle w:val="TableContents"/>
              <w:spacing w:before="0" w:after="283"/>
              <w:rPr>
                <w:rFonts w:ascii="times" w:hAnsi="times"/>
                <w:b/>
                <w:sz w:val="14"/>
              </w:rPr>
            </w:pPr>
            <w:r>
              <w:rPr>
                <w:rFonts w:ascii="times" w:hAnsi="times"/>
                <w:b/>
                <w:sz w:val="14"/>
              </w:rPr>
              <w:t>$</w:t>
            </w:r>
          </w:p>
        </w:tc>
        <w:tc>
          <w:tcPr>
            <w:tcW w:w="618" w:type="dxa"/>
            <w:tcBorders/>
            <w:shd w:fill="auto" w:val="clear"/>
            <w:vAlign w:val="bottom"/>
          </w:tcPr>
          <w:p>
            <w:pPr>
              <w:pStyle w:val="TableContents"/>
              <w:spacing w:before="0" w:after="283"/>
              <w:jc w:val="right"/>
              <w:rPr>
                <w:rFonts w:ascii="times" w:hAnsi="times"/>
                <w:b/>
                <w:sz w:val="14"/>
              </w:rPr>
            </w:pPr>
            <w:r>
              <w:rPr>
                <w:rFonts w:ascii="times" w:hAnsi="times"/>
                <w:b/>
                <w:sz w:val="14"/>
              </w:rPr>
              <w:t>285,944</w:t>
            </w:r>
          </w:p>
        </w:tc>
        <w:tc>
          <w:tcPr>
            <w:tcW w:w="101" w:type="dxa"/>
            <w:tcBorders/>
            <w:shd w:fill="auto" w:val="clear"/>
            <w:vAlign w:val="bottom"/>
          </w:tcPr>
          <w:p>
            <w:pPr>
              <w:pStyle w:val="TableContents"/>
              <w:spacing w:before="0" w:after="283"/>
              <w:rPr/>
            </w:pPr>
            <w:r>
              <w:rPr/>
              <w:t> </w:t>
            </w:r>
          </w:p>
        </w:tc>
        <w:tc>
          <w:tcPr>
            <w:tcW w:w="105" w:type="dxa"/>
            <w:tcBorders/>
            <w:shd w:fill="auto" w:val="clear"/>
            <w:vAlign w:val="bottom"/>
          </w:tcPr>
          <w:p>
            <w:pPr>
              <w:pStyle w:val="TableContents"/>
              <w:spacing w:before="0" w:after="283"/>
              <w:rPr>
                <w:rFonts w:ascii="times" w:hAnsi="times"/>
                <w:b/>
                <w:sz w:val="14"/>
              </w:rPr>
            </w:pPr>
            <w:r>
              <w:rPr>
                <w:rFonts w:ascii="times" w:hAnsi="times"/>
                <w:b/>
                <w:sz w:val="14"/>
              </w:rPr>
              <w:t>$</w:t>
            </w:r>
          </w:p>
        </w:tc>
        <w:tc>
          <w:tcPr>
            <w:tcW w:w="619" w:type="dxa"/>
            <w:tcBorders/>
            <w:shd w:fill="auto" w:val="clear"/>
            <w:vAlign w:val="bottom"/>
          </w:tcPr>
          <w:p>
            <w:pPr>
              <w:pStyle w:val="TableContents"/>
              <w:spacing w:before="0" w:after="283"/>
              <w:jc w:val="right"/>
              <w:rPr>
                <w:rFonts w:ascii="times" w:hAnsi="times"/>
                <w:b/>
                <w:sz w:val="14"/>
              </w:rPr>
            </w:pPr>
            <w:r>
              <w:rPr>
                <w:rFonts w:ascii="times" w:hAnsi="times"/>
                <w:b/>
                <w:sz w:val="14"/>
              </w:rPr>
              <w:t>137,446</w:t>
            </w:r>
          </w:p>
        </w:tc>
        <w:tc>
          <w:tcPr>
            <w:tcW w:w="100" w:type="dxa"/>
            <w:tcBorders/>
            <w:shd w:fill="auto" w:val="clear"/>
            <w:vAlign w:val="bottom"/>
          </w:tcPr>
          <w:p>
            <w:pPr>
              <w:pStyle w:val="TableContents"/>
              <w:spacing w:before="0" w:after="283"/>
              <w:rPr/>
            </w:pPr>
            <w:r>
              <w:rPr/>
              <w:t> </w:t>
            </w:r>
          </w:p>
        </w:tc>
        <w:tc>
          <w:tcPr>
            <w:tcW w:w="106" w:type="dxa"/>
            <w:tcBorders/>
            <w:shd w:fill="auto" w:val="clear"/>
            <w:vAlign w:val="bottom"/>
          </w:tcPr>
          <w:p>
            <w:pPr>
              <w:pStyle w:val="TableContents"/>
              <w:spacing w:before="0" w:after="283"/>
              <w:rPr>
                <w:rFonts w:ascii="times" w:hAnsi="times"/>
                <w:b/>
                <w:sz w:val="14"/>
              </w:rPr>
            </w:pPr>
            <w:r>
              <w:rPr>
                <w:rFonts w:ascii="times" w:hAnsi="times"/>
                <w:b/>
                <w:sz w:val="14"/>
              </w:rPr>
              <w:t>$</w:t>
            </w:r>
          </w:p>
        </w:tc>
        <w:tc>
          <w:tcPr>
            <w:tcW w:w="618" w:type="dxa"/>
            <w:tcBorders/>
            <w:shd w:fill="auto" w:val="clear"/>
            <w:vAlign w:val="bottom"/>
          </w:tcPr>
          <w:p>
            <w:pPr>
              <w:pStyle w:val="TableContents"/>
              <w:spacing w:before="0" w:after="283"/>
              <w:jc w:val="right"/>
              <w:rPr>
                <w:rFonts w:ascii="times" w:hAnsi="times"/>
                <w:b/>
                <w:sz w:val="14"/>
              </w:rPr>
            </w:pPr>
            <w:r>
              <w:rPr>
                <w:rFonts w:ascii="times" w:hAnsi="times"/>
                <w:b/>
                <w:sz w:val="14"/>
              </w:rPr>
              <w:t>205,538</w:t>
            </w:r>
          </w:p>
        </w:tc>
        <w:tc>
          <w:tcPr>
            <w:tcW w:w="100" w:type="dxa"/>
            <w:tcBorders/>
            <w:shd w:fill="auto" w:val="clear"/>
            <w:vAlign w:val="bottom"/>
          </w:tcPr>
          <w:p>
            <w:pPr>
              <w:pStyle w:val="TableContents"/>
              <w:spacing w:before="0" w:after="283"/>
              <w:rPr/>
            </w:pPr>
            <w:r>
              <w:rPr/>
              <w:t> </w:t>
            </w:r>
          </w:p>
        </w:tc>
        <w:tc>
          <w:tcPr>
            <w:tcW w:w="106" w:type="dxa"/>
            <w:tcBorders/>
            <w:shd w:fill="auto" w:val="clear"/>
            <w:vAlign w:val="bottom"/>
          </w:tcPr>
          <w:p>
            <w:pPr>
              <w:pStyle w:val="TableContents"/>
              <w:spacing w:before="0" w:after="283"/>
              <w:rPr>
                <w:rFonts w:ascii="times" w:hAnsi="times"/>
                <w:b/>
                <w:sz w:val="14"/>
              </w:rPr>
            </w:pPr>
            <w:r>
              <w:rPr>
                <w:rFonts w:ascii="times" w:hAnsi="times"/>
                <w:b/>
                <w:sz w:val="14"/>
              </w:rPr>
              <w:t>$</w:t>
            </w:r>
          </w:p>
        </w:tc>
        <w:tc>
          <w:tcPr>
            <w:tcW w:w="619" w:type="dxa"/>
            <w:tcBorders/>
            <w:shd w:fill="auto" w:val="clear"/>
            <w:vAlign w:val="bottom"/>
          </w:tcPr>
          <w:p>
            <w:pPr>
              <w:pStyle w:val="TableContents"/>
              <w:spacing w:before="0" w:after="283"/>
              <w:jc w:val="right"/>
              <w:rPr>
                <w:rFonts w:ascii="times" w:hAnsi="times"/>
                <w:b/>
                <w:sz w:val="14"/>
              </w:rPr>
            </w:pPr>
            <w:r>
              <w:rPr>
                <w:rFonts w:ascii="times" w:hAnsi="times"/>
                <w:b/>
                <w:sz w:val="14"/>
              </w:rPr>
              <w:t>148,885</w:t>
            </w:r>
          </w:p>
        </w:tc>
        <w:tc>
          <w:tcPr>
            <w:tcW w:w="100" w:type="dxa"/>
            <w:tcBorders/>
            <w:shd w:fill="auto" w:val="clear"/>
            <w:vAlign w:val="bottom"/>
          </w:tcPr>
          <w:p>
            <w:pPr>
              <w:pStyle w:val="TableContents"/>
              <w:spacing w:before="0" w:after="283"/>
              <w:rPr/>
            </w:pPr>
            <w:r>
              <w:rPr/>
              <w:t> </w:t>
            </w:r>
          </w:p>
        </w:tc>
        <w:tc>
          <w:tcPr>
            <w:tcW w:w="105" w:type="dxa"/>
            <w:tcBorders/>
            <w:shd w:fill="auto" w:val="clear"/>
            <w:vAlign w:val="bottom"/>
          </w:tcPr>
          <w:p>
            <w:pPr>
              <w:pStyle w:val="TableContents"/>
              <w:spacing w:before="0" w:after="283"/>
              <w:rPr>
                <w:rFonts w:ascii="times" w:hAnsi="times"/>
                <w:b/>
                <w:sz w:val="14"/>
              </w:rPr>
            </w:pPr>
            <w:r>
              <w:rPr>
                <w:rFonts w:ascii="times" w:hAnsi="times"/>
                <w:b/>
                <w:sz w:val="14"/>
              </w:rPr>
              <w:t>$</w:t>
            </w:r>
          </w:p>
        </w:tc>
        <w:tc>
          <w:tcPr>
            <w:tcW w:w="619" w:type="dxa"/>
            <w:tcBorders/>
            <w:shd w:fill="auto" w:val="clear"/>
            <w:vAlign w:val="bottom"/>
          </w:tcPr>
          <w:p>
            <w:pPr>
              <w:pStyle w:val="TableContents"/>
              <w:spacing w:before="0" w:after="283"/>
              <w:jc w:val="right"/>
              <w:rPr>
                <w:rFonts w:ascii="times" w:hAnsi="times"/>
                <w:b/>
                <w:sz w:val="14"/>
              </w:rPr>
            </w:pPr>
            <w:r>
              <w:rPr>
                <w:rFonts w:ascii="times" w:hAnsi="times"/>
                <w:b/>
                <w:sz w:val="14"/>
              </w:rPr>
              <w:t>196,133</w:t>
            </w:r>
          </w:p>
        </w:tc>
        <w:tc>
          <w:tcPr>
            <w:tcW w:w="100" w:type="dxa"/>
            <w:tcBorders/>
            <w:shd w:fill="auto" w:val="clear"/>
            <w:vAlign w:val="bottom"/>
          </w:tcPr>
          <w:p>
            <w:pPr>
              <w:pStyle w:val="TableContents"/>
              <w:spacing w:before="0" w:after="283"/>
              <w:rPr/>
            </w:pPr>
            <w:r>
              <w:rPr/>
              <w:t> </w:t>
            </w:r>
          </w:p>
        </w:tc>
        <w:tc>
          <w:tcPr>
            <w:tcW w:w="106" w:type="dxa"/>
            <w:tcBorders/>
            <w:shd w:fill="auto" w:val="clear"/>
            <w:vAlign w:val="bottom"/>
          </w:tcPr>
          <w:p>
            <w:pPr>
              <w:pStyle w:val="TableContents"/>
              <w:spacing w:before="0" w:after="283"/>
              <w:rPr>
                <w:rFonts w:ascii="times" w:hAnsi="times"/>
                <w:b/>
                <w:sz w:val="14"/>
              </w:rPr>
            </w:pPr>
            <w:r>
              <w:rPr>
                <w:rFonts w:ascii="times" w:hAnsi="times"/>
                <w:b/>
                <w:sz w:val="14"/>
              </w:rPr>
              <w:t>$</w:t>
            </w:r>
          </w:p>
        </w:tc>
        <w:tc>
          <w:tcPr>
            <w:tcW w:w="618" w:type="dxa"/>
            <w:tcBorders/>
            <w:shd w:fill="auto" w:val="clear"/>
            <w:vAlign w:val="bottom"/>
          </w:tcPr>
          <w:p>
            <w:pPr>
              <w:pStyle w:val="TableContents"/>
              <w:spacing w:before="0" w:after="283"/>
              <w:jc w:val="right"/>
              <w:rPr>
                <w:rFonts w:ascii="times" w:hAnsi="times"/>
                <w:b/>
                <w:sz w:val="14"/>
              </w:rPr>
            </w:pPr>
            <w:r>
              <w:rPr>
                <w:rFonts w:ascii="times" w:hAnsi="times"/>
                <w:b/>
                <w:sz w:val="14"/>
              </w:rPr>
              <w:t>233,656</w:t>
            </w:r>
          </w:p>
        </w:tc>
        <w:tc>
          <w:tcPr>
            <w:tcW w:w="100" w:type="dxa"/>
            <w:tcBorders/>
            <w:shd w:fill="auto" w:val="clear"/>
            <w:vAlign w:val="bottom"/>
          </w:tcPr>
          <w:p>
            <w:pPr>
              <w:pStyle w:val="TableContents"/>
              <w:spacing w:before="0" w:after="283"/>
              <w:rPr/>
            </w:pPr>
            <w:r>
              <w:rPr/>
              <w:t> </w:t>
            </w:r>
          </w:p>
        </w:tc>
        <w:tc>
          <w:tcPr>
            <w:tcW w:w="106" w:type="dxa"/>
            <w:tcBorders/>
            <w:shd w:fill="auto" w:val="clear"/>
            <w:vAlign w:val="bottom"/>
          </w:tcPr>
          <w:p>
            <w:pPr>
              <w:pStyle w:val="TableContents"/>
              <w:spacing w:before="0" w:after="283"/>
              <w:rPr>
                <w:rFonts w:ascii="times" w:hAnsi="times"/>
                <w:b/>
                <w:sz w:val="14"/>
              </w:rPr>
            </w:pPr>
            <w:r>
              <w:rPr>
                <w:rFonts w:ascii="times" w:hAnsi="times"/>
                <w:b/>
                <w:sz w:val="14"/>
              </w:rPr>
              <w:t>$</w:t>
            </w:r>
          </w:p>
        </w:tc>
        <w:tc>
          <w:tcPr>
            <w:tcW w:w="619" w:type="dxa"/>
            <w:tcBorders/>
            <w:shd w:fill="auto" w:val="clear"/>
            <w:vAlign w:val="bottom"/>
          </w:tcPr>
          <w:p>
            <w:pPr>
              <w:pStyle w:val="TableContents"/>
              <w:spacing w:before="0" w:after="283"/>
              <w:jc w:val="right"/>
              <w:rPr>
                <w:rFonts w:ascii="times" w:hAnsi="times"/>
                <w:b/>
                <w:sz w:val="14"/>
              </w:rPr>
            </w:pPr>
            <w:r>
              <w:rPr>
                <w:rFonts w:ascii="times" w:hAnsi="times"/>
                <w:b/>
                <w:sz w:val="14"/>
              </w:rPr>
              <w:t>131,590</w:t>
            </w:r>
          </w:p>
        </w:tc>
        <w:tc>
          <w:tcPr>
            <w:tcW w:w="100" w:type="dxa"/>
            <w:tcBorders/>
            <w:shd w:fill="auto" w:val="clear"/>
            <w:vAlign w:val="bottom"/>
          </w:tcPr>
          <w:p>
            <w:pPr>
              <w:pStyle w:val="TableContents"/>
              <w:spacing w:before="0" w:after="283"/>
              <w:rPr/>
            </w:pPr>
            <w:r>
              <w:rPr/>
              <w:t> </w:t>
            </w:r>
          </w:p>
        </w:tc>
        <w:tc>
          <w:tcPr>
            <w:tcW w:w="106" w:type="dxa"/>
            <w:tcBorders/>
            <w:shd w:fill="auto" w:val="clear"/>
            <w:vAlign w:val="bottom"/>
          </w:tcPr>
          <w:p>
            <w:pPr>
              <w:pStyle w:val="TableContents"/>
              <w:spacing w:before="0" w:after="283"/>
              <w:rPr>
                <w:rFonts w:ascii="times" w:hAnsi="times"/>
                <w:b/>
                <w:sz w:val="14"/>
              </w:rPr>
            </w:pPr>
            <w:r>
              <w:rPr>
                <w:rFonts w:ascii="times" w:hAnsi="times"/>
                <w:b/>
                <w:sz w:val="14"/>
              </w:rPr>
              <w:t>$</w:t>
            </w:r>
          </w:p>
        </w:tc>
        <w:tc>
          <w:tcPr>
            <w:tcW w:w="618" w:type="dxa"/>
            <w:tcBorders/>
            <w:shd w:fill="auto" w:val="clear"/>
            <w:vAlign w:val="bottom"/>
          </w:tcPr>
          <w:p>
            <w:pPr>
              <w:pStyle w:val="TableContents"/>
              <w:spacing w:before="0" w:after="283"/>
              <w:jc w:val="right"/>
              <w:rPr>
                <w:rFonts w:ascii="times" w:hAnsi="times"/>
                <w:b/>
                <w:sz w:val="14"/>
              </w:rPr>
            </w:pPr>
            <w:r>
              <w:rPr>
                <w:rFonts w:ascii="times" w:hAnsi="times"/>
                <w:b/>
                <w:sz w:val="14"/>
              </w:rPr>
              <w:t>205,538</w:t>
            </w:r>
          </w:p>
        </w:tc>
        <w:tc>
          <w:tcPr>
            <w:tcW w:w="201" w:type="dxa"/>
            <w:tcBorders/>
            <w:shd w:fill="auto" w:val="clear"/>
            <w:vAlign w:val="bottom"/>
          </w:tcPr>
          <w:p>
            <w:pPr>
              <w:pStyle w:val="TableContents"/>
              <w:spacing w:before="0" w:after="283"/>
              <w:rPr/>
            </w:pPr>
            <w:r>
              <w:rPr/>
              <w:t> </w:t>
            </w:r>
          </w:p>
        </w:tc>
      </w:tr>
      <w:tr>
        <w:trPr/>
        <w:tc>
          <w:tcPr>
            <w:tcW w:w="1760" w:type="dxa"/>
            <w:tcBorders/>
            <w:shd w:fill="FFFFFF" w:val="clear"/>
            <w:vAlign w:val="bottom"/>
          </w:tcPr>
          <w:p>
            <w:pPr>
              <w:pStyle w:val="TableContents"/>
              <w:spacing w:before="0" w:after="283"/>
              <w:rPr/>
            </w:pPr>
            <w:r>
              <w:rPr/>
              <w:t>​</w:t>
            </w:r>
          </w:p>
        </w:tc>
        <w:tc>
          <w:tcPr>
            <w:tcW w:w="101" w:type="dxa"/>
            <w:tcBorders/>
            <w:shd w:fill="FFFFFF" w:val="clear"/>
            <w:vAlign w:val="bottom"/>
          </w:tcPr>
          <w:p>
            <w:pPr>
              <w:pStyle w:val="TableContents"/>
              <w:spacing w:before="0" w:after="283"/>
              <w:rPr/>
            </w:pPr>
            <w:r>
              <w:rPr/>
              <w:t>​</w:t>
            </w:r>
          </w:p>
        </w:tc>
        <w:tc>
          <w:tcPr>
            <w:tcW w:w="105" w:type="dxa"/>
            <w:tcBorders>
              <w:bottom w:val="single" w:sz="8" w:space="0" w:color="000000"/>
            </w:tcBorders>
            <w:shd w:fill="FFFFFF" w:val="clear"/>
            <w:tcMar>
              <w:bottom w:w="28" w:type="dxa"/>
            </w:tcMar>
            <w:vAlign w:val="bottom"/>
          </w:tcPr>
          <w:p>
            <w:pPr>
              <w:pStyle w:val="TableContents"/>
              <w:spacing w:before="0" w:after="283"/>
              <w:rPr/>
            </w:pPr>
            <w:r>
              <w:rPr/>
              <w:t xml:space="preserve">​ </w:t>
            </w:r>
          </w:p>
        </w:tc>
        <w:tc>
          <w:tcPr>
            <w:tcW w:w="619" w:type="dxa"/>
            <w:tcBorders>
              <w:bottom w:val="single" w:sz="8" w:space="0" w:color="000000"/>
            </w:tcBorders>
            <w:shd w:fill="FFFFFF" w:val="clear"/>
            <w:tcMar>
              <w:bottom w:w="28" w:type="dxa"/>
            </w:tcMar>
            <w:vAlign w:val="bottom"/>
          </w:tcPr>
          <w:p>
            <w:pPr>
              <w:pStyle w:val="TableContents"/>
              <w:spacing w:before="0" w:after="283"/>
              <w:jc w:val="right"/>
              <w:rPr/>
            </w:pPr>
            <w:r>
              <w:rPr/>
              <w:t xml:space="preserve">​ </w:t>
            </w:r>
          </w:p>
        </w:tc>
        <w:tc>
          <w:tcPr>
            <w:tcW w:w="100" w:type="dxa"/>
            <w:tcBorders/>
            <w:shd w:fill="FFFFFF" w:val="clear"/>
            <w:vAlign w:val="bottom"/>
          </w:tcPr>
          <w:p>
            <w:pPr>
              <w:pStyle w:val="TableContents"/>
              <w:spacing w:before="0" w:after="283"/>
              <w:rPr/>
            </w:pPr>
            <w:r>
              <w:rPr/>
              <w:t>​</w:t>
            </w:r>
          </w:p>
        </w:tc>
        <w:tc>
          <w:tcPr>
            <w:tcW w:w="106" w:type="dxa"/>
            <w:tcBorders>
              <w:bottom w:val="single" w:sz="8" w:space="0" w:color="000000"/>
            </w:tcBorders>
            <w:shd w:fill="FFFFFF" w:val="clear"/>
            <w:tcMar>
              <w:bottom w:w="28" w:type="dxa"/>
            </w:tcMar>
            <w:vAlign w:val="bottom"/>
          </w:tcPr>
          <w:p>
            <w:pPr>
              <w:pStyle w:val="TableContents"/>
              <w:spacing w:before="0" w:after="283"/>
              <w:rPr/>
            </w:pPr>
            <w:r>
              <w:rPr/>
              <w:t xml:space="preserve">​ </w:t>
            </w:r>
          </w:p>
        </w:tc>
        <w:tc>
          <w:tcPr>
            <w:tcW w:w="618" w:type="dxa"/>
            <w:tcBorders>
              <w:bottom w:val="single" w:sz="8" w:space="0" w:color="000000"/>
            </w:tcBorders>
            <w:shd w:fill="FFFFFF" w:val="clear"/>
            <w:tcMar>
              <w:bottom w:w="28" w:type="dxa"/>
            </w:tcMar>
            <w:vAlign w:val="bottom"/>
          </w:tcPr>
          <w:p>
            <w:pPr>
              <w:pStyle w:val="TableContents"/>
              <w:spacing w:before="0" w:after="283"/>
              <w:jc w:val="right"/>
              <w:rPr/>
            </w:pPr>
            <w:r>
              <w:rPr/>
              <w:t xml:space="preserve">​ </w:t>
            </w:r>
          </w:p>
        </w:tc>
        <w:tc>
          <w:tcPr>
            <w:tcW w:w="100" w:type="dxa"/>
            <w:tcBorders/>
            <w:shd w:fill="FFFFFF" w:val="clear"/>
            <w:vAlign w:val="bottom"/>
          </w:tcPr>
          <w:p>
            <w:pPr>
              <w:pStyle w:val="TableContents"/>
              <w:spacing w:before="0" w:after="283"/>
              <w:rPr/>
            </w:pPr>
            <w:r>
              <w:rPr/>
              <w:t>​</w:t>
            </w:r>
          </w:p>
        </w:tc>
        <w:tc>
          <w:tcPr>
            <w:tcW w:w="106" w:type="dxa"/>
            <w:tcBorders>
              <w:bottom w:val="single" w:sz="8" w:space="0" w:color="000000"/>
            </w:tcBorders>
            <w:shd w:fill="FFFFFF" w:val="clear"/>
            <w:tcMar>
              <w:bottom w:w="28" w:type="dxa"/>
            </w:tcMar>
            <w:vAlign w:val="bottom"/>
          </w:tcPr>
          <w:p>
            <w:pPr>
              <w:pStyle w:val="TableContents"/>
              <w:spacing w:before="0" w:after="283"/>
              <w:rPr/>
            </w:pPr>
            <w:r>
              <w:rPr/>
              <w:t xml:space="preserve">​ </w:t>
            </w:r>
          </w:p>
        </w:tc>
        <w:tc>
          <w:tcPr>
            <w:tcW w:w="618" w:type="dxa"/>
            <w:tcBorders>
              <w:bottom w:val="single" w:sz="8" w:space="0" w:color="000000"/>
            </w:tcBorders>
            <w:shd w:fill="FFFFFF" w:val="clear"/>
            <w:tcMar>
              <w:bottom w:w="28" w:type="dxa"/>
            </w:tcMar>
            <w:vAlign w:val="bottom"/>
          </w:tcPr>
          <w:p>
            <w:pPr>
              <w:pStyle w:val="TableContents"/>
              <w:spacing w:before="0" w:after="283"/>
              <w:jc w:val="right"/>
              <w:rPr/>
            </w:pPr>
            <w:r>
              <w:rPr/>
              <w:t xml:space="preserve">​ </w:t>
            </w:r>
          </w:p>
        </w:tc>
        <w:tc>
          <w:tcPr>
            <w:tcW w:w="101" w:type="dxa"/>
            <w:tcBorders/>
            <w:shd w:fill="FFFFFF" w:val="clear"/>
            <w:vAlign w:val="bottom"/>
          </w:tcPr>
          <w:p>
            <w:pPr>
              <w:pStyle w:val="TableContents"/>
              <w:spacing w:before="0" w:after="283"/>
              <w:rPr/>
            </w:pPr>
            <w:r>
              <w:rPr/>
              <w:t>​</w:t>
            </w:r>
          </w:p>
        </w:tc>
        <w:tc>
          <w:tcPr>
            <w:tcW w:w="105" w:type="dxa"/>
            <w:tcBorders>
              <w:bottom w:val="single" w:sz="8" w:space="0" w:color="000000"/>
            </w:tcBorders>
            <w:shd w:fill="FFFFFF" w:val="clear"/>
            <w:tcMar>
              <w:bottom w:w="28" w:type="dxa"/>
            </w:tcMar>
            <w:vAlign w:val="bottom"/>
          </w:tcPr>
          <w:p>
            <w:pPr>
              <w:pStyle w:val="TableContents"/>
              <w:spacing w:before="0" w:after="283"/>
              <w:rPr/>
            </w:pPr>
            <w:r>
              <w:rPr/>
              <w:t xml:space="preserve">​ </w:t>
            </w:r>
          </w:p>
        </w:tc>
        <w:tc>
          <w:tcPr>
            <w:tcW w:w="619" w:type="dxa"/>
            <w:tcBorders>
              <w:bottom w:val="single" w:sz="8" w:space="0" w:color="000000"/>
            </w:tcBorders>
            <w:shd w:fill="FFFFFF" w:val="clear"/>
            <w:tcMar>
              <w:bottom w:w="28" w:type="dxa"/>
            </w:tcMar>
            <w:vAlign w:val="bottom"/>
          </w:tcPr>
          <w:p>
            <w:pPr>
              <w:pStyle w:val="TableContents"/>
              <w:spacing w:before="0" w:after="283"/>
              <w:jc w:val="right"/>
              <w:rPr/>
            </w:pPr>
            <w:r>
              <w:rPr/>
              <w:t xml:space="preserve">​ </w:t>
            </w:r>
          </w:p>
        </w:tc>
        <w:tc>
          <w:tcPr>
            <w:tcW w:w="100" w:type="dxa"/>
            <w:tcBorders/>
            <w:shd w:fill="FFFFFF" w:val="clear"/>
            <w:vAlign w:val="bottom"/>
          </w:tcPr>
          <w:p>
            <w:pPr>
              <w:pStyle w:val="TableContents"/>
              <w:spacing w:before="0" w:after="283"/>
              <w:rPr/>
            </w:pPr>
            <w:r>
              <w:rPr/>
              <w:t>​</w:t>
            </w:r>
          </w:p>
        </w:tc>
        <w:tc>
          <w:tcPr>
            <w:tcW w:w="106" w:type="dxa"/>
            <w:tcBorders>
              <w:bottom w:val="single" w:sz="8" w:space="0" w:color="000000"/>
            </w:tcBorders>
            <w:shd w:fill="FFFFFF" w:val="clear"/>
            <w:tcMar>
              <w:bottom w:w="28" w:type="dxa"/>
            </w:tcMar>
            <w:vAlign w:val="bottom"/>
          </w:tcPr>
          <w:p>
            <w:pPr>
              <w:pStyle w:val="TableContents"/>
              <w:spacing w:before="0" w:after="283"/>
              <w:rPr/>
            </w:pPr>
            <w:r>
              <w:rPr/>
              <w:t xml:space="preserve">​ </w:t>
            </w:r>
          </w:p>
        </w:tc>
        <w:tc>
          <w:tcPr>
            <w:tcW w:w="618" w:type="dxa"/>
            <w:tcBorders>
              <w:bottom w:val="single" w:sz="8" w:space="0" w:color="000000"/>
            </w:tcBorders>
            <w:shd w:fill="FFFFFF" w:val="clear"/>
            <w:tcMar>
              <w:bottom w:w="28" w:type="dxa"/>
            </w:tcMar>
            <w:vAlign w:val="bottom"/>
          </w:tcPr>
          <w:p>
            <w:pPr>
              <w:pStyle w:val="TableContents"/>
              <w:spacing w:before="0" w:after="283"/>
              <w:jc w:val="right"/>
              <w:rPr/>
            </w:pPr>
            <w:r>
              <w:rPr/>
              <w:t xml:space="preserve">​ </w:t>
            </w:r>
          </w:p>
        </w:tc>
        <w:tc>
          <w:tcPr>
            <w:tcW w:w="100" w:type="dxa"/>
            <w:tcBorders/>
            <w:shd w:fill="FFFFFF" w:val="clear"/>
            <w:vAlign w:val="bottom"/>
          </w:tcPr>
          <w:p>
            <w:pPr>
              <w:pStyle w:val="TableContents"/>
              <w:spacing w:before="0" w:after="283"/>
              <w:rPr/>
            </w:pPr>
            <w:r>
              <w:rPr/>
              <w:t>​</w:t>
            </w:r>
          </w:p>
        </w:tc>
        <w:tc>
          <w:tcPr>
            <w:tcW w:w="106" w:type="dxa"/>
            <w:tcBorders>
              <w:bottom w:val="single" w:sz="8" w:space="0" w:color="000000"/>
            </w:tcBorders>
            <w:shd w:fill="FFFFFF" w:val="clear"/>
            <w:tcMar>
              <w:bottom w:w="28" w:type="dxa"/>
            </w:tcMar>
            <w:vAlign w:val="bottom"/>
          </w:tcPr>
          <w:p>
            <w:pPr>
              <w:pStyle w:val="TableContents"/>
              <w:spacing w:before="0" w:after="283"/>
              <w:rPr/>
            </w:pPr>
            <w:r>
              <w:rPr/>
              <w:t xml:space="preserve">​ </w:t>
            </w:r>
          </w:p>
        </w:tc>
        <w:tc>
          <w:tcPr>
            <w:tcW w:w="619" w:type="dxa"/>
            <w:tcBorders>
              <w:bottom w:val="single" w:sz="8" w:space="0" w:color="000000"/>
            </w:tcBorders>
            <w:shd w:fill="FFFFFF" w:val="clear"/>
            <w:tcMar>
              <w:bottom w:w="28" w:type="dxa"/>
            </w:tcMar>
            <w:vAlign w:val="bottom"/>
          </w:tcPr>
          <w:p>
            <w:pPr>
              <w:pStyle w:val="TableContents"/>
              <w:spacing w:before="0" w:after="283"/>
              <w:jc w:val="right"/>
              <w:rPr/>
            </w:pPr>
            <w:r>
              <w:rPr/>
              <w:t xml:space="preserve">​ </w:t>
            </w:r>
          </w:p>
        </w:tc>
        <w:tc>
          <w:tcPr>
            <w:tcW w:w="100" w:type="dxa"/>
            <w:tcBorders/>
            <w:shd w:fill="FFFFFF" w:val="clear"/>
            <w:vAlign w:val="bottom"/>
          </w:tcPr>
          <w:p>
            <w:pPr>
              <w:pStyle w:val="TableContents"/>
              <w:spacing w:before="0" w:after="283"/>
              <w:rPr/>
            </w:pPr>
            <w:r>
              <w:rPr/>
              <w:t>​</w:t>
            </w:r>
          </w:p>
        </w:tc>
        <w:tc>
          <w:tcPr>
            <w:tcW w:w="105" w:type="dxa"/>
            <w:tcBorders>
              <w:bottom w:val="single" w:sz="8" w:space="0" w:color="000000"/>
            </w:tcBorders>
            <w:shd w:fill="FFFFFF" w:val="clear"/>
            <w:tcMar>
              <w:bottom w:w="28" w:type="dxa"/>
            </w:tcMar>
            <w:vAlign w:val="bottom"/>
          </w:tcPr>
          <w:p>
            <w:pPr>
              <w:pStyle w:val="TableContents"/>
              <w:spacing w:before="0" w:after="283"/>
              <w:rPr/>
            </w:pPr>
            <w:r>
              <w:rPr/>
              <w:t xml:space="preserve">​ </w:t>
            </w:r>
          </w:p>
        </w:tc>
        <w:tc>
          <w:tcPr>
            <w:tcW w:w="619" w:type="dxa"/>
            <w:tcBorders>
              <w:bottom w:val="single" w:sz="8" w:space="0" w:color="000000"/>
            </w:tcBorders>
            <w:shd w:fill="FFFFFF" w:val="clear"/>
            <w:tcMar>
              <w:bottom w:w="28" w:type="dxa"/>
            </w:tcMar>
            <w:vAlign w:val="bottom"/>
          </w:tcPr>
          <w:p>
            <w:pPr>
              <w:pStyle w:val="TableContents"/>
              <w:spacing w:before="0" w:after="283"/>
              <w:jc w:val="right"/>
              <w:rPr/>
            </w:pPr>
            <w:r>
              <w:rPr/>
              <w:t xml:space="preserve">​ </w:t>
            </w:r>
          </w:p>
        </w:tc>
        <w:tc>
          <w:tcPr>
            <w:tcW w:w="100" w:type="dxa"/>
            <w:tcBorders/>
            <w:shd w:fill="FFFFFF" w:val="clear"/>
            <w:vAlign w:val="bottom"/>
          </w:tcPr>
          <w:p>
            <w:pPr>
              <w:pStyle w:val="TableContents"/>
              <w:spacing w:before="0" w:after="283"/>
              <w:rPr/>
            </w:pPr>
            <w:r>
              <w:rPr/>
              <w:t>​</w:t>
            </w:r>
          </w:p>
        </w:tc>
        <w:tc>
          <w:tcPr>
            <w:tcW w:w="106" w:type="dxa"/>
            <w:tcBorders>
              <w:bottom w:val="single" w:sz="8" w:space="0" w:color="000000"/>
            </w:tcBorders>
            <w:shd w:fill="FFFFFF" w:val="clear"/>
            <w:tcMar>
              <w:bottom w:w="28" w:type="dxa"/>
            </w:tcMar>
            <w:vAlign w:val="bottom"/>
          </w:tcPr>
          <w:p>
            <w:pPr>
              <w:pStyle w:val="TableContents"/>
              <w:spacing w:before="0" w:after="283"/>
              <w:rPr/>
            </w:pPr>
            <w:r>
              <w:rPr/>
              <w:t xml:space="preserve">​ </w:t>
            </w:r>
          </w:p>
        </w:tc>
        <w:tc>
          <w:tcPr>
            <w:tcW w:w="618" w:type="dxa"/>
            <w:tcBorders>
              <w:bottom w:val="single" w:sz="8" w:space="0" w:color="000000"/>
            </w:tcBorders>
            <w:shd w:fill="FFFFFF" w:val="clear"/>
            <w:tcMar>
              <w:bottom w:w="28" w:type="dxa"/>
            </w:tcMar>
            <w:vAlign w:val="bottom"/>
          </w:tcPr>
          <w:p>
            <w:pPr>
              <w:pStyle w:val="TableContents"/>
              <w:spacing w:before="0" w:after="283"/>
              <w:jc w:val="right"/>
              <w:rPr/>
            </w:pPr>
            <w:r>
              <w:rPr/>
              <w:t xml:space="preserve">​ </w:t>
            </w:r>
          </w:p>
        </w:tc>
        <w:tc>
          <w:tcPr>
            <w:tcW w:w="100" w:type="dxa"/>
            <w:tcBorders/>
            <w:shd w:fill="FFFFFF" w:val="clear"/>
            <w:vAlign w:val="bottom"/>
          </w:tcPr>
          <w:p>
            <w:pPr>
              <w:pStyle w:val="TableContents"/>
              <w:spacing w:before="0" w:after="283"/>
              <w:rPr/>
            </w:pPr>
            <w:r>
              <w:rPr/>
              <w:t>​</w:t>
            </w:r>
          </w:p>
        </w:tc>
        <w:tc>
          <w:tcPr>
            <w:tcW w:w="106" w:type="dxa"/>
            <w:tcBorders>
              <w:bottom w:val="single" w:sz="8" w:space="0" w:color="000000"/>
            </w:tcBorders>
            <w:shd w:fill="FFFFFF" w:val="clear"/>
            <w:tcMar>
              <w:bottom w:w="28" w:type="dxa"/>
            </w:tcMar>
            <w:vAlign w:val="bottom"/>
          </w:tcPr>
          <w:p>
            <w:pPr>
              <w:pStyle w:val="TableContents"/>
              <w:spacing w:before="0" w:after="283"/>
              <w:rPr/>
            </w:pPr>
            <w:r>
              <w:rPr/>
              <w:t xml:space="preserve">​ </w:t>
            </w:r>
          </w:p>
        </w:tc>
        <w:tc>
          <w:tcPr>
            <w:tcW w:w="619" w:type="dxa"/>
            <w:tcBorders>
              <w:bottom w:val="single" w:sz="8" w:space="0" w:color="000000"/>
            </w:tcBorders>
            <w:shd w:fill="FFFFFF" w:val="clear"/>
            <w:tcMar>
              <w:bottom w:w="28" w:type="dxa"/>
            </w:tcMar>
            <w:vAlign w:val="bottom"/>
          </w:tcPr>
          <w:p>
            <w:pPr>
              <w:pStyle w:val="TableContents"/>
              <w:spacing w:before="0" w:after="283"/>
              <w:jc w:val="right"/>
              <w:rPr/>
            </w:pPr>
            <w:r>
              <w:rPr/>
              <w:t xml:space="preserve">​ </w:t>
            </w:r>
          </w:p>
        </w:tc>
        <w:tc>
          <w:tcPr>
            <w:tcW w:w="100" w:type="dxa"/>
            <w:tcBorders/>
            <w:shd w:fill="FFFFFF" w:val="clear"/>
            <w:vAlign w:val="bottom"/>
          </w:tcPr>
          <w:p>
            <w:pPr>
              <w:pStyle w:val="TableContents"/>
              <w:spacing w:before="0" w:after="283"/>
              <w:rPr/>
            </w:pPr>
            <w:r>
              <w:rPr/>
              <w:t>​</w:t>
            </w:r>
          </w:p>
        </w:tc>
        <w:tc>
          <w:tcPr>
            <w:tcW w:w="106" w:type="dxa"/>
            <w:tcBorders>
              <w:bottom w:val="single" w:sz="8" w:space="0" w:color="000000"/>
            </w:tcBorders>
            <w:shd w:fill="FFFFFF" w:val="clear"/>
            <w:tcMar>
              <w:bottom w:w="28" w:type="dxa"/>
            </w:tcMar>
            <w:vAlign w:val="bottom"/>
          </w:tcPr>
          <w:p>
            <w:pPr>
              <w:pStyle w:val="TableContents"/>
              <w:spacing w:before="0" w:after="283"/>
              <w:rPr/>
            </w:pPr>
            <w:r>
              <w:rPr/>
              <w:t xml:space="preserve">​ </w:t>
            </w:r>
          </w:p>
        </w:tc>
        <w:tc>
          <w:tcPr>
            <w:tcW w:w="618" w:type="dxa"/>
            <w:tcBorders>
              <w:bottom w:val="single" w:sz="8" w:space="0" w:color="000000"/>
            </w:tcBorders>
            <w:shd w:fill="FFFFFF" w:val="clear"/>
            <w:tcMar>
              <w:bottom w:w="28" w:type="dxa"/>
            </w:tcMar>
            <w:vAlign w:val="bottom"/>
          </w:tcPr>
          <w:p>
            <w:pPr>
              <w:pStyle w:val="TableContents"/>
              <w:spacing w:before="0" w:after="283"/>
              <w:jc w:val="right"/>
              <w:rPr/>
            </w:pPr>
            <w:r>
              <w:rPr/>
              <w:t xml:space="preserve">​ </w:t>
            </w:r>
          </w:p>
        </w:tc>
        <w:tc>
          <w:tcPr>
            <w:tcW w:w="201" w:type="dxa"/>
            <w:tcBorders/>
            <w:shd w:fill="FFFFFF" w:val="clear"/>
            <w:vAlign w:val="bottom"/>
          </w:tcPr>
          <w:p>
            <w:pPr>
              <w:pStyle w:val="TableContents"/>
              <w:spacing w:before="0" w:after="283"/>
              <w:rPr/>
            </w:pPr>
            <w:r>
              <w:rPr/>
              <w:t>​</w:t>
            </w:r>
          </w:p>
        </w:tc>
      </w:tr>
      <w:tr>
        <w:trPr/>
        <w:tc>
          <w:tcPr>
            <w:tcW w:w="1760" w:type="dxa"/>
            <w:tcBorders/>
            <w:shd w:fill="FFFFFF" w:val="clear"/>
            <w:vAlign w:val="bottom"/>
          </w:tcPr>
          <w:p>
            <w:pPr>
              <w:pStyle w:val="TableContents"/>
              <w:spacing w:lineRule="atLeast" w:line="141" w:before="0" w:after="283"/>
              <w:rPr/>
            </w:pPr>
            <w:r>
              <w:rPr/>
              <w:t>​</w:t>
            </w:r>
          </w:p>
        </w:tc>
        <w:tc>
          <w:tcPr>
            <w:tcW w:w="101" w:type="dxa"/>
            <w:tcBorders/>
            <w:shd w:fill="FFFFFF" w:val="clear"/>
            <w:vAlign w:val="bottom"/>
          </w:tcPr>
          <w:p>
            <w:pPr>
              <w:pStyle w:val="TableContents"/>
              <w:spacing w:lineRule="atLeast" w:line="141" w:before="0" w:after="283"/>
              <w:rPr/>
            </w:pPr>
            <w:r>
              <w:rPr/>
              <w:t>​</w:t>
            </w:r>
          </w:p>
        </w:tc>
        <w:tc>
          <w:tcPr>
            <w:tcW w:w="105" w:type="dxa"/>
            <w:tcBorders/>
            <w:shd w:fill="FFFFFF" w:val="clear"/>
            <w:vAlign w:val="bottom"/>
          </w:tcPr>
          <w:p>
            <w:pPr>
              <w:pStyle w:val="TableContents"/>
              <w:spacing w:lineRule="atLeast" w:line="141" w:before="0" w:after="283"/>
              <w:rPr/>
            </w:pPr>
            <w:r>
              <w:rPr/>
              <w:t>​</w:t>
            </w:r>
          </w:p>
        </w:tc>
        <w:tc>
          <w:tcPr>
            <w:tcW w:w="619" w:type="dxa"/>
            <w:tcBorders/>
            <w:shd w:fill="FFFFFF" w:val="clear"/>
            <w:vAlign w:val="bottom"/>
          </w:tcPr>
          <w:p>
            <w:pPr>
              <w:pStyle w:val="TableContents"/>
              <w:spacing w:lineRule="atLeast" w:line="141" w:before="0" w:after="283"/>
              <w:jc w:val="right"/>
              <w:rPr/>
            </w:pPr>
            <w:r>
              <w:rPr/>
              <w:t>​</w:t>
            </w:r>
          </w:p>
        </w:tc>
        <w:tc>
          <w:tcPr>
            <w:tcW w:w="100" w:type="dxa"/>
            <w:tcBorders/>
            <w:shd w:fill="FFFFFF" w:val="clear"/>
            <w:vAlign w:val="bottom"/>
          </w:tcPr>
          <w:p>
            <w:pPr>
              <w:pStyle w:val="TableContents"/>
              <w:spacing w:lineRule="atLeast" w:line="141" w:before="0" w:after="283"/>
              <w:rPr/>
            </w:pPr>
            <w:r>
              <w:rPr/>
              <w:t>​</w:t>
            </w:r>
          </w:p>
        </w:tc>
        <w:tc>
          <w:tcPr>
            <w:tcW w:w="106" w:type="dxa"/>
            <w:tcBorders/>
            <w:shd w:fill="FFFFFF" w:val="clear"/>
            <w:vAlign w:val="bottom"/>
          </w:tcPr>
          <w:p>
            <w:pPr>
              <w:pStyle w:val="TableContents"/>
              <w:spacing w:lineRule="atLeast" w:line="141" w:before="0" w:after="283"/>
              <w:rPr/>
            </w:pPr>
            <w:r>
              <w:rPr/>
              <w:t>​</w:t>
            </w:r>
          </w:p>
        </w:tc>
        <w:tc>
          <w:tcPr>
            <w:tcW w:w="618" w:type="dxa"/>
            <w:tcBorders/>
            <w:shd w:fill="FFFFFF" w:val="clear"/>
            <w:vAlign w:val="bottom"/>
          </w:tcPr>
          <w:p>
            <w:pPr>
              <w:pStyle w:val="TableContents"/>
              <w:spacing w:lineRule="atLeast" w:line="141" w:before="0" w:after="283"/>
              <w:jc w:val="right"/>
              <w:rPr/>
            </w:pPr>
            <w:r>
              <w:rPr/>
              <w:t>​</w:t>
            </w:r>
          </w:p>
        </w:tc>
        <w:tc>
          <w:tcPr>
            <w:tcW w:w="100" w:type="dxa"/>
            <w:tcBorders/>
            <w:shd w:fill="FFFFFF" w:val="clear"/>
            <w:vAlign w:val="bottom"/>
          </w:tcPr>
          <w:p>
            <w:pPr>
              <w:pStyle w:val="TableContents"/>
              <w:spacing w:lineRule="atLeast" w:line="141" w:before="0" w:after="283"/>
              <w:rPr/>
            </w:pPr>
            <w:r>
              <w:rPr/>
              <w:t>​</w:t>
            </w:r>
          </w:p>
        </w:tc>
        <w:tc>
          <w:tcPr>
            <w:tcW w:w="106" w:type="dxa"/>
            <w:tcBorders/>
            <w:shd w:fill="FFFFFF" w:val="clear"/>
            <w:vAlign w:val="bottom"/>
          </w:tcPr>
          <w:p>
            <w:pPr>
              <w:pStyle w:val="TableContents"/>
              <w:spacing w:lineRule="atLeast" w:line="141" w:before="0" w:after="283"/>
              <w:rPr/>
            </w:pPr>
            <w:r>
              <w:rPr/>
              <w:t>​</w:t>
            </w:r>
          </w:p>
        </w:tc>
        <w:tc>
          <w:tcPr>
            <w:tcW w:w="618" w:type="dxa"/>
            <w:tcBorders/>
            <w:shd w:fill="FFFFFF" w:val="clear"/>
            <w:vAlign w:val="bottom"/>
          </w:tcPr>
          <w:p>
            <w:pPr>
              <w:pStyle w:val="TableContents"/>
              <w:spacing w:lineRule="atLeast" w:line="141" w:before="0" w:after="283"/>
              <w:jc w:val="right"/>
              <w:rPr/>
            </w:pPr>
            <w:r>
              <w:rPr/>
              <w:t>​</w:t>
            </w:r>
          </w:p>
        </w:tc>
        <w:tc>
          <w:tcPr>
            <w:tcW w:w="101" w:type="dxa"/>
            <w:tcBorders/>
            <w:shd w:fill="FFFFFF" w:val="clear"/>
            <w:vAlign w:val="bottom"/>
          </w:tcPr>
          <w:p>
            <w:pPr>
              <w:pStyle w:val="TableContents"/>
              <w:spacing w:lineRule="atLeast" w:line="141" w:before="0" w:after="283"/>
              <w:rPr/>
            </w:pPr>
            <w:r>
              <w:rPr/>
              <w:t>​</w:t>
            </w:r>
          </w:p>
        </w:tc>
        <w:tc>
          <w:tcPr>
            <w:tcW w:w="105" w:type="dxa"/>
            <w:tcBorders/>
            <w:shd w:fill="FFFFFF" w:val="clear"/>
            <w:vAlign w:val="bottom"/>
          </w:tcPr>
          <w:p>
            <w:pPr>
              <w:pStyle w:val="TableContents"/>
              <w:spacing w:lineRule="atLeast" w:line="141" w:before="0" w:after="283"/>
              <w:rPr/>
            </w:pPr>
            <w:r>
              <w:rPr/>
              <w:t>​</w:t>
            </w:r>
          </w:p>
        </w:tc>
        <w:tc>
          <w:tcPr>
            <w:tcW w:w="619" w:type="dxa"/>
            <w:tcBorders/>
            <w:shd w:fill="FFFFFF" w:val="clear"/>
            <w:vAlign w:val="bottom"/>
          </w:tcPr>
          <w:p>
            <w:pPr>
              <w:pStyle w:val="TableContents"/>
              <w:spacing w:lineRule="atLeast" w:line="141" w:before="0" w:after="283"/>
              <w:jc w:val="right"/>
              <w:rPr/>
            </w:pPr>
            <w:r>
              <w:rPr/>
              <w:t>​</w:t>
            </w:r>
          </w:p>
        </w:tc>
        <w:tc>
          <w:tcPr>
            <w:tcW w:w="100" w:type="dxa"/>
            <w:tcBorders/>
            <w:shd w:fill="FFFFFF" w:val="clear"/>
            <w:vAlign w:val="bottom"/>
          </w:tcPr>
          <w:p>
            <w:pPr>
              <w:pStyle w:val="TableContents"/>
              <w:spacing w:lineRule="atLeast" w:line="141" w:before="0" w:after="283"/>
              <w:rPr/>
            </w:pPr>
            <w:r>
              <w:rPr/>
              <w:t>​</w:t>
            </w:r>
          </w:p>
        </w:tc>
        <w:tc>
          <w:tcPr>
            <w:tcW w:w="106" w:type="dxa"/>
            <w:tcBorders/>
            <w:shd w:fill="FFFFFF" w:val="clear"/>
            <w:vAlign w:val="bottom"/>
          </w:tcPr>
          <w:p>
            <w:pPr>
              <w:pStyle w:val="TableContents"/>
              <w:spacing w:lineRule="atLeast" w:line="141" w:before="0" w:after="283"/>
              <w:rPr/>
            </w:pPr>
            <w:r>
              <w:rPr/>
              <w:t>​</w:t>
            </w:r>
          </w:p>
        </w:tc>
        <w:tc>
          <w:tcPr>
            <w:tcW w:w="618" w:type="dxa"/>
            <w:tcBorders/>
            <w:shd w:fill="FFFFFF" w:val="clear"/>
            <w:vAlign w:val="bottom"/>
          </w:tcPr>
          <w:p>
            <w:pPr>
              <w:pStyle w:val="TableContents"/>
              <w:spacing w:lineRule="atLeast" w:line="141" w:before="0" w:after="283"/>
              <w:jc w:val="right"/>
              <w:rPr/>
            </w:pPr>
            <w:r>
              <w:rPr/>
              <w:t>​</w:t>
            </w:r>
          </w:p>
        </w:tc>
        <w:tc>
          <w:tcPr>
            <w:tcW w:w="100" w:type="dxa"/>
            <w:tcBorders/>
            <w:shd w:fill="FFFFFF" w:val="clear"/>
            <w:vAlign w:val="bottom"/>
          </w:tcPr>
          <w:p>
            <w:pPr>
              <w:pStyle w:val="TableContents"/>
              <w:spacing w:lineRule="atLeast" w:line="141" w:before="0" w:after="283"/>
              <w:rPr/>
            </w:pPr>
            <w:r>
              <w:rPr/>
              <w:t>​</w:t>
            </w:r>
          </w:p>
        </w:tc>
        <w:tc>
          <w:tcPr>
            <w:tcW w:w="106" w:type="dxa"/>
            <w:tcBorders/>
            <w:shd w:fill="FFFFFF" w:val="clear"/>
            <w:vAlign w:val="bottom"/>
          </w:tcPr>
          <w:p>
            <w:pPr>
              <w:pStyle w:val="TableContents"/>
              <w:spacing w:lineRule="atLeast" w:line="141" w:before="0" w:after="283"/>
              <w:rPr/>
            </w:pPr>
            <w:r>
              <w:rPr/>
              <w:t>​</w:t>
            </w:r>
          </w:p>
        </w:tc>
        <w:tc>
          <w:tcPr>
            <w:tcW w:w="619" w:type="dxa"/>
            <w:tcBorders/>
            <w:shd w:fill="FFFFFF" w:val="clear"/>
            <w:vAlign w:val="bottom"/>
          </w:tcPr>
          <w:p>
            <w:pPr>
              <w:pStyle w:val="TableContents"/>
              <w:spacing w:lineRule="atLeast" w:line="141" w:before="0" w:after="283"/>
              <w:jc w:val="right"/>
              <w:rPr/>
            </w:pPr>
            <w:r>
              <w:rPr/>
              <w:t>​</w:t>
            </w:r>
          </w:p>
        </w:tc>
        <w:tc>
          <w:tcPr>
            <w:tcW w:w="100" w:type="dxa"/>
            <w:tcBorders/>
            <w:shd w:fill="FFFFFF" w:val="clear"/>
            <w:vAlign w:val="bottom"/>
          </w:tcPr>
          <w:p>
            <w:pPr>
              <w:pStyle w:val="TableContents"/>
              <w:spacing w:lineRule="atLeast" w:line="141" w:before="0" w:after="283"/>
              <w:rPr/>
            </w:pPr>
            <w:r>
              <w:rPr/>
              <w:t>​</w:t>
            </w:r>
          </w:p>
        </w:tc>
        <w:tc>
          <w:tcPr>
            <w:tcW w:w="105" w:type="dxa"/>
            <w:tcBorders/>
            <w:shd w:fill="FFFFFF" w:val="clear"/>
            <w:vAlign w:val="bottom"/>
          </w:tcPr>
          <w:p>
            <w:pPr>
              <w:pStyle w:val="TableContents"/>
              <w:spacing w:lineRule="atLeast" w:line="141" w:before="0" w:after="283"/>
              <w:rPr/>
            </w:pPr>
            <w:r>
              <w:rPr/>
              <w:t>​</w:t>
            </w:r>
          </w:p>
        </w:tc>
        <w:tc>
          <w:tcPr>
            <w:tcW w:w="619" w:type="dxa"/>
            <w:tcBorders/>
            <w:shd w:fill="FFFFFF" w:val="clear"/>
            <w:vAlign w:val="bottom"/>
          </w:tcPr>
          <w:p>
            <w:pPr>
              <w:pStyle w:val="TableContents"/>
              <w:spacing w:lineRule="atLeast" w:line="141" w:before="0" w:after="283"/>
              <w:jc w:val="right"/>
              <w:rPr/>
            </w:pPr>
            <w:r>
              <w:rPr/>
              <w:t>​</w:t>
            </w:r>
          </w:p>
        </w:tc>
        <w:tc>
          <w:tcPr>
            <w:tcW w:w="100" w:type="dxa"/>
            <w:tcBorders/>
            <w:shd w:fill="FFFFFF" w:val="clear"/>
            <w:vAlign w:val="bottom"/>
          </w:tcPr>
          <w:p>
            <w:pPr>
              <w:pStyle w:val="TableContents"/>
              <w:spacing w:lineRule="atLeast" w:line="141" w:before="0" w:after="283"/>
              <w:rPr/>
            </w:pPr>
            <w:r>
              <w:rPr/>
              <w:t>​</w:t>
            </w:r>
          </w:p>
        </w:tc>
        <w:tc>
          <w:tcPr>
            <w:tcW w:w="106" w:type="dxa"/>
            <w:tcBorders/>
            <w:shd w:fill="FFFFFF" w:val="clear"/>
            <w:vAlign w:val="bottom"/>
          </w:tcPr>
          <w:p>
            <w:pPr>
              <w:pStyle w:val="TableContents"/>
              <w:spacing w:lineRule="atLeast" w:line="141" w:before="0" w:after="283"/>
              <w:rPr/>
            </w:pPr>
            <w:r>
              <w:rPr/>
              <w:t>​</w:t>
            </w:r>
          </w:p>
        </w:tc>
        <w:tc>
          <w:tcPr>
            <w:tcW w:w="618" w:type="dxa"/>
            <w:tcBorders/>
            <w:shd w:fill="FFFFFF" w:val="clear"/>
            <w:vAlign w:val="bottom"/>
          </w:tcPr>
          <w:p>
            <w:pPr>
              <w:pStyle w:val="TableContents"/>
              <w:spacing w:lineRule="atLeast" w:line="141" w:before="0" w:after="283"/>
              <w:jc w:val="right"/>
              <w:rPr/>
            </w:pPr>
            <w:r>
              <w:rPr/>
              <w:t>​</w:t>
            </w:r>
          </w:p>
        </w:tc>
        <w:tc>
          <w:tcPr>
            <w:tcW w:w="100" w:type="dxa"/>
            <w:tcBorders/>
            <w:shd w:fill="FFFFFF" w:val="clear"/>
            <w:vAlign w:val="bottom"/>
          </w:tcPr>
          <w:p>
            <w:pPr>
              <w:pStyle w:val="TableContents"/>
              <w:spacing w:lineRule="atLeast" w:line="141" w:before="0" w:after="283"/>
              <w:rPr/>
            </w:pPr>
            <w:r>
              <w:rPr/>
              <w:t>​</w:t>
            </w:r>
          </w:p>
        </w:tc>
        <w:tc>
          <w:tcPr>
            <w:tcW w:w="106" w:type="dxa"/>
            <w:tcBorders/>
            <w:shd w:fill="FFFFFF" w:val="clear"/>
            <w:vAlign w:val="bottom"/>
          </w:tcPr>
          <w:p>
            <w:pPr>
              <w:pStyle w:val="TableContents"/>
              <w:spacing w:lineRule="atLeast" w:line="141" w:before="0" w:after="283"/>
              <w:rPr/>
            </w:pPr>
            <w:r>
              <w:rPr/>
              <w:t>​</w:t>
            </w:r>
          </w:p>
        </w:tc>
        <w:tc>
          <w:tcPr>
            <w:tcW w:w="619" w:type="dxa"/>
            <w:tcBorders/>
            <w:shd w:fill="FFFFFF" w:val="clear"/>
            <w:vAlign w:val="bottom"/>
          </w:tcPr>
          <w:p>
            <w:pPr>
              <w:pStyle w:val="TableContents"/>
              <w:spacing w:lineRule="atLeast" w:line="141" w:before="0" w:after="283"/>
              <w:jc w:val="right"/>
              <w:rPr/>
            </w:pPr>
            <w:r>
              <w:rPr/>
              <w:t>​</w:t>
            </w:r>
          </w:p>
        </w:tc>
        <w:tc>
          <w:tcPr>
            <w:tcW w:w="100" w:type="dxa"/>
            <w:tcBorders/>
            <w:shd w:fill="FFFFFF" w:val="clear"/>
            <w:vAlign w:val="bottom"/>
          </w:tcPr>
          <w:p>
            <w:pPr>
              <w:pStyle w:val="TableContents"/>
              <w:spacing w:lineRule="atLeast" w:line="141" w:before="0" w:after="283"/>
              <w:rPr/>
            </w:pPr>
            <w:r>
              <w:rPr/>
              <w:t>​</w:t>
            </w:r>
          </w:p>
        </w:tc>
        <w:tc>
          <w:tcPr>
            <w:tcW w:w="106" w:type="dxa"/>
            <w:tcBorders/>
            <w:shd w:fill="FFFFFF" w:val="clear"/>
            <w:vAlign w:val="bottom"/>
          </w:tcPr>
          <w:p>
            <w:pPr>
              <w:pStyle w:val="TableContents"/>
              <w:spacing w:lineRule="atLeast" w:line="141" w:before="0" w:after="283"/>
              <w:rPr/>
            </w:pPr>
            <w:r>
              <w:rPr/>
              <w:t>​</w:t>
            </w:r>
          </w:p>
        </w:tc>
        <w:tc>
          <w:tcPr>
            <w:tcW w:w="618" w:type="dxa"/>
            <w:tcBorders/>
            <w:shd w:fill="FFFFFF" w:val="clear"/>
            <w:vAlign w:val="bottom"/>
          </w:tcPr>
          <w:p>
            <w:pPr>
              <w:pStyle w:val="TableContents"/>
              <w:spacing w:lineRule="atLeast" w:line="141" w:before="0" w:after="283"/>
              <w:jc w:val="right"/>
              <w:rPr/>
            </w:pPr>
            <w:r>
              <w:rPr/>
              <w:t>​</w:t>
            </w:r>
          </w:p>
        </w:tc>
        <w:tc>
          <w:tcPr>
            <w:tcW w:w="201" w:type="dxa"/>
            <w:tcBorders/>
            <w:shd w:fill="FFFFFF" w:val="clear"/>
            <w:vAlign w:val="bottom"/>
          </w:tcPr>
          <w:p>
            <w:pPr>
              <w:pStyle w:val="TableContents"/>
              <w:spacing w:lineRule="atLeast" w:line="141" w:before="0" w:after="283"/>
              <w:rPr/>
            </w:pPr>
            <w:r>
              <w:rPr/>
              <w:t>​</w:t>
            </w:r>
          </w:p>
        </w:tc>
      </w:tr>
      <w:tr>
        <w:trPr/>
        <w:tc>
          <w:tcPr>
            <w:tcW w:w="1760" w:type="dxa"/>
            <w:tcBorders/>
            <w:shd w:fill="FFFFFF" w:val="clear"/>
            <w:vAlign w:val="bottom"/>
          </w:tcPr>
          <w:p>
            <w:pPr>
              <w:pStyle w:val="TableContents"/>
              <w:spacing w:before="0" w:after="283"/>
              <w:rPr/>
            </w:pPr>
            <w:r>
              <w:rPr/>
              <w:t>​</w:t>
            </w:r>
          </w:p>
        </w:tc>
        <w:tc>
          <w:tcPr>
            <w:tcW w:w="101" w:type="dxa"/>
            <w:tcBorders/>
            <w:shd w:fill="FFFFFF" w:val="clear"/>
            <w:vAlign w:val="bottom"/>
          </w:tcPr>
          <w:p>
            <w:pPr>
              <w:pStyle w:val="TableContents"/>
              <w:spacing w:before="0" w:after="283"/>
              <w:rPr/>
            </w:pPr>
            <w:r>
              <w:rPr/>
              <w:t>​</w:t>
            </w:r>
          </w:p>
        </w:tc>
        <w:tc>
          <w:tcPr>
            <w:tcW w:w="105" w:type="dxa"/>
            <w:tcBorders>
              <w:bottom w:val="single" w:sz="8" w:space="0" w:color="000000"/>
            </w:tcBorders>
            <w:shd w:fill="FFFFFF" w:val="clear"/>
            <w:tcMar>
              <w:bottom w:w="28" w:type="dxa"/>
            </w:tcMar>
            <w:vAlign w:val="bottom"/>
          </w:tcPr>
          <w:p>
            <w:pPr>
              <w:pStyle w:val="TableContents"/>
              <w:spacing w:before="0" w:after="283"/>
              <w:rPr/>
            </w:pPr>
            <w:r>
              <w:rPr/>
              <w:t xml:space="preserve">​ </w:t>
            </w:r>
          </w:p>
        </w:tc>
        <w:tc>
          <w:tcPr>
            <w:tcW w:w="619" w:type="dxa"/>
            <w:tcBorders>
              <w:bottom w:val="single" w:sz="8" w:space="0" w:color="000000"/>
            </w:tcBorders>
            <w:shd w:fill="FFFFFF" w:val="clear"/>
            <w:tcMar>
              <w:bottom w:w="28" w:type="dxa"/>
            </w:tcMar>
            <w:vAlign w:val="bottom"/>
          </w:tcPr>
          <w:p>
            <w:pPr>
              <w:pStyle w:val="TableContents"/>
              <w:spacing w:before="0" w:after="283"/>
              <w:jc w:val="right"/>
              <w:rPr/>
            </w:pPr>
            <w:r>
              <w:rPr/>
              <w:t xml:space="preserve">​ </w:t>
            </w:r>
          </w:p>
        </w:tc>
        <w:tc>
          <w:tcPr>
            <w:tcW w:w="100" w:type="dxa"/>
            <w:tcBorders/>
            <w:shd w:fill="FFFFFF" w:val="clear"/>
            <w:vAlign w:val="bottom"/>
          </w:tcPr>
          <w:p>
            <w:pPr>
              <w:pStyle w:val="TableContents"/>
              <w:spacing w:before="0" w:after="283"/>
              <w:rPr/>
            </w:pPr>
            <w:r>
              <w:rPr/>
              <w:t>​</w:t>
            </w:r>
          </w:p>
        </w:tc>
        <w:tc>
          <w:tcPr>
            <w:tcW w:w="106" w:type="dxa"/>
            <w:tcBorders>
              <w:bottom w:val="single" w:sz="8" w:space="0" w:color="000000"/>
            </w:tcBorders>
            <w:shd w:fill="FFFFFF" w:val="clear"/>
            <w:tcMar>
              <w:bottom w:w="28" w:type="dxa"/>
            </w:tcMar>
            <w:vAlign w:val="bottom"/>
          </w:tcPr>
          <w:p>
            <w:pPr>
              <w:pStyle w:val="TableContents"/>
              <w:spacing w:before="0" w:after="283"/>
              <w:rPr/>
            </w:pPr>
            <w:r>
              <w:rPr/>
              <w:t xml:space="preserve">​ </w:t>
            </w:r>
          </w:p>
        </w:tc>
        <w:tc>
          <w:tcPr>
            <w:tcW w:w="618" w:type="dxa"/>
            <w:tcBorders>
              <w:bottom w:val="single" w:sz="8" w:space="0" w:color="000000"/>
            </w:tcBorders>
            <w:shd w:fill="FFFFFF" w:val="clear"/>
            <w:tcMar>
              <w:bottom w:w="28" w:type="dxa"/>
            </w:tcMar>
            <w:vAlign w:val="bottom"/>
          </w:tcPr>
          <w:p>
            <w:pPr>
              <w:pStyle w:val="TableContents"/>
              <w:spacing w:before="0" w:after="283"/>
              <w:jc w:val="right"/>
              <w:rPr/>
            </w:pPr>
            <w:r>
              <w:rPr/>
              <w:t xml:space="preserve">​ </w:t>
            </w:r>
          </w:p>
        </w:tc>
        <w:tc>
          <w:tcPr>
            <w:tcW w:w="100" w:type="dxa"/>
            <w:tcBorders/>
            <w:shd w:fill="FFFFFF" w:val="clear"/>
            <w:vAlign w:val="bottom"/>
          </w:tcPr>
          <w:p>
            <w:pPr>
              <w:pStyle w:val="TableContents"/>
              <w:spacing w:before="0" w:after="283"/>
              <w:rPr/>
            </w:pPr>
            <w:r>
              <w:rPr/>
              <w:t>​</w:t>
            </w:r>
          </w:p>
        </w:tc>
        <w:tc>
          <w:tcPr>
            <w:tcW w:w="106" w:type="dxa"/>
            <w:tcBorders>
              <w:bottom w:val="single" w:sz="8" w:space="0" w:color="000000"/>
            </w:tcBorders>
            <w:shd w:fill="FFFFFF" w:val="clear"/>
            <w:tcMar>
              <w:bottom w:w="28" w:type="dxa"/>
            </w:tcMar>
            <w:vAlign w:val="bottom"/>
          </w:tcPr>
          <w:p>
            <w:pPr>
              <w:pStyle w:val="TableContents"/>
              <w:spacing w:before="0" w:after="283"/>
              <w:rPr/>
            </w:pPr>
            <w:r>
              <w:rPr/>
              <w:t xml:space="preserve">​ </w:t>
            </w:r>
          </w:p>
        </w:tc>
        <w:tc>
          <w:tcPr>
            <w:tcW w:w="618" w:type="dxa"/>
            <w:tcBorders>
              <w:bottom w:val="single" w:sz="8" w:space="0" w:color="000000"/>
            </w:tcBorders>
            <w:shd w:fill="FFFFFF" w:val="clear"/>
            <w:tcMar>
              <w:bottom w:w="28" w:type="dxa"/>
            </w:tcMar>
            <w:vAlign w:val="bottom"/>
          </w:tcPr>
          <w:p>
            <w:pPr>
              <w:pStyle w:val="TableContents"/>
              <w:spacing w:before="0" w:after="283"/>
              <w:jc w:val="right"/>
              <w:rPr/>
            </w:pPr>
            <w:r>
              <w:rPr/>
              <w:t xml:space="preserve">​ </w:t>
            </w:r>
          </w:p>
        </w:tc>
        <w:tc>
          <w:tcPr>
            <w:tcW w:w="101" w:type="dxa"/>
            <w:tcBorders/>
            <w:shd w:fill="FFFFFF" w:val="clear"/>
            <w:vAlign w:val="bottom"/>
          </w:tcPr>
          <w:p>
            <w:pPr>
              <w:pStyle w:val="TableContents"/>
              <w:spacing w:before="0" w:after="283"/>
              <w:rPr/>
            </w:pPr>
            <w:r>
              <w:rPr/>
              <w:t>​</w:t>
            </w:r>
          </w:p>
        </w:tc>
        <w:tc>
          <w:tcPr>
            <w:tcW w:w="105" w:type="dxa"/>
            <w:tcBorders>
              <w:bottom w:val="single" w:sz="8" w:space="0" w:color="000000"/>
            </w:tcBorders>
            <w:shd w:fill="FFFFFF" w:val="clear"/>
            <w:tcMar>
              <w:bottom w:w="28" w:type="dxa"/>
            </w:tcMar>
            <w:vAlign w:val="bottom"/>
          </w:tcPr>
          <w:p>
            <w:pPr>
              <w:pStyle w:val="TableContents"/>
              <w:spacing w:before="0" w:after="283"/>
              <w:rPr/>
            </w:pPr>
            <w:r>
              <w:rPr/>
              <w:t xml:space="preserve">​ </w:t>
            </w:r>
          </w:p>
        </w:tc>
        <w:tc>
          <w:tcPr>
            <w:tcW w:w="619" w:type="dxa"/>
            <w:tcBorders>
              <w:bottom w:val="single" w:sz="8" w:space="0" w:color="000000"/>
            </w:tcBorders>
            <w:shd w:fill="FFFFFF" w:val="clear"/>
            <w:tcMar>
              <w:bottom w:w="28" w:type="dxa"/>
            </w:tcMar>
            <w:vAlign w:val="bottom"/>
          </w:tcPr>
          <w:p>
            <w:pPr>
              <w:pStyle w:val="TableContents"/>
              <w:spacing w:before="0" w:after="283"/>
              <w:jc w:val="right"/>
              <w:rPr/>
            </w:pPr>
            <w:r>
              <w:rPr/>
              <w:t xml:space="preserve">​ </w:t>
            </w:r>
          </w:p>
        </w:tc>
        <w:tc>
          <w:tcPr>
            <w:tcW w:w="100" w:type="dxa"/>
            <w:tcBorders/>
            <w:shd w:fill="FFFFFF" w:val="clear"/>
            <w:vAlign w:val="bottom"/>
          </w:tcPr>
          <w:p>
            <w:pPr>
              <w:pStyle w:val="TableContents"/>
              <w:spacing w:before="0" w:after="283"/>
              <w:rPr/>
            </w:pPr>
            <w:r>
              <w:rPr/>
              <w:t>​</w:t>
            </w:r>
          </w:p>
        </w:tc>
        <w:tc>
          <w:tcPr>
            <w:tcW w:w="106" w:type="dxa"/>
            <w:tcBorders>
              <w:bottom w:val="single" w:sz="8" w:space="0" w:color="000000"/>
            </w:tcBorders>
            <w:shd w:fill="FFFFFF" w:val="clear"/>
            <w:tcMar>
              <w:bottom w:w="28" w:type="dxa"/>
            </w:tcMar>
            <w:vAlign w:val="bottom"/>
          </w:tcPr>
          <w:p>
            <w:pPr>
              <w:pStyle w:val="TableContents"/>
              <w:spacing w:before="0" w:after="283"/>
              <w:rPr/>
            </w:pPr>
            <w:r>
              <w:rPr/>
              <w:t xml:space="preserve">​ </w:t>
            </w:r>
          </w:p>
        </w:tc>
        <w:tc>
          <w:tcPr>
            <w:tcW w:w="618" w:type="dxa"/>
            <w:tcBorders>
              <w:bottom w:val="single" w:sz="8" w:space="0" w:color="000000"/>
            </w:tcBorders>
            <w:shd w:fill="FFFFFF" w:val="clear"/>
            <w:tcMar>
              <w:bottom w:w="28" w:type="dxa"/>
            </w:tcMar>
            <w:vAlign w:val="bottom"/>
          </w:tcPr>
          <w:p>
            <w:pPr>
              <w:pStyle w:val="TableContents"/>
              <w:spacing w:before="0" w:after="283"/>
              <w:jc w:val="right"/>
              <w:rPr/>
            </w:pPr>
            <w:r>
              <w:rPr/>
              <w:t xml:space="preserve">​ </w:t>
            </w:r>
          </w:p>
        </w:tc>
        <w:tc>
          <w:tcPr>
            <w:tcW w:w="100" w:type="dxa"/>
            <w:tcBorders/>
            <w:shd w:fill="FFFFFF" w:val="clear"/>
            <w:vAlign w:val="bottom"/>
          </w:tcPr>
          <w:p>
            <w:pPr>
              <w:pStyle w:val="TableContents"/>
              <w:spacing w:before="0" w:after="283"/>
              <w:rPr/>
            </w:pPr>
            <w:r>
              <w:rPr/>
              <w:t>​</w:t>
            </w:r>
          </w:p>
        </w:tc>
        <w:tc>
          <w:tcPr>
            <w:tcW w:w="106" w:type="dxa"/>
            <w:tcBorders>
              <w:bottom w:val="single" w:sz="8" w:space="0" w:color="000000"/>
            </w:tcBorders>
            <w:shd w:fill="FFFFFF" w:val="clear"/>
            <w:tcMar>
              <w:bottom w:w="28" w:type="dxa"/>
            </w:tcMar>
            <w:vAlign w:val="bottom"/>
          </w:tcPr>
          <w:p>
            <w:pPr>
              <w:pStyle w:val="TableContents"/>
              <w:spacing w:before="0" w:after="283"/>
              <w:rPr/>
            </w:pPr>
            <w:r>
              <w:rPr/>
              <w:t xml:space="preserve">​ </w:t>
            </w:r>
          </w:p>
        </w:tc>
        <w:tc>
          <w:tcPr>
            <w:tcW w:w="619" w:type="dxa"/>
            <w:tcBorders>
              <w:bottom w:val="single" w:sz="8" w:space="0" w:color="000000"/>
            </w:tcBorders>
            <w:shd w:fill="FFFFFF" w:val="clear"/>
            <w:tcMar>
              <w:bottom w:w="28" w:type="dxa"/>
            </w:tcMar>
            <w:vAlign w:val="bottom"/>
          </w:tcPr>
          <w:p>
            <w:pPr>
              <w:pStyle w:val="TableContents"/>
              <w:spacing w:before="0" w:after="283"/>
              <w:jc w:val="right"/>
              <w:rPr/>
            </w:pPr>
            <w:r>
              <w:rPr/>
              <w:t xml:space="preserve">​ </w:t>
            </w:r>
          </w:p>
        </w:tc>
        <w:tc>
          <w:tcPr>
            <w:tcW w:w="100" w:type="dxa"/>
            <w:tcBorders/>
            <w:shd w:fill="FFFFFF" w:val="clear"/>
            <w:vAlign w:val="bottom"/>
          </w:tcPr>
          <w:p>
            <w:pPr>
              <w:pStyle w:val="TableContents"/>
              <w:spacing w:before="0" w:after="283"/>
              <w:rPr/>
            </w:pPr>
            <w:r>
              <w:rPr/>
              <w:t>​</w:t>
            </w:r>
          </w:p>
        </w:tc>
        <w:tc>
          <w:tcPr>
            <w:tcW w:w="105" w:type="dxa"/>
            <w:tcBorders>
              <w:bottom w:val="single" w:sz="8" w:space="0" w:color="000000"/>
            </w:tcBorders>
            <w:shd w:fill="FFFFFF" w:val="clear"/>
            <w:tcMar>
              <w:bottom w:w="28" w:type="dxa"/>
            </w:tcMar>
            <w:vAlign w:val="bottom"/>
          </w:tcPr>
          <w:p>
            <w:pPr>
              <w:pStyle w:val="TableContents"/>
              <w:spacing w:before="0" w:after="283"/>
              <w:rPr/>
            </w:pPr>
            <w:r>
              <w:rPr/>
              <w:t xml:space="preserve">​ </w:t>
            </w:r>
          </w:p>
        </w:tc>
        <w:tc>
          <w:tcPr>
            <w:tcW w:w="619" w:type="dxa"/>
            <w:tcBorders>
              <w:bottom w:val="single" w:sz="8" w:space="0" w:color="000000"/>
            </w:tcBorders>
            <w:shd w:fill="FFFFFF" w:val="clear"/>
            <w:tcMar>
              <w:bottom w:w="28" w:type="dxa"/>
            </w:tcMar>
            <w:vAlign w:val="bottom"/>
          </w:tcPr>
          <w:p>
            <w:pPr>
              <w:pStyle w:val="TableContents"/>
              <w:spacing w:before="0" w:after="283"/>
              <w:jc w:val="right"/>
              <w:rPr/>
            </w:pPr>
            <w:r>
              <w:rPr/>
              <w:t xml:space="preserve">​ </w:t>
            </w:r>
          </w:p>
        </w:tc>
        <w:tc>
          <w:tcPr>
            <w:tcW w:w="100" w:type="dxa"/>
            <w:tcBorders/>
            <w:shd w:fill="FFFFFF" w:val="clear"/>
            <w:vAlign w:val="bottom"/>
          </w:tcPr>
          <w:p>
            <w:pPr>
              <w:pStyle w:val="TableContents"/>
              <w:spacing w:before="0" w:after="283"/>
              <w:rPr/>
            </w:pPr>
            <w:r>
              <w:rPr/>
              <w:t>​</w:t>
            </w:r>
          </w:p>
        </w:tc>
        <w:tc>
          <w:tcPr>
            <w:tcW w:w="106" w:type="dxa"/>
            <w:tcBorders>
              <w:bottom w:val="single" w:sz="8" w:space="0" w:color="000000"/>
            </w:tcBorders>
            <w:shd w:fill="FFFFFF" w:val="clear"/>
            <w:tcMar>
              <w:bottom w:w="28" w:type="dxa"/>
            </w:tcMar>
            <w:vAlign w:val="bottom"/>
          </w:tcPr>
          <w:p>
            <w:pPr>
              <w:pStyle w:val="TableContents"/>
              <w:spacing w:before="0" w:after="283"/>
              <w:rPr/>
            </w:pPr>
            <w:r>
              <w:rPr/>
              <w:t xml:space="preserve">​ </w:t>
            </w:r>
          </w:p>
        </w:tc>
        <w:tc>
          <w:tcPr>
            <w:tcW w:w="618" w:type="dxa"/>
            <w:tcBorders>
              <w:bottom w:val="single" w:sz="8" w:space="0" w:color="000000"/>
            </w:tcBorders>
            <w:shd w:fill="FFFFFF" w:val="clear"/>
            <w:tcMar>
              <w:bottom w:w="28" w:type="dxa"/>
            </w:tcMar>
            <w:vAlign w:val="bottom"/>
          </w:tcPr>
          <w:p>
            <w:pPr>
              <w:pStyle w:val="TableContents"/>
              <w:spacing w:before="0" w:after="283"/>
              <w:jc w:val="right"/>
              <w:rPr/>
            </w:pPr>
            <w:r>
              <w:rPr/>
              <w:t xml:space="preserve">​ </w:t>
            </w:r>
          </w:p>
        </w:tc>
        <w:tc>
          <w:tcPr>
            <w:tcW w:w="100" w:type="dxa"/>
            <w:tcBorders/>
            <w:shd w:fill="FFFFFF" w:val="clear"/>
            <w:vAlign w:val="bottom"/>
          </w:tcPr>
          <w:p>
            <w:pPr>
              <w:pStyle w:val="TableContents"/>
              <w:spacing w:before="0" w:after="283"/>
              <w:rPr/>
            </w:pPr>
            <w:r>
              <w:rPr/>
              <w:t>​</w:t>
            </w:r>
          </w:p>
        </w:tc>
        <w:tc>
          <w:tcPr>
            <w:tcW w:w="106" w:type="dxa"/>
            <w:tcBorders>
              <w:bottom w:val="single" w:sz="8" w:space="0" w:color="000000"/>
            </w:tcBorders>
            <w:shd w:fill="FFFFFF" w:val="clear"/>
            <w:tcMar>
              <w:bottom w:w="28" w:type="dxa"/>
            </w:tcMar>
            <w:vAlign w:val="bottom"/>
          </w:tcPr>
          <w:p>
            <w:pPr>
              <w:pStyle w:val="TableContents"/>
              <w:spacing w:before="0" w:after="283"/>
              <w:rPr/>
            </w:pPr>
            <w:r>
              <w:rPr/>
              <w:t xml:space="preserve">​ </w:t>
            </w:r>
          </w:p>
        </w:tc>
        <w:tc>
          <w:tcPr>
            <w:tcW w:w="619" w:type="dxa"/>
            <w:tcBorders>
              <w:bottom w:val="single" w:sz="8" w:space="0" w:color="000000"/>
            </w:tcBorders>
            <w:shd w:fill="FFFFFF" w:val="clear"/>
            <w:tcMar>
              <w:bottom w:w="28" w:type="dxa"/>
            </w:tcMar>
            <w:vAlign w:val="bottom"/>
          </w:tcPr>
          <w:p>
            <w:pPr>
              <w:pStyle w:val="TableContents"/>
              <w:spacing w:before="0" w:after="283"/>
              <w:jc w:val="right"/>
              <w:rPr/>
            </w:pPr>
            <w:r>
              <w:rPr/>
              <w:t xml:space="preserve">​ </w:t>
            </w:r>
          </w:p>
        </w:tc>
        <w:tc>
          <w:tcPr>
            <w:tcW w:w="100" w:type="dxa"/>
            <w:tcBorders/>
            <w:shd w:fill="FFFFFF" w:val="clear"/>
            <w:vAlign w:val="bottom"/>
          </w:tcPr>
          <w:p>
            <w:pPr>
              <w:pStyle w:val="TableContents"/>
              <w:spacing w:before="0" w:after="283"/>
              <w:rPr/>
            </w:pPr>
            <w:r>
              <w:rPr/>
              <w:t>​</w:t>
            </w:r>
          </w:p>
        </w:tc>
        <w:tc>
          <w:tcPr>
            <w:tcW w:w="106" w:type="dxa"/>
            <w:tcBorders>
              <w:bottom w:val="single" w:sz="8" w:space="0" w:color="000000"/>
            </w:tcBorders>
            <w:shd w:fill="FFFFFF" w:val="clear"/>
            <w:tcMar>
              <w:bottom w:w="28" w:type="dxa"/>
            </w:tcMar>
            <w:vAlign w:val="bottom"/>
          </w:tcPr>
          <w:p>
            <w:pPr>
              <w:pStyle w:val="TableContents"/>
              <w:spacing w:before="0" w:after="283"/>
              <w:rPr/>
            </w:pPr>
            <w:r>
              <w:rPr/>
              <w:t xml:space="preserve">​ </w:t>
            </w:r>
          </w:p>
        </w:tc>
        <w:tc>
          <w:tcPr>
            <w:tcW w:w="618" w:type="dxa"/>
            <w:tcBorders>
              <w:bottom w:val="single" w:sz="8" w:space="0" w:color="000000"/>
            </w:tcBorders>
            <w:shd w:fill="FFFFFF" w:val="clear"/>
            <w:tcMar>
              <w:bottom w:w="28" w:type="dxa"/>
            </w:tcMar>
            <w:vAlign w:val="bottom"/>
          </w:tcPr>
          <w:p>
            <w:pPr>
              <w:pStyle w:val="TableContents"/>
              <w:spacing w:before="0" w:after="283"/>
              <w:jc w:val="right"/>
              <w:rPr/>
            </w:pPr>
            <w:r>
              <w:rPr/>
              <w:t xml:space="preserve">​ </w:t>
            </w:r>
          </w:p>
        </w:tc>
        <w:tc>
          <w:tcPr>
            <w:tcW w:w="201" w:type="dxa"/>
            <w:tcBorders/>
            <w:shd w:fill="FFFFFF" w:val="clear"/>
            <w:vAlign w:val="bottom"/>
          </w:tcPr>
          <w:p>
            <w:pPr>
              <w:pStyle w:val="TableContents"/>
              <w:spacing w:before="0" w:after="283"/>
              <w:rPr/>
            </w:pPr>
            <w:r>
              <w:rPr/>
              <w:t xml:space="preserve">​ </w:t>
            </w:r>
          </w:p>
        </w:tc>
      </w:tr>
      <w:tr>
        <w:trPr/>
        <w:tc>
          <w:tcPr>
            <w:tcW w:w="1760" w:type="dxa"/>
            <w:tcBorders/>
            <w:shd w:fill="auto" w:val="clear"/>
            <w:vAlign w:val="bottom"/>
          </w:tcPr>
          <w:p>
            <w:pPr>
              <w:pStyle w:val="TableContents"/>
              <w:spacing w:before="0" w:after="283"/>
              <w:ind w:left="140" w:right="0" w:hanging="140"/>
              <w:rPr>
                <w:rFonts w:ascii="times" w:hAnsi="times"/>
                <w:sz w:val="14"/>
              </w:rPr>
            </w:pPr>
            <w:r>
              <w:rPr>
                <w:rFonts w:ascii="times" w:hAnsi="times"/>
                <w:sz w:val="14"/>
              </w:rPr>
              <w:t>Impairment loss on vessels</w:t>
            </w:r>
          </w:p>
        </w:tc>
        <w:tc>
          <w:tcPr>
            <w:tcW w:w="101" w:type="dxa"/>
            <w:tcBorders/>
            <w:shd w:fill="auto" w:val="clear"/>
            <w:vAlign w:val="bottom"/>
          </w:tcPr>
          <w:p>
            <w:pPr>
              <w:pStyle w:val="TableContents"/>
              <w:spacing w:before="0" w:after="283"/>
              <w:rPr/>
            </w:pPr>
            <w:r>
              <w:rPr/>
              <w:t> </w:t>
            </w:r>
          </w:p>
        </w:tc>
        <w:tc>
          <w:tcPr>
            <w:tcW w:w="105" w:type="dxa"/>
            <w:tcBorders/>
            <w:shd w:fill="auto" w:val="clear"/>
            <w:vAlign w:val="bottom"/>
          </w:tcPr>
          <w:p>
            <w:pPr>
              <w:pStyle w:val="TableContents"/>
              <w:spacing w:before="0" w:after="283"/>
              <w:rPr/>
            </w:pPr>
            <w:r>
              <w:rPr/>
              <w:t> </w:t>
            </w:r>
          </w:p>
        </w:tc>
        <w:tc>
          <w:tcPr>
            <w:tcW w:w="619" w:type="dxa"/>
            <w:tcBorders/>
            <w:shd w:fill="auto" w:val="clear"/>
            <w:vAlign w:val="bottom"/>
          </w:tcPr>
          <w:p>
            <w:pPr>
              <w:pStyle w:val="TableContents"/>
              <w:spacing w:before="0" w:after="283"/>
              <w:jc w:val="right"/>
              <w:rPr>
                <w:rFonts w:ascii="times" w:hAnsi="times"/>
                <w:sz w:val="14"/>
              </w:rPr>
            </w:pPr>
            <w:r>
              <w:rPr>
                <w:rFonts w:ascii="times" w:hAnsi="times"/>
                <w:sz w:val="14"/>
              </w:rPr>
              <w:t></w:t>
            </w:r>
          </w:p>
        </w:tc>
        <w:tc>
          <w:tcPr>
            <w:tcW w:w="100" w:type="dxa"/>
            <w:tcBorders/>
            <w:shd w:fill="auto" w:val="clear"/>
            <w:vAlign w:val="bottom"/>
          </w:tcPr>
          <w:p>
            <w:pPr>
              <w:pStyle w:val="TableContents"/>
              <w:spacing w:before="0" w:after="283"/>
              <w:rPr/>
            </w:pPr>
            <w:r>
              <w:rPr/>
              <w:t> </w:t>
            </w:r>
          </w:p>
        </w:tc>
        <w:tc>
          <w:tcPr>
            <w:tcW w:w="106" w:type="dxa"/>
            <w:tcBorders/>
            <w:shd w:fill="auto" w:val="clear"/>
            <w:vAlign w:val="bottom"/>
          </w:tcPr>
          <w:p>
            <w:pPr>
              <w:pStyle w:val="TableContents"/>
              <w:spacing w:before="0" w:after="283"/>
              <w:rPr/>
            </w:pPr>
            <w:r>
              <w:rPr/>
              <w:t> </w:t>
            </w:r>
          </w:p>
        </w:tc>
        <w:tc>
          <w:tcPr>
            <w:tcW w:w="618" w:type="dxa"/>
            <w:tcBorders/>
            <w:shd w:fill="auto" w:val="clear"/>
            <w:vAlign w:val="bottom"/>
          </w:tcPr>
          <w:p>
            <w:pPr>
              <w:pStyle w:val="TableContents"/>
              <w:spacing w:before="0" w:after="283"/>
              <w:jc w:val="right"/>
              <w:rPr>
                <w:rFonts w:ascii="times" w:hAnsi="times"/>
                <w:sz w:val="14"/>
              </w:rPr>
            </w:pPr>
            <w:r>
              <w:rPr>
                <w:rFonts w:ascii="times" w:hAnsi="times"/>
                <w:sz w:val="14"/>
              </w:rPr>
              <w:t></w:t>
            </w:r>
          </w:p>
        </w:tc>
        <w:tc>
          <w:tcPr>
            <w:tcW w:w="100" w:type="dxa"/>
            <w:tcBorders/>
            <w:shd w:fill="auto" w:val="clear"/>
            <w:vAlign w:val="bottom"/>
          </w:tcPr>
          <w:p>
            <w:pPr>
              <w:pStyle w:val="TableContents"/>
              <w:spacing w:before="0" w:after="283"/>
              <w:rPr/>
            </w:pPr>
            <w:r>
              <w:rPr/>
              <w:t> </w:t>
            </w:r>
          </w:p>
        </w:tc>
        <w:tc>
          <w:tcPr>
            <w:tcW w:w="106" w:type="dxa"/>
            <w:tcBorders/>
            <w:shd w:fill="auto" w:val="clear"/>
            <w:vAlign w:val="bottom"/>
          </w:tcPr>
          <w:p>
            <w:pPr>
              <w:pStyle w:val="TableContents"/>
              <w:spacing w:before="0" w:after="283"/>
              <w:rPr/>
            </w:pPr>
            <w:r>
              <w:rPr/>
              <w:t> </w:t>
            </w:r>
          </w:p>
        </w:tc>
        <w:tc>
          <w:tcPr>
            <w:tcW w:w="618" w:type="dxa"/>
            <w:tcBorders/>
            <w:shd w:fill="auto" w:val="clear"/>
            <w:vAlign w:val="bottom"/>
          </w:tcPr>
          <w:p>
            <w:pPr>
              <w:pStyle w:val="TableContents"/>
              <w:spacing w:before="0" w:after="283"/>
              <w:jc w:val="right"/>
              <w:rPr>
                <w:rFonts w:ascii="times" w:hAnsi="times"/>
                <w:sz w:val="14"/>
              </w:rPr>
            </w:pPr>
            <w:r>
              <w:rPr>
                <w:rFonts w:ascii="times" w:hAnsi="times"/>
                <w:sz w:val="14"/>
              </w:rPr>
              <w:t></w:t>
            </w:r>
          </w:p>
        </w:tc>
        <w:tc>
          <w:tcPr>
            <w:tcW w:w="101" w:type="dxa"/>
            <w:tcBorders/>
            <w:shd w:fill="auto" w:val="clear"/>
            <w:vAlign w:val="bottom"/>
          </w:tcPr>
          <w:p>
            <w:pPr>
              <w:pStyle w:val="TableContents"/>
              <w:spacing w:before="0" w:after="283"/>
              <w:rPr/>
            </w:pPr>
            <w:r>
              <w:rPr/>
              <w:t> </w:t>
            </w:r>
          </w:p>
        </w:tc>
        <w:tc>
          <w:tcPr>
            <w:tcW w:w="105" w:type="dxa"/>
            <w:tcBorders/>
            <w:shd w:fill="auto" w:val="clear"/>
            <w:vAlign w:val="bottom"/>
          </w:tcPr>
          <w:p>
            <w:pPr>
              <w:pStyle w:val="TableContents"/>
              <w:spacing w:before="0" w:after="283"/>
              <w:rPr/>
            </w:pPr>
            <w:r>
              <w:rPr/>
              <w:t> </w:t>
            </w:r>
          </w:p>
        </w:tc>
        <w:tc>
          <w:tcPr>
            <w:tcW w:w="619" w:type="dxa"/>
            <w:tcBorders/>
            <w:shd w:fill="auto" w:val="clear"/>
            <w:vAlign w:val="bottom"/>
          </w:tcPr>
          <w:p>
            <w:pPr>
              <w:pStyle w:val="TableContents"/>
              <w:spacing w:before="0" w:after="283"/>
              <w:jc w:val="right"/>
              <w:rPr>
                <w:rFonts w:ascii="times" w:hAnsi="times"/>
                <w:sz w:val="14"/>
              </w:rPr>
            </w:pPr>
            <w:r>
              <w:rPr>
                <w:rFonts w:ascii="times" w:hAnsi="times"/>
                <w:sz w:val="14"/>
              </w:rPr>
              <w:t>138,848</w:t>
            </w:r>
          </w:p>
        </w:tc>
        <w:tc>
          <w:tcPr>
            <w:tcW w:w="100" w:type="dxa"/>
            <w:tcBorders/>
            <w:shd w:fill="auto" w:val="clear"/>
            <w:vAlign w:val="bottom"/>
          </w:tcPr>
          <w:p>
            <w:pPr>
              <w:pStyle w:val="TableContents"/>
              <w:spacing w:before="0" w:after="283"/>
              <w:rPr/>
            </w:pPr>
            <w:r>
              <w:rPr/>
              <w:t> </w:t>
            </w:r>
          </w:p>
        </w:tc>
        <w:tc>
          <w:tcPr>
            <w:tcW w:w="106" w:type="dxa"/>
            <w:tcBorders/>
            <w:shd w:fill="auto" w:val="clear"/>
            <w:vAlign w:val="bottom"/>
          </w:tcPr>
          <w:p>
            <w:pPr>
              <w:pStyle w:val="TableContents"/>
              <w:spacing w:before="0" w:after="283"/>
              <w:rPr/>
            </w:pPr>
            <w:r>
              <w:rPr/>
              <w:t> </w:t>
            </w:r>
          </w:p>
        </w:tc>
        <w:tc>
          <w:tcPr>
            <w:tcW w:w="618" w:type="dxa"/>
            <w:tcBorders/>
            <w:shd w:fill="auto" w:val="clear"/>
            <w:vAlign w:val="bottom"/>
          </w:tcPr>
          <w:p>
            <w:pPr>
              <w:pStyle w:val="TableContents"/>
              <w:spacing w:before="0" w:after="283"/>
              <w:jc w:val="right"/>
              <w:rPr>
                <w:rFonts w:ascii="times" w:hAnsi="times"/>
                <w:sz w:val="14"/>
              </w:rPr>
            </w:pPr>
            <w:r>
              <w:rPr>
                <w:rFonts w:ascii="times" w:hAnsi="times"/>
                <w:sz w:val="14"/>
              </w:rPr>
              <w:t>23,923</w:t>
            </w:r>
          </w:p>
        </w:tc>
        <w:tc>
          <w:tcPr>
            <w:tcW w:w="100" w:type="dxa"/>
            <w:tcBorders/>
            <w:shd w:fill="auto" w:val="clear"/>
            <w:vAlign w:val="bottom"/>
          </w:tcPr>
          <w:p>
            <w:pPr>
              <w:pStyle w:val="TableContents"/>
              <w:spacing w:before="0" w:after="283"/>
              <w:rPr/>
            </w:pPr>
            <w:r>
              <w:rPr/>
              <w:t> </w:t>
            </w:r>
          </w:p>
        </w:tc>
        <w:tc>
          <w:tcPr>
            <w:tcW w:w="106" w:type="dxa"/>
            <w:tcBorders/>
            <w:shd w:fill="auto" w:val="clear"/>
            <w:vAlign w:val="bottom"/>
          </w:tcPr>
          <w:p>
            <w:pPr>
              <w:pStyle w:val="TableContents"/>
              <w:spacing w:before="0" w:after="283"/>
              <w:rPr/>
            </w:pPr>
            <w:r>
              <w:rPr/>
              <w:t> </w:t>
            </w:r>
          </w:p>
        </w:tc>
        <w:tc>
          <w:tcPr>
            <w:tcW w:w="619" w:type="dxa"/>
            <w:tcBorders/>
            <w:shd w:fill="auto" w:val="clear"/>
            <w:vAlign w:val="bottom"/>
          </w:tcPr>
          <w:p>
            <w:pPr>
              <w:pStyle w:val="TableContents"/>
              <w:spacing w:before="0" w:after="283"/>
              <w:jc w:val="right"/>
              <w:rPr>
                <w:rFonts w:ascii="times" w:hAnsi="times"/>
                <w:sz w:val="14"/>
              </w:rPr>
            </w:pPr>
            <w:r>
              <w:rPr>
                <w:rFonts w:ascii="times" w:hAnsi="times"/>
                <w:sz w:val="14"/>
              </w:rPr>
              <w:t></w:t>
            </w:r>
          </w:p>
        </w:tc>
        <w:tc>
          <w:tcPr>
            <w:tcW w:w="100" w:type="dxa"/>
            <w:tcBorders/>
            <w:shd w:fill="auto" w:val="clear"/>
            <w:vAlign w:val="bottom"/>
          </w:tcPr>
          <w:p>
            <w:pPr>
              <w:pStyle w:val="TableContents"/>
              <w:spacing w:before="0" w:after="283"/>
              <w:rPr/>
            </w:pPr>
            <w:r>
              <w:rPr/>
              <w:t> </w:t>
            </w:r>
          </w:p>
        </w:tc>
        <w:tc>
          <w:tcPr>
            <w:tcW w:w="105" w:type="dxa"/>
            <w:tcBorders/>
            <w:shd w:fill="auto" w:val="clear"/>
            <w:vAlign w:val="bottom"/>
          </w:tcPr>
          <w:p>
            <w:pPr>
              <w:pStyle w:val="TableContents"/>
              <w:spacing w:before="0" w:after="283"/>
              <w:rPr/>
            </w:pPr>
            <w:r>
              <w:rPr/>
              <w:t> </w:t>
            </w:r>
          </w:p>
        </w:tc>
        <w:tc>
          <w:tcPr>
            <w:tcW w:w="619" w:type="dxa"/>
            <w:tcBorders/>
            <w:shd w:fill="auto" w:val="clear"/>
            <w:vAlign w:val="bottom"/>
          </w:tcPr>
          <w:p>
            <w:pPr>
              <w:pStyle w:val="TableContents"/>
              <w:spacing w:before="0" w:after="283"/>
              <w:jc w:val="right"/>
              <w:rPr>
                <w:rFonts w:ascii="times" w:hAnsi="times"/>
                <w:sz w:val="14"/>
              </w:rPr>
            </w:pPr>
            <w:r>
              <w:rPr>
                <w:rFonts w:ascii="times" w:hAnsi="times"/>
                <w:sz w:val="14"/>
              </w:rPr>
              <w:t></w:t>
            </w:r>
          </w:p>
        </w:tc>
        <w:tc>
          <w:tcPr>
            <w:tcW w:w="100" w:type="dxa"/>
            <w:tcBorders/>
            <w:shd w:fill="auto" w:val="clear"/>
            <w:vAlign w:val="bottom"/>
          </w:tcPr>
          <w:p>
            <w:pPr>
              <w:pStyle w:val="TableContents"/>
              <w:spacing w:before="0" w:after="283"/>
              <w:rPr/>
            </w:pPr>
            <w:r>
              <w:rPr/>
              <w:t> </w:t>
            </w:r>
          </w:p>
        </w:tc>
        <w:tc>
          <w:tcPr>
            <w:tcW w:w="106" w:type="dxa"/>
            <w:tcBorders/>
            <w:shd w:fill="auto" w:val="clear"/>
            <w:vAlign w:val="bottom"/>
          </w:tcPr>
          <w:p>
            <w:pPr>
              <w:pStyle w:val="TableContents"/>
              <w:spacing w:before="0" w:after="283"/>
              <w:rPr/>
            </w:pPr>
            <w:r>
              <w:rPr/>
              <w:t> </w:t>
            </w:r>
          </w:p>
        </w:tc>
        <w:tc>
          <w:tcPr>
            <w:tcW w:w="618" w:type="dxa"/>
            <w:tcBorders/>
            <w:shd w:fill="auto" w:val="clear"/>
            <w:vAlign w:val="bottom"/>
          </w:tcPr>
          <w:p>
            <w:pPr>
              <w:pStyle w:val="TableContents"/>
              <w:spacing w:before="0" w:after="283"/>
              <w:jc w:val="right"/>
              <w:rPr>
                <w:rFonts w:ascii="times" w:hAnsi="times"/>
                <w:sz w:val="14"/>
              </w:rPr>
            </w:pPr>
            <w:r>
              <w:rPr>
                <w:rFonts w:ascii="times" w:hAnsi="times"/>
                <w:sz w:val="14"/>
              </w:rPr>
              <w:t></w:t>
            </w:r>
          </w:p>
        </w:tc>
        <w:tc>
          <w:tcPr>
            <w:tcW w:w="100" w:type="dxa"/>
            <w:tcBorders/>
            <w:shd w:fill="auto" w:val="clear"/>
            <w:vAlign w:val="bottom"/>
          </w:tcPr>
          <w:p>
            <w:pPr>
              <w:pStyle w:val="TableContents"/>
              <w:spacing w:before="0" w:after="283"/>
              <w:rPr/>
            </w:pPr>
            <w:r>
              <w:rPr/>
              <w:t> </w:t>
            </w:r>
          </w:p>
        </w:tc>
        <w:tc>
          <w:tcPr>
            <w:tcW w:w="106" w:type="dxa"/>
            <w:tcBorders/>
            <w:shd w:fill="auto" w:val="clear"/>
            <w:vAlign w:val="bottom"/>
          </w:tcPr>
          <w:p>
            <w:pPr>
              <w:pStyle w:val="TableContents"/>
              <w:spacing w:before="0" w:after="283"/>
              <w:rPr/>
            </w:pPr>
            <w:r>
              <w:rPr/>
              <w:t> </w:t>
            </w:r>
          </w:p>
        </w:tc>
        <w:tc>
          <w:tcPr>
            <w:tcW w:w="619" w:type="dxa"/>
            <w:tcBorders/>
            <w:shd w:fill="auto" w:val="clear"/>
            <w:vAlign w:val="bottom"/>
          </w:tcPr>
          <w:p>
            <w:pPr>
              <w:pStyle w:val="TableContents"/>
              <w:spacing w:before="0" w:after="283"/>
              <w:jc w:val="right"/>
              <w:rPr>
                <w:rFonts w:ascii="times" w:hAnsi="times"/>
                <w:sz w:val="14"/>
              </w:rPr>
            </w:pPr>
            <w:r>
              <w:rPr>
                <w:rFonts w:ascii="times" w:hAnsi="times"/>
                <w:sz w:val="14"/>
              </w:rPr>
              <w:t>138,848</w:t>
            </w:r>
          </w:p>
        </w:tc>
        <w:tc>
          <w:tcPr>
            <w:tcW w:w="100" w:type="dxa"/>
            <w:tcBorders/>
            <w:shd w:fill="auto" w:val="clear"/>
            <w:vAlign w:val="bottom"/>
          </w:tcPr>
          <w:p>
            <w:pPr>
              <w:pStyle w:val="TableContents"/>
              <w:spacing w:before="0" w:after="283"/>
              <w:rPr/>
            </w:pPr>
            <w:r>
              <w:rPr/>
              <w:t> </w:t>
            </w:r>
          </w:p>
        </w:tc>
        <w:tc>
          <w:tcPr>
            <w:tcW w:w="106" w:type="dxa"/>
            <w:tcBorders/>
            <w:shd w:fill="auto" w:val="clear"/>
            <w:vAlign w:val="bottom"/>
          </w:tcPr>
          <w:p>
            <w:pPr>
              <w:pStyle w:val="TableContents"/>
              <w:spacing w:before="0" w:after="283"/>
              <w:rPr/>
            </w:pPr>
            <w:r>
              <w:rPr/>
              <w:t> </w:t>
            </w:r>
          </w:p>
        </w:tc>
        <w:tc>
          <w:tcPr>
            <w:tcW w:w="618" w:type="dxa"/>
            <w:tcBorders/>
            <w:shd w:fill="auto" w:val="clear"/>
            <w:vAlign w:val="bottom"/>
          </w:tcPr>
          <w:p>
            <w:pPr>
              <w:pStyle w:val="TableContents"/>
              <w:spacing w:before="0" w:after="283"/>
              <w:jc w:val="right"/>
              <w:rPr>
                <w:rFonts w:ascii="times" w:hAnsi="times"/>
                <w:sz w:val="14"/>
              </w:rPr>
            </w:pPr>
            <w:r>
              <w:rPr>
                <w:rFonts w:ascii="times" w:hAnsi="times"/>
                <w:sz w:val="14"/>
              </w:rPr>
              <w:t>23,923</w:t>
            </w:r>
          </w:p>
        </w:tc>
        <w:tc>
          <w:tcPr>
            <w:tcW w:w="201" w:type="dxa"/>
            <w:tcBorders/>
            <w:shd w:fill="auto" w:val="clear"/>
            <w:vAlign w:val="bottom"/>
          </w:tcPr>
          <w:p>
            <w:pPr>
              <w:pStyle w:val="TableContents"/>
              <w:spacing w:before="0" w:after="283"/>
              <w:rPr/>
            </w:pPr>
            <w:r>
              <w:rPr/>
              <w:t> </w:t>
            </w:r>
          </w:p>
        </w:tc>
      </w:tr>
      <w:tr>
        <w:trPr/>
        <w:tc>
          <w:tcPr>
            <w:tcW w:w="1760" w:type="dxa"/>
            <w:tcBorders/>
            <w:shd w:fill="auto" w:val="clear"/>
            <w:vAlign w:val="bottom"/>
          </w:tcPr>
          <w:p>
            <w:pPr>
              <w:pStyle w:val="TableContents"/>
              <w:spacing w:before="0" w:after="283"/>
              <w:ind w:left="140" w:right="0" w:hanging="140"/>
              <w:rPr>
                <w:rFonts w:ascii="times" w:hAnsi="times"/>
                <w:sz w:val="14"/>
              </w:rPr>
            </w:pPr>
            <w:r>
              <w:rPr>
                <w:rFonts w:ascii="times" w:hAnsi="times"/>
                <w:sz w:val="14"/>
              </w:rPr>
              <w:t>Restructuring costs</w:t>
            </w:r>
          </w:p>
        </w:tc>
        <w:tc>
          <w:tcPr>
            <w:tcW w:w="101" w:type="dxa"/>
            <w:tcBorders/>
            <w:shd w:fill="auto" w:val="clear"/>
            <w:vAlign w:val="bottom"/>
          </w:tcPr>
          <w:p>
            <w:pPr>
              <w:pStyle w:val="TableContents"/>
              <w:spacing w:before="0" w:after="283"/>
              <w:rPr/>
            </w:pPr>
            <w:r>
              <w:rPr/>
              <w:t> </w:t>
            </w:r>
          </w:p>
        </w:tc>
        <w:tc>
          <w:tcPr>
            <w:tcW w:w="105" w:type="dxa"/>
            <w:tcBorders/>
            <w:shd w:fill="auto" w:val="clear"/>
            <w:vAlign w:val="bottom"/>
          </w:tcPr>
          <w:p>
            <w:pPr>
              <w:pStyle w:val="TableContents"/>
              <w:spacing w:before="0" w:after="283"/>
              <w:rPr/>
            </w:pPr>
            <w:r>
              <w:rPr/>
              <w:t> </w:t>
            </w:r>
          </w:p>
        </w:tc>
        <w:tc>
          <w:tcPr>
            <w:tcW w:w="619" w:type="dxa"/>
            <w:tcBorders/>
            <w:shd w:fill="auto" w:val="clear"/>
            <w:vAlign w:val="bottom"/>
          </w:tcPr>
          <w:p>
            <w:pPr>
              <w:pStyle w:val="TableContents"/>
              <w:spacing w:before="0" w:after="283"/>
              <w:jc w:val="right"/>
              <w:rPr>
                <w:rFonts w:ascii="times" w:hAnsi="times"/>
                <w:sz w:val="14"/>
              </w:rPr>
            </w:pPr>
            <w:r>
              <w:rPr>
                <w:rFonts w:ascii="times" w:hAnsi="times"/>
                <w:sz w:val="14"/>
              </w:rPr>
              <w:t></w:t>
            </w:r>
          </w:p>
        </w:tc>
        <w:tc>
          <w:tcPr>
            <w:tcW w:w="100" w:type="dxa"/>
            <w:tcBorders/>
            <w:shd w:fill="auto" w:val="clear"/>
            <w:vAlign w:val="bottom"/>
          </w:tcPr>
          <w:p>
            <w:pPr>
              <w:pStyle w:val="TableContents"/>
              <w:spacing w:before="0" w:after="283"/>
              <w:rPr/>
            </w:pPr>
            <w:r>
              <w:rPr/>
              <w:t> </w:t>
            </w:r>
          </w:p>
        </w:tc>
        <w:tc>
          <w:tcPr>
            <w:tcW w:w="106" w:type="dxa"/>
            <w:tcBorders/>
            <w:shd w:fill="auto" w:val="clear"/>
            <w:vAlign w:val="bottom"/>
          </w:tcPr>
          <w:p>
            <w:pPr>
              <w:pStyle w:val="TableContents"/>
              <w:spacing w:before="0" w:after="283"/>
              <w:rPr/>
            </w:pPr>
            <w:r>
              <w:rPr/>
              <w:t> </w:t>
            </w:r>
          </w:p>
        </w:tc>
        <w:tc>
          <w:tcPr>
            <w:tcW w:w="618" w:type="dxa"/>
            <w:tcBorders/>
            <w:shd w:fill="auto" w:val="clear"/>
            <w:vAlign w:val="bottom"/>
          </w:tcPr>
          <w:p>
            <w:pPr>
              <w:pStyle w:val="TableContents"/>
              <w:spacing w:before="0" w:after="283"/>
              <w:jc w:val="right"/>
              <w:rPr>
                <w:rFonts w:ascii="times" w:hAnsi="times"/>
                <w:sz w:val="14"/>
              </w:rPr>
            </w:pPr>
            <w:r>
              <w:rPr>
                <w:rFonts w:ascii="times" w:hAnsi="times"/>
                <w:sz w:val="14"/>
              </w:rPr>
              <w:t></w:t>
            </w:r>
          </w:p>
        </w:tc>
        <w:tc>
          <w:tcPr>
            <w:tcW w:w="100" w:type="dxa"/>
            <w:tcBorders/>
            <w:shd w:fill="auto" w:val="clear"/>
            <w:vAlign w:val="bottom"/>
          </w:tcPr>
          <w:p>
            <w:pPr>
              <w:pStyle w:val="TableContents"/>
              <w:spacing w:before="0" w:after="283"/>
              <w:rPr/>
            </w:pPr>
            <w:r>
              <w:rPr/>
              <w:t> </w:t>
            </w:r>
          </w:p>
        </w:tc>
        <w:tc>
          <w:tcPr>
            <w:tcW w:w="106" w:type="dxa"/>
            <w:tcBorders/>
            <w:shd w:fill="auto" w:val="clear"/>
            <w:vAlign w:val="bottom"/>
          </w:tcPr>
          <w:p>
            <w:pPr>
              <w:pStyle w:val="TableContents"/>
              <w:spacing w:before="0" w:after="283"/>
              <w:rPr/>
            </w:pPr>
            <w:r>
              <w:rPr/>
              <w:t> </w:t>
            </w:r>
          </w:p>
        </w:tc>
        <w:tc>
          <w:tcPr>
            <w:tcW w:w="618" w:type="dxa"/>
            <w:tcBorders/>
            <w:shd w:fill="auto" w:val="clear"/>
            <w:vAlign w:val="bottom"/>
          </w:tcPr>
          <w:p>
            <w:pPr>
              <w:pStyle w:val="TableContents"/>
              <w:spacing w:before="0" w:after="283"/>
              <w:jc w:val="right"/>
              <w:rPr>
                <w:rFonts w:ascii="times" w:hAnsi="times"/>
                <w:sz w:val="14"/>
              </w:rPr>
            </w:pPr>
            <w:r>
              <w:rPr>
                <w:rFonts w:ascii="times" w:hAnsi="times"/>
                <w:sz w:val="14"/>
              </w:rPr>
              <w:t></w:t>
            </w:r>
          </w:p>
        </w:tc>
        <w:tc>
          <w:tcPr>
            <w:tcW w:w="101" w:type="dxa"/>
            <w:tcBorders/>
            <w:shd w:fill="auto" w:val="clear"/>
            <w:vAlign w:val="bottom"/>
          </w:tcPr>
          <w:p>
            <w:pPr>
              <w:pStyle w:val="TableContents"/>
              <w:spacing w:before="0" w:after="283"/>
              <w:rPr/>
            </w:pPr>
            <w:r>
              <w:rPr/>
              <w:t> </w:t>
            </w:r>
          </w:p>
        </w:tc>
        <w:tc>
          <w:tcPr>
            <w:tcW w:w="105" w:type="dxa"/>
            <w:tcBorders/>
            <w:shd w:fill="auto" w:val="clear"/>
            <w:vAlign w:val="bottom"/>
          </w:tcPr>
          <w:p>
            <w:pPr>
              <w:pStyle w:val="TableContents"/>
              <w:spacing w:before="0" w:after="283"/>
              <w:rPr/>
            </w:pPr>
            <w:r>
              <w:rPr/>
              <w:t> </w:t>
            </w:r>
          </w:p>
        </w:tc>
        <w:tc>
          <w:tcPr>
            <w:tcW w:w="619" w:type="dxa"/>
            <w:tcBorders/>
            <w:shd w:fill="auto" w:val="clear"/>
            <w:vAlign w:val="bottom"/>
          </w:tcPr>
          <w:p>
            <w:pPr>
              <w:pStyle w:val="TableContents"/>
              <w:spacing w:before="0" w:after="283"/>
              <w:jc w:val="right"/>
              <w:rPr>
                <w:rFonts w:ascii="times" w:hAnsi="times"/>
                <w:sz w:val="14"/>
              </w:rPr>
            </w:pPr>
            <w:r>
              <w:rPr>
                <w:rFonts w:ascii="times" w:hAnsi="times"/>
                <w:sz w:val="14"/>
              </w:rPr>
              <w:t></w:t>
            </w:r>
          </w:p>
        </w:tc>
        <w:tc>
          <w:tcPr>
            <w:tcW w:w="100" w:type="dxa"/>
            <w:tcBorders/>
            <w:shd w:fill="auto" w:val="clear"/>
            <w:vAlign w:val="bottom"/>
          </w:tcPr>
          <w:p>
            <w:pPr>
              <w:pStyle w:val="TableContents"/>
              <w:spacing w:before="0" w:after="283"/>
              <w:rPr/>
            </w:pPr>
            <w:r>
              <w:rPr/>
              <w:t> </w:t>
            </w:r>
          </w:p>
        </w:tc>
        <w:tc>
          <w:tcPr>
            <w:tcW w:w="106" w:type="dxa"/>
            <w:tcBorders/>
            <w:shd w:fill="auto" w:val="clear"/>
            <w:vAlign w:val="bottom"/>
          </w:tcPr>
          <w:p>
            <w:pPr>
              <w:pStyle w:val="TableContents"/>
              <w:spacing w:before="0" w:after="283"/>
              <w:rPr/>
            </w:pPr>
            <w:r>
              <w:rPr/>
              <w:t> </w:t>
            </w:r>
          </w:p>
        </w:tc>
        <w:tc>
          <w:tcPr>
            <w:tcW w:w="618" w:type="dxa"/>
            <w:tcBorders/>
            <w:shd w:fill="auto" w:val="clear"/>
            <w:vAlign w:val="bottom"/>
          </w:tcPr>
          <w:p>
            <w:pPr>
              <w:pStyle w:val="TableContents"/>
              <w:spacing w:before="0" w:after="283"/>
              <w:jc w:val="right"/>
              <w:rPr>
                <w:rFonts w:ascii="times" w:hAnsi="times"/>
                <w:sz w:val="14"/>
              </w:rPr>
            </w:pPr>
            <w:r>
              <w:rPr>
                <w:rFonts w:ascii="times" w:hAnsi="times"/>
                <w:sz w:val="14"/>
              </w:rPr>
              <w:t>1,174</w:t>
            </w:r>
          </w:p>
        </w:tc>
        <w:tc>
          <w:tcPr>
            <w:tcW w:w="100" w:type="dxa"/>
            <w:tcBorders/>
            <w:shd w:fill="auto" w:val="clear"/>
            <w:vAlign w:val="bottom"/>
          </w:tcPr>
          <w:p>
            <w:pPr>
              <w:pStyle w:val="TableContents"/>
              <w:spacing w:before="0" w:after="283"/>
              <w:rPr/>
            </w:pPr>
            <w:r>
              <w:rPr/>
              <w:t> </w:t>
            </w:r>
          </w:p>
        </w:tc>
        <w:tc>
          <w:tcPr>
            <w:tcW w:w="106" w:type="dxa"/>
            <w:tcBorders/>
            <w:shd w:fill="auto" w:val="clear"/>
            <w:vAlign w:val="bottom"/>
          </w:tcPr>
          <w:p>
            <w:pPr>
              <w:pStyle w:val="TableContents"/>
              <w:spacing w:before="0" w:after="283"/>
              <w:rPr/>
            </w:pPr>
            <w:r>
              <w:rPr/>
              <w:t> </w:t>
            </w:r>
          </w:p>
        </w:tc>
        <w:tc>
          <w:tcPr>
            <w:tcW w:w="619" w:type="dxa"/>
            <w:tcBorders/>
            <w:shd w:fill="auto" w:val="clear"/>
            <w:vAlign w:val="bottom"/>
          </w:tcPr>
          <w:p>
            <w:pPr>
              <w:pStyle w:val="TableContents"/>
              <w:spacing w:before="0" w:after="283"/>
              <w:jc w:val="right"/>
              <w:rPr>
                <w:rFonts w:ascii="times" w:hAnsi="times"/>
                <w:sz w:val="14"/>
              </w:rPr>
            </w:pPr>
            <w:r>
              <w:rPr>
                <w:rFonts w:ascii="times" w:hAnsi="times"/>
                <w:sz w:val="14"/>
              </w:rPr>
              <w:t></w:t>
            </w:r>
          </w:p>
        </w:tc>
        <w:tc>
          <w:tcPr>
            <w:tcW w:w="100" w:type="dxa"/>
            <w:tcBorders/>
            <w:shd w:fill="auto" w:val="clear"/>
            <w:vAlign w:val="bottom"/>
          </w:tcPr>
          <w:p>
            <w:pPr>
              <w:pStyle w:val="TableContents"/>
              <w:spacing w:before="0" w:after="283"/>
              <w:rPr/>
            </w:pPr>
            <w:r>
              <w:rPr/>
              <w:t> </w:t>
            </w:r>
          </w:p>
        </w:tc>
        <w:tc>
          <w:tcPr>
            <w:tcW w:w="105" w:type="dxa"/>
            <w:tcBorders/>
            <w:shd w:fill="auto" w:val="clear"/>
            <w:vAlign w:val="bottom"/>
          </w:tcPr>
          <w:p>
            <w:pPr>
              <w:pStyle w:val="TableContents"/>
              <w:spacing w:before="0" w:after="283"/>
              <w:rPr/>
            </w:pPr>
            <w:r>
              <w:rPr/>
              <w:t> </w:t>
            </w:r>
          </w:p>
        </w:tc>
        <w:tc>
          <w:tcPr>
            <w:tcW w:w="619" w:type="dxa"/>
            <w:tcBorders/>
            <w:shd w:fill="auto" w:val="clear"/>
            <w:vAlign w:val="bottom"/>
          </w:tcPr>
          <w:p>
            <w:pPr>
              <w:pStyle w:val="TableContents"/>
              <w:spacing w:before="0" w:after="283"/>
              <w:jc w:val="right"/>
              <w:rPr>
                <w:rFonts w:ascii="times" w:hAnsi="times"/>
                <w:sz w:val="14"/>
              </w:rPr>
            </w:pPr>
            <w:r>
              <w:rPr>
                <w:rFonts w:ascii="times" w:hAnsi="times"/>
                <w:sz w:val="14"/>
              </w:rPr>
              <w:t></w:t>
            </w:r>
          </w:p>
        </w:tc>
        <w:tc>
          <w:tcPr>
            <w:tcW w:w="100" w:type="dxa"/>
            <w:tcBorders/>
            <w:shd w:fill="auto" w:val="clear"/>
            <w:vAlign w:val="bottom"/>
          </w:tcPr>
          <w:p>
            <w:pPr>
              <w:pStyle w:val="TableContents"/>
              <w:spacing w:before="0" w:after="283"/>
              <w:rPr/>
            </w:pPr>
            <w:r>
              <w:rPr/>
              <w:t> </w:t>
            </w:r>
          </w:p>
        </w:tc>
        <w:tc>
          <w:tcPr>
            <w:tcW w:w="106" w:type="dxa"/>
            <w:tcBorders/>
            <w:shd w:fill="auto" w:val="clear"/>
            <w:vAlign w:val="bottom"/>
          </w:tcPr>
          <w:p>
            <w:pPr>
              <w:pStyle w:val="TableContents"/>
              <w:spacing w:before="0" w:after="283"/>
              <w:rPr/>
            </w:pPr>
            <w:r>
              <w:rPr/>
              <w:t> </w:t>
            </w:r>
          </w:p>
        </w:tc>
        <w:tc>
          <w:tcPr>
            <w:tcW w:w="618" w:type="dxa"/>
            <w:tcBorders/>
            <w:shd w:fill="auto" w:val="clear"/>
            <w:vAlign w:val="bottom"/>
          </w:tcPr>
          <w:p>
            <w:pPr>
              <w:pStyle w:val="TableContents"/>
              <w:spacing w:before="0" w:after="283"/>
              <w:jc w:val="right"/>
              <w:rPr>
                <w:rFonts w:ascii="times" w:hAnsi="times"/>
                <w:sz w:val="14"/>
              </w:rPr>
            </w:pPr>
            <w:r>
              <w:rPr>
                <w:rFonts w:ascii="times" w:hAnsi="times"/>
                <w:sz w:val="14"/>
              </w:rPr>
              <w:t></w:t>
            </w:r>
          </w:p>
        </w:tc>
        <w:tc>
          <w:tcPr>
            <w:tcW w:w="100" w:type="dxa"/>
            <w:tcBorders/>
            <w:shd w:fill="auto" w:val="clear"/>
            <w:vAlign w:val="bottom"/>
          </w:tcPr>
          <w:p>
            <w:pPr>
              <w:pStyle w:val="TableContents"/>
              <w:spacing w:before="0" w:after="283"/>
              <w:rPr/>
            </w:pPr>
            <w:r>
              <w:rPr/>
              <w:t> </w:t>
            </w:r>
          </w:p>
        </w:tc>
        <w:tc>
          <w:tcPr>
            <w:tcW w:w="106" w:type="dxa"/>
            <w:tcBorders/>
            <w:shd w:fill="auto" w:val="clear"/>
            <w:vAlign w:val="bottom"/>
          </w:tcPr>
          <w:p>
            <w:pPr>
              <w:pStyle w:val="TableContents"/>
              <w:spacing w:before="0" w:after="283"/>
              <w:rPr/>
            </w:pPr>
            <w:r>
              <w:rPr/>
              <w:t> </w:t>
            </w:r>
          </w:p>
        </w:tc>
        <w:tc>
          <w:tcPr>
            <w:tcW w:w="619" w:type="dxa"/>
            <w:tcBorders/>
            <w:shd w:fill="auto" w:val="clear"/>
            <w:vAlign w:val="bottom"/>
          </w:tcPr>
          <w:p>
            <w:pPr>
              <w:pStyle w:val="TableContents"/>
              <w:spacing w:before="0" w:after="283"/>
              <w:jc w:val="right"/>
              <w:rPr>
                <w:rFonts w:ascii="times" w:hAnsi="times"/>
                <w:sz w:val="14"/>
              </w:rPr>
            </w:pPr>
            <w:r>
              <w:rPr>
                <w:rFonts w:ascii="times" w:hAnsi="times"/>
                <w:sz w:val="14"/>
              </w:rPr>
              <w:t></w:t>
            </w:r>
          </w:p>
        </w:tc>
        <w:tc>
          <w:tcPr>
            <w:tcW w:w="100" w:type="dxa"/>
            <w:tcBorders/>
            <w:shd w:fill="auto" w:val="clear"/>
            <w:vAlign w:val="bottom"/>
          </w:tcPr>
          <w:p>
            <w:pPr>
              <w:pStyle w:val="TableContents"/>
              <w:spacing w:before="0" w:after="283"/>
              <w:rPr/>
            </w:pPr>
            <w:r>
              <w:rPr/>
              <w:t> </w:t>
            </w:r>
          </w:p>
        </w:tc>
        <w:tc>
          <w:tcPr>
            <w:tcW w:w="106" w:type="dxa"/>
            <w:tcBorders/>
            <w:shd w:fill="auto" w:val="clear"/>
            <w:vAlign w:val="bottom"/>
          </w:tcPr>
          <w:p>
            <w:pPr>
              <w:pStyle w:val="TableContents"/>
              <w:spacing w:before="0" w:after="283"/>
              <w:rPr/>
            </w:pPr>
            <w:r>
              <w:rPr/>
              <w:t> </w:t>
            </w:r>
          </w:p>
        </w:tc>
        <w:tc>
          <w:tcPr>
            <w:tcW w:w="618" w:type="dxa"/>
            <w:tcBorders/>
            <w:shd w:fill="auto" w:val="clear"/>
            <w:vAlign w:val="bottom"/>
          </w:tcPr>
          <w:p>
            <w:pPr>
              <w:pStyle w:val="TableContents"/>
              <w:spacing w:before="0" w:after="283"/>
              <w:jc w:val="right"/>
              <w:rPr>
                <w:rFonts w:ascii="times" w:hAnsi="times"/>
                <w:sz w:val="14"/>
              </w:rPr>
            </w:pPr>
            <w:r>
              <w:rPr>
                <w:rFonts w:ascii="times" w:hAnsi="times"/>
                <w:sz w:val="14"/>
              </w:rPr>
              <w:t xml:space="preserve">1,174 </w:t>
            </w:r>
          </w:p>
        </w:tc>
        <w:tc>
          <w:tcPr>
            <w:tcW w:w="201" w:type="dxa"/>
            <w:tcBorders/>
            <w:shd w:fill="auto" w:val="clear"/>
            <w:vAlign w:val="bottom"/>
          </w:tcPr>
          <w:p>
            <w:pPr>
              <w:pStyle w:val="TableContents"/>
              <w:spacing w:before="0" w:after="283"/>
              <w:rPr/>
            </w:pPr>
            <w:r>
              <w:rPr/>
              <w:t> </w:t>
            </w:r>
          </w:p>
        </w:tc>
      </w:tr>
      <w:tr>
        <w:trPr/>
        <w:tc>
          <w:tcPr>
            <w:tcW w:w="1760" w:type="dxa"/>
            <w:tcBorders/>
            <w:shd w:fill="FFFFFF" w:val="clear"/>
            <w:vAlign w:val="bottom"/>
          </w:tcPr>
          <w:p>
            <w:pPr>
              <w:pStyle w:val="TableContents"/>
              <w:spacing w:before="0" w:after="283"/>
              <w:rPr/>
            </w:pPr>
            <w:r>
              <w:rPr/>
              <w:t>​</w:t>
            </w:r>
          </w:p>
        </w:tc>
        <w:tc>
          <w:tcPr>
            <w:tcW w:w="101" w:type="dxa"/>
            <w:tcBorders/>
            <w:shd w:fill="FFFFFF" w:val="clear"/>
            <w:vAlign w:val="bottom"/>
          </w:tcPr>
          <w:p>
            <w:pPr>
              <w:pStyle w:val="TableContents"/>
              <w:spacing w:before="0" w:after="283"/>
              <w:rPr/>
            </w:pPr>
            <w:r>
              <w:rPr/>
              <w:t>​</w:t>
            </w:r>
          </w:p>
        </w:tc>
        <w:tc>
          <w:tcPr>
            <w:tcW w:w="105" w:type="dxa"/>
            <w:tcBorders>
              <w:bottom w:val="single" w:sz="8" w:space="0" w:color="000000"/>
            </w:tcBorders>
            <w:shd w:fill="FFFFFF" w:val="clear"/>
            <w:tcMar>
              <w:bottom w:w="28" w:type="dxa"/>
            </w:tcMar>
            <w:vAlign w:val="bottom"/>
          </w:tcPr>
          <w:p>
            <w:pPr>
              <w:pStyle w:val="TableContents"/>
              <w:spacing w:before="0" w:after="283"/>
              <w:rPr/>
            </w:pPr>
            <w:r>
              <w:rPr/>
              <w:t xml:space="preserve">​ </w:t>
            </w:r>
          </w:p>
        </w:tc>
        <w:tc>
          <w:tcPr>
            <w:tcW w:w="619" w:type="dxa"/>
            <w:tcBorders>
              <w:bottom w:val="single" w:sz="8" w:space="0" w:color="000000"/>
            </w:tcBorders>
            <w:shd w:fill="FFFFFF" w:val="clear"/>
            <w:tcMar>
              <w:bottom w:w="28" w:type="dxa"/>
            </w:tcMar>
            <w:vAlign w:val="bottom"/>
          </w:tcPr>
          <w:p>
            <w:pPr>
              <w:pStyle w:val="TableContents"/>
              <w:spacing w:before="0" w:after="283"/>
              <w:jc w:val="right"/>
              <w:rPr/>
            </w:pPr>
            <w:r>
              <w:rPr/>
              <w:t xml:space="preserve">​ </w:t>
            </w:r>
          </w:p>
        </w:tc>
        <w:tc>
          <w:tcPr>
            <w:tcW w:w="100" w:type="dxa"/>
            <w:tcBorders/>
            <w:shd w:fill="FFFFFF" w:val="clear"/>
            <w:vAlign w:val="bottom"/>
          </w:tcPr>
          <w:p>
            <w:pPr>
              <w:pStyle w:val="TableContents"/>
              <w:spacing w:before="0" w:after="283"/>
              <w:rPr/>
            </w:pPr>
            <w:r>
              <w:rPr/>
              <w:t>​</w:t>
            </w:r>
          </w:p>
        </w:tc>
        <w:tc>
          <w:tcPr>
            <w:tcW w:w="106" w:type="dxa"/>
            <w:tcBorders>
              <w:bottom w:val="single" w:sz="8" w:space="0" w:color="000000"/>
            </w:tcBorders>
            <w:shd w:fill="FFFFFF" w:val="clear"/>
            <w:tcMar>
              <w:bottom w:w="28" w:type="dxa"/>
            </w:tcMar>
            <w:vAlign w:val="bottom"/>
          </w:tcPr>
          <w:p>
            <w:pPr>
              <w:pStyle w:val="TableContents"/>
              <w:spacing w:before="0" w:after="283"/>
              <w:rPr/>
            </w:pPr>
            <w:r>
              <w:rPr/>
              <w:t xml:space="preserve">​ </w:t>
            </w:r>
          </w:p>
        </w:tc>
        <w:tc>
          <w:tcPr>
            <w:tcW w:w="618" w:type="dxa"/>
            <w:tcBorders>
              <w:bottom w:val="single" w:sz="8" w:space="0" w:color="000000"/>
            </w:tcBorders>
            <w:shd w:fill="FFFFFF" w:val="clear"/>
            <w:tcMar>
              <w:bottom w:w="28" w:type="dxa"/>
            </w:tcMar>
            <w:vAlign w:val="bottom"/>
          </w:tcPr>
          <w:p>
            <w:pPr>
              <w:pStyle w:val="TableContents"/>
              <w:spacing w:before="0" w:after="283"/>
              <w:jc w:val="right"/>
              <w:rPr/>
            </w:pPr>
            <w:r>
              <w:rPr/>
              <w:t xml:space="preserve">​ </w:t>
            </w:r>
          </w:p>
        </w:tc>
        <w:tc>
          <w:tcPr>
            <w:tcW w:w="100" w:type="dxa"/>
            <w:tcBorders/>
            <w:shd w:fill="FFFFFF" w:val="clear"/>
            <w:vAlign w:val="bottom"/>
          </w:tcPr>
          <w:p>
            <w:pPr>
              <w:pStyle w:val="TableContents"/>
              <w:spacing w:before="0" w:after="283"/>
              <w:rPr/>
            </w:pPr>
            <w:r>
              <w:rPr/>
              <w:t>​</w:t>
            </w:r>
          </w:p>
        </w:tc>
        <w:tc>
          <w:tcPr>
            <w:tcW w:w="106" w:type="dxa"/>
            <w:tcBorders>
              <w:bottom w:val="single" w:sz="8" w:space="0" w:color="000000"/>
            </w:tcBorders>
            <w:shd w:fill="FFFFFF" w:val="clear"/>
            <w:tcMar>
              <w:bottom w:w="28" w:type="dxa"/>
            </w:tcMar>
            <w:vAlign w:val="bottom"/>
          </w:tcPr>
          <w:p>
            <w:pPr>
              <w:pStyle w:val="TableContents"/>
              <w:spacing w:before="0" w:after="283"/>
              <w:rPr/>
            </w:pPr>
            <w:r>
              <w:rPr/>
              <w:t xml:space="preserve">​ </w:t>
            </w:r>
          </w:p>
        </w:tc>
        <w:tc>
          <w:tcPr>
            <w:tcW w:w="618" w:type="dxa"/>
            <w:tcBorders>
              <w:bottom w:val="single" w:sz="8" w:space="0" w:color="000000"/>
            </w:tcBorders>
            <w:shd w:fill="FFFFFF" w:val="clear"/>
            <w:tcMar>
              <w:bottom w:w="28" w:type="dxa"/>
            </w:tcMar>
            <w:vAlign w:val="bottom"/>
          </w:tcPr>
          <w:p>
            <w:pPr>
              <w:pStyle w:val="TableContents"/>
              <w:spacing w:before="0" w:after="283"/>
              <w:jc w:val="right"/>
              <w:rPr/>
            </w:pPr>
            <w:r>
              <w:rPr/>
              <w:t xml:space="preserve">​ </w:t>
            </w:r>
          </w:p>
        </w:tc>
        <w:tc>
          <w:tcPr>
            <w:tcW w:w="101" w:type="dxa"/>
            <w:tcBorders/>
            <w:shd w:fill="FFFFFF" w:val="clear"/>
            <w:vAlign w:val="bottom"/>
          </w:tcPr>
          <w:p>
            <w:pPr>
              <w:pStyle w:val="TableContents"/>
              <w:spacing w:before="0" w:after="283"/>
              <w:rPr/>
            </w:pPr>
            <w:r>
              <w:rPr/>
              <w:t>​</w:t>
            </w:r>
          </w:p>
        </w:tc>
        <w:tc>
          <w:tcPr>
            <w:tcW w:w="105" w:type="dxa"/>
            <w:tcBorders>
              <w:bottom w:val="single" w:sz="8" w:space="0" w:color="000000"/>
            </w:tcBorders>
            <w:shd w:fill="FFFFFF" w:val="clear"/>
            <w:tcMar>
              <w:bottom w:w="28" w:type="dxa"/>
            </w:tcMar>
            <w:vAlign w:val="bottom"/>
          </w:tcPr>
          <w:p>
            <w:pPr>
              <w:pStyle w:val="TableContents"/>
              <w:spacing w:before="0" w:after="283"/>
              <w:rPr/>
            </w:pPr>
            <w:r>
              <w:rPr/>
              <w:t xml:space="preserve">​ </w:t>
            </w:r>
          </w:p>
        </w:tc>
        <w:tc>
          <w:tcPr>
            <w:tcW w:w="619" w:type="dxa"/>
            <w:tcBorders>
              <w:bottom w:val="single" w:sz="8" w:space="0" w:color="000000"/>
            </w:tcBorders>
            <w:shd w:fill="FFFFFF" w:val="clear"/>
            <w:tcMar>
              <w:bottom w:w="28" w:type="dxa"/>
            </w:tcMar>
            <w:vAlign w:val="bottom"/>
          </w:tcPr>
          <w:p>
            <w:pPr>
              <w:pStyle w:val="TableContents"/>
              <w:spacing w:before="0" w:after="283"/>
              <w:jc w:val="right"/>
              <w:rPr/>
            </w:pPr>
            <w:r>
              <w:rPr/>
              <w:t xml:space="preserve">​ </w:t>
            </w:r>
          </w:p>
        </w:tc>
        <w:tc>
          <w:tcPr>
            <w:tcW w:w="100" w:type="dxa"/>
            <w:tcBorders/>
            <w:shd w:fill="FFFFFF" w:val="clear"/>
            <w:vAlign w:val="bottom"/>
          </w:tcPr>
          <w:p>
            <w:pPr>
              <w:pStyle w:val="TableContents"/>
              <w:spacing w:before="0" w:after="283"/>
              <w:rPr/>
            </w:pPr>
            <w:r>
              <w:rPr/>
              <w:t>​</w:t>
            </w:r>
          </w:p>
        </w:tc>
        <w:tc>
          <w:tcPr>
            <w:tcW w:w="106" w:type="dxa"/>
            <w:tcBorders>
              <w:bottom w:val="single" w:sz="8" w:space="0" w:color="000000"/>
            </w:tcBorders>
            <w:shd w:fill="FFFFFF" w:val="clear"/>
            <w:tcMar>
              <w:bottom w:w="28" w:type="dxa"/>
            </w:tcMar>
            <w:vAlign w:val="bottom"/>
          </w:tcPr>
          <w:p>
            <w:pPr>
              <w:pStyle w:val="TableContents"/>
              <w:spacing w:before="0" w:after="283"/>
              <w:rPr/>
            </w:pPr>
            <w:r>
              <w:rPr/>
              <w:t xml:space="preserve">​ </w:t>
            </w:r>
          </w:p>
        </w:tc>
        <w:tc>
          <w:tcPr>
            <w:tcW w:w="618" w:type="dxa"/>
            <w:tcBorders>
              <w:bottom w:val="single" w:sz="8" w:space="0" w:color="000000"/>
            </w:tcBorders>
            <w:shd w:fill="FFFFFF" w:val="clear"/>
            <w:tcMar>
              <w:bottom w:w="28" w:type="dxa"/>
            </w:tcMar>
            <w:vAlign w:val="bottom"/>
          </w:tcPr>
          <w:p>
            <w:pPr>
              <w:pStyle w:val="TableContents"/>
              <w:spacing w:before="0" w:after="283"/>
              <w:jc w:val="right"/>
              <w:rPr/>
            </w:pPr>
            <w:r>
              <w:rPr/>
              <w:t xml:space="preserve">​ </w:t>
            </w:r>
          </w:p>
        </w:tc>
        <w:tc>
          <w:tcPr>
            <w:tcW w:w="100" w:type="dxa"/>
            <w:tcBorders/>
            <w:shd w:fill="FFFFFF" w:val="clear"/>
            <w:vAlign w:val="bottom"/>
          </w:tcPr>
          <w:p>
            <w:pPr>
              <w:pStyle w:val="TableContents"/>
              <w:spacing w:before="0" w:after="283"/>
              <w:rPr/>
            </w:pPr>
            <w:r>
              <w:rPr/>
              <w:t>​</w:t>
            </w:r>
          </w:p>
        </w:tc>
        <w:tc>
          <w:tcPr>
            <w:tcW w:w="106" w:type="dxa"/>
            <w:tcBorders>
              <w:bottom w:val="single" w:sz="8" w:space="0" w:color="000000"/>
            </w:tcBorders>
            <w:shd w:fill="FFFFFF" w:val="clear"/>
            <w:tcMar>
              <w:bottom w:w="28" w:type="dxa"/>
            </w:tcMar>
            <w:vAlign w:val="bottom"/>
          </w:tcPr>
          <w:p>
            <w:pPr>
              <w:pStyle w:val="TableContents"/>
              <w:spacing w:before="0" w:after="283"/>
              <w:rPr/>
            </w:pPr>
            <w:r>
              <w:rPr/>
              <w:t xml:space="preserve">​ </w:t>
            </w:r>
          </w:p>
        </w:tc>
        <w:tc>
          <w:tcPr>
            <w:tcW w:w="619" w:type="dxa"/>
            <w:tcBorders>
              <w:bottom w:val="single" w:sz="8" w:space="0" w:color="000000"/>
            </w:tcBorders>
            <w:shd w:fill="FFFFFF" w:val="clear"/>
            <w:tcMar>
              <w:bottom w:w="28" w:type="dxa"/>
            </w:tcMar>
            <w:vAlign w:val="bottom"/>
          </w:tcPr>
          <w:p>
            <w:pPr>
              <w:pStyle w:val="TableContents"/>
              <w:spacing w:before="0" w:after="283"/>
              <w:jc w:val="right"/>
              <w:rPr/>
            </w:pPr>
            <w:r>
              <w:rPr/>
              <w:t xml:space="preserve">​ </w:t>
            </w:r>
          </w:p>
        </w:tc>
        <w:tc>
          <w:tcPr>
            <w:tcW w:w="100" w:type="dxa"/>
            <w:tcBorders/>
            <w:shd w:fill="FFFFFF" w:val="clear"/>
            <w:vAlign w:val="bottom"/>
          </w:tcPr>
          <w:p>
            <w:pPr>
              <w:pStyle w:val="TableContents"/>
              <w:spacing w:before="0" w:after="283"/>
              <w:rPr/>
            </w:pPr>
            <w:r>
              <w:rPr/>
              <w:t>​</w:t>
            </w:r>
          </w:p>
        </w:tc>
        <w:tc>
          <w:tcPr>
            <w:tcW w:w="105" w:type="dxa"/>
            <w:tcBorders>
              <w:bottom w:val="single" w:sz="8" w:space="0" w:color="000000"/>
            </w:tcBorders>
            <w:shd w:fill="FFFFFF" w:val="clear"/>
            <w:tcMar>
              <w:bottom w:w="28" w:type="dxa"/>
            </w:tcMar>
            <w:vAlign w:val="bottom"/>
          </w:tcPr>
          <w:p>
            <w:pPr>
              <w:pStyle w:val="TableContents"/>
              <w:spacing w:before="0" w:after="283"/>
              <w:rPr/>
            </w:pPr>
            <w:r>
              <w:rPr/>
              <w:t xml:space="preserve">​ </w:t>
            </w:r>
          </w:p>
        </w:tc>
        <w:tc>
          <w:tcPr>
            <w:tcW w:w="619" w:type="dxa"/>
            <w:tcBorders>
              <w:bottom w:val="single" w:sz="8" w:space="0" w:color="000000"/>
            </w:tcBorders>
            <w:shd w:fill="FFFFFF" w:val="clear"/>
            <w:tcMar>
              <w:bottom w:w="28" w:type="dxa"/>
            </w:tcMar>
            <w:vAlign w:val="bottom"/>
          </w:tcPr>
          <w:p>
            <w:pPr>
              <w:pStyle w:val="TableContents"/>
              <w:spacing w:before="0" w:after="283"/>
              <w:jc w:val="right"/>
              <w:rPr/>
            </w:pPr>
            <w:r>
              <w:rPr/>
              <w:t xml:space="preserve">​ </w:t>
            </w:r>
          </w:p>
        </w:tc>
        <w:tc>
          <w:tcPr>
            <w:tcW w:w="100" w:type="dxa"/>
            <w:tcBorders/>
            <w:shd w:fill="FFFFFF" w:val="clear"/>
            <w:vAlign w:val="bottom"/>
          </w:tcPr>
          <w:p>
            <w:pPr>
              <w:pStyle w:val="TableContents"/>
              <w:spacing w:before="0" w:after="283"/>
              <w:rPr/>
            </w:pPr>
            <w:r>
              <w:rPr/>
              <w:t>​</w:t>
            </w:r>
          </w:p>
        </w:tc>
        <w:tc>
          <w:tcPr>
            <w:tcW w:w="106" w:type="dxa"/>
            <w:tcBorders>
              <w:bottom w:val="single" w:sz="8" w:space="0" w:color="000000"/>
            </w:tcBorders>
            <w:shd w:fill="FFFFFF" w:val="clear"/>
            <w:tcMar>
              <w:bottom w:w="28" w:type="dxa"/>
            </w:tcMar>
            <w:vAlign w:val="bottom"/>
          </w:tcPr>
          <w:p>
            <w:pPr>
              <w:pStyle w:val="TableContents"/>
              <w:spacing w:before="0" w:after="283"/>
              <w:rPr/>
            </w:pPr>
            <w:r>
              <w:rPr/>
              <w:t xml:space="preserve">​ </w:t>
            </w:r>
          </w:p>
        </w:tc>
        <w:tc>
          <w:tcPr>
            <w:tcW w:w="618" w:type="dxa"/>
            <w:tcBorders>
              <w:bottom w:val="single" w:sz="8" w:space="0" w:color="000000"/>
            </w:tcBorders>
            <w:shd w:fill="FFFFFF" w:val="clear"/>
            <w:tcMar>
              <w:bottom w:w="28" w:type="dxa"/>
            </w:tcMar>
            <w:vAlign w:val="bottom"/>
          </w:tcPr>
          <w:p>
            <w:pPr>
              <w:pStyle w:val="TableContents"/>
              <w:spacing w:before="0" w:after="283"/>
              <w:jc w:val="right"/>
              <w:rPr/>
            </w:pPr>
            <w:r>
              <w:rPr/>
              <w:t xml:space="preserve">​ </w:t>
            </w:r>
          </w:p>
        </w:tc>
        <w:tc>
          <w:tcPr>
            <w:tcW w:w="100" w:type="dxa"/>
            <w:tcBorders/>
            <w:shd w:fill="FFFFFF" w:val="clear"/>
            <w:vAlign w:val="bottom"/>
          </w:tcPr>
          <w:p>
            <w:pPr>
              <w:pStyle w:val="TableContents"/>
              <w:spacing w:before="0" w:after="283"/>
              <w:rPr/>
            </w:pPr>
            <w:r>
              <w:rPr/>
              <w:t>​</w:t>
            </w:r>
          </w:p>
        </w:tc>
        <w:tc>
          <w:tcPr>
            <w:tcW w:w="106" w:type="dxa"/>
            <w:tcBorders>
              <w:bottom w:val="single" w:sz="8" w:space="0" w:color="000000"/>
            </w:tcBorders>
            <w:shd w:fill="FFFFFF" w:val="clear"/>
            <w:tcMar>
              <w:bottom w:w="28" w:type="dxa"/>
            </w:tcMar>
            <w:vAlign w:val="bottom"/>
          </w:tcPr>
          <w:p>
            <w:pPr>
              <w:pStyle w:val="TableContents"/>
              <w:spacing w:before="0" w:after="283"/>
              <w:rPr/>
            </w:pPr>
            <w:r>
              <w:rPr/>
              <w:t xml:space="preserve">​ </w:t>
            </w:r>
          </w:p>
        </w:tc>
        <w:tc>
          <w:tcPr>
            <w:tcW w:w="619" w:type="dxa"/>
            <w:tcBorders>
              <w:bottom w:val="single" w:sz="8" w:space="0" w:color="000000"/>
            </w:tcBorders>
            <w:shd w:fill="FFFFFF" w:val="clear"/>
            <w:tcMar>
              <w:bottom w:w="28" w:type="dxa"/>
            </w:tcMar>
            <w:vAlign w:val="bottom"/>
          </w:tcPr>
          <w:p>
            <w:pPr>
              <w:pStyle w:val="TableContents"/>
              <w:spacing w:before="0" w:after="283"/>
              <w:jc w:val="right"/>
              <w:rPr/>
            </w:pPr>
            <w:r>
              <w:rPr/>
              <w:t xml:space="preserve">​ </w:t>
            </w:r>
          </w:p>
        </w:tc>
        <w:tc>
          <w:tcPr>
            <w:tcW w:w="100" w:type="dxa"/>
            <w:tcBorders/>
            <w:shd w:fill="FFFFFF" w:val="clear"/>
            <w:vAlign w:val="bottom"/>
          </w:tcPr>
          <w:p>
            <w:pPr>
              <w:pStyle w:val="TableContents"/>
              <w:spacing w:before="0" w:after="283"/>
              <w:rPr/>
            </w:pPr>
            <w:r>
              <w:rPr/>
              <w:t>​</w:t>
            </w:r>
          </w:p>
        </w:tc>
        <w:tc>
          <w:tcPr>
            <w:tcW w:w="106" w:type="dxa"/>
            <w:tcBorders>
              <w:bottom w:val="single" w:sz="8" w:space="0" w:color="000000"/>
            </w:tcBorders>
            <w:shd w:fill="FFFFFF" w:val="clear"/>
            <w:tcMar>
              <w:bottom w:w="28" w:type="dxa"/>
            </w:tcMar>
            <w:vAlign w:val="bottom"/>
          </w:tcPr>
          <w:p>
            <w:pPr>
              <w:pStyle w:val="TableContents"/>
              <w:spacing w:before="0" w:after="283"/>
              <w:rPr/>
            </w:pPr>
            <w:r>
              <w:rPr/>
              <w:t xml:space="preserve">​ </w:t>
            </w:r>
          </w:p>
        </w:tc>
        <w:tc>
          <w:tcPr>
            <w:tcW w:w="618" w:type="dxa"/>
            <w:tcBorders>
              <w:bottom w:val="single" w:sz="8" w:space="0" w:color="000000"/>
            </w:tcBorders>
            <w:shd w:fill="FFFFFF" w:val="clear"/>
            <w:tcMar>
              <w:bottom w:w="28" w:type="dxa"/>
            </w:tcMar>
            <w:vAlign w:val="bottom"/>
          </w:tcPr>
          <w:p>
            <w:pPr>
              <w:pStyle w:val="TableContents"/>
              <w:spacing w:before="0" w:after="283"/>
              <w:jc w:val="right"/>
              <w:rPr/>
            </w:pPr>
            <w:r>
              <w:rPr/>
              <w:t xml:space="preserve">​ </w:t>
            </w:r>
          </w:p>
        </w:tc>
        <w:tc>
          <w:tcPr>
            <w:tcW w:w="201" w:type="dxa"/>
            <w:tcBorders/>
            <w:shd w:fill="FFFFFF" w:val="clear"/>
            <w:vAlign w:val="bottom"/>
          </w:tcPr>
          <w:p>
            <w:pPr>
              <w:pStyle w:val="TableContents"/>
              <w:spacing w:before="0" w:after="283"/>
              <w:rPr/>
            </w:pPr>
            <w:r>
              <w:rPr/>
              <w:t>​</w:t>
            </w:r>
          </w:p>
        </w:tc>
      </w:tr>
      <w:tr>
        <w:trPr/>
        <w:tc>
          <w:tcPr>
            <w:tcW w:w="1760" w:type="dxa"/>
            <w:tcBorders/>
            <w:shd w:fill="auto" w:val="clear"/>
            <w:vAlign w:val="bottom"/>
          </w:tcPr>
          <w:p>
            <w:pPr>
              <w:pStyle w:val="TableContents"/>
              <w:spacing w:before="0" w:after="283"/>
              <w:ind w:left="140" w:right="0" w:hanging="140"/>
              <w:rPr>
                <w:rFonts w:ascii="times" w:hAnsi="times"/>
                <w:b/>
                <w:sz w:val="14"/>
              </w:rPr>
            </w:pPr>
            <w:r>
              <w:rPr>
                <w:rFonts w:ascii="times" w:hAnsi="times"/>
                <w:b/>
                <w:sz w:val="14"/>
              </w:rPr>
              <w:t>Adjusted EBITDA</w:t>
            </w:r>
          </w:p>
        </w:tc>
        <w:tc>
          <w:tcPr>
            <w:tcW w:w="101" w:type="dxa"/>
            <w:tcBorders/>
            <w:shd w:fill="auto" w:val="clear"/>
            <w:vAlign w:val="bottom"/>
          </w:tcPr>
          <w:p>
            <w:pPr>
              <w:pStyle w:val="TableContents"/>
              <w:spacing w:before="0" w:after="283"/>
              <w:rPr/>
            </w:pPr>
            <w:r>
              <w:rPr/>
              <w:t> </w:t>
            </w:r>
          </w:p>
        </w:tc>
        <w:tc>
          <w:tcPr>
            <w:tcW w:w="105" w:type="dxa"/>
            <w:tcBorders/>
            <w:shd w:fill="auto" w:val="clear"/>
            <w:vAlign w:val="bottom"/>
          </w:tcPr>
          <w:p>
            <w:pPr>
              <w:pStyle w:val="TableContents"/>
              <w:spacing w:before="0" w:after="283"/>
              <w:rPr>
                <w:rFonts w:ascii="times" w:hAnsi="times"/>
                <w:b/>
                <w:sz w:val="14"/>
              </w:rPr>
            </w:pPr>
            <w:r>
              <w:rPr>
                <w:rFonts w:ascii="times" w:hAnsi="times"/>
                <w:b/>
                <w:sz w:val="14"/>
              </w:rPr>
              <w:t>$</w:t>
            </w:r>
          </w:p>
        </w:tc>
        <w:tc>
          <w:tcPr>
            <w:tcW w:w="619" w:type="dxa"/>
            <w:tcBorders/>
            <w:shd w:fill="auto" w:val="clear"/>
            <w:vAlign w:val="bottom"/>
          </w:tcPr>
          <w:p>
            <w:pPr>
              <w:pStyle w:val="TableContents"/>
              <w:spacing w:before="0" w:after="283"/>
              <w:jc w:val="right"/>
              <w:rPr>
                <w:rFonts w:ascii="times" w:hAnsi="times"/>
                <w:b/>
                <w:sz w:val="14"/>
              </w:rPr>
            </w:pPr>
            <w:r>
              <w:rPr>
                <w:rFonts w:ascii="times" w:hAnsi="times"/>
                <w:b/>
                <w:sz w:val="14"/>
              </w:rPr>
              <w:t>249,275</w:t>
            </w:r>
          </w:p>
        </w:tc>
        <w:tc>
          <w:tcPr>
            <w:tcW w:w="100" w:type="dxa"/>
            <w:tcBorders/>
            <w:shd w:fill="auto" w:val="clear"/>
            <w:vAlign w:val="bottom"/>
          </w:tcPr>
          <w:p>
            <w:pPr>
              <w:pStyle w:val="TableContents"/>
              <w:spacing w:before="0" w:after="283"/>
              <w:rPr/>
            </w:pPr>
            <w:r>
              <w:rPr/>
              <w:t> </w:t>
            </w:r>
          </w:p>
        </w:tc>
        <w:tc>
          <w:tcPr>
            <w:tcW w:w="106" w:type="dxa"/>
            <w:tcBorders/>
            <w:shd w:fill="auto" w:val="clear"/>
            <w:vAlign w:val="bottom"/>
          </w:tcPr>
          <w:p>
            <w:pPr>
              <w:pStyle w:val="TableContents"/>
              <w:spacing w:before="0" w:after="283"/>
              <w:rPr>
                <w:rFonts w:ascii="times" w:hAnsi="times"/>
                <w:b/>
                <w:sz w:val="14"/>
              </w:rPr>
            </w:pPr>
            <w:r>
              <w:rPr>
                <w:rFonts w:ascii="times" w:hAnsi="times"/>
                <w:b/>
                <w:sz w:val="14"/>
              </w:rPr>
              <w:t>$</w:t>
            </w:r>
          </w:p>
        </w:tc>
        <w:tc>
          <w:tcPr>
            <w:tcW w:w="618" w:type="dxa"/>
            <w:tcBorders/>
            <w:shd w:fill="auto" w:val="clear"/>
            <w:vAlign w:val="bottom"/>
          </w:tcPr>
          <w:p>
            <w:pPr>
              <w:pStyle w:val="TableContents"/>
              <w:spacing w:before="0" w:after="283"/>
              <w:jc w:val="right"/>
              <w:rPr>
                <w:rFonts w:ascii="times" w:hAnsi="times"/>
                <w:b/>
                <w:sz w:val="14"/>
              </w:rPr>
            </w:pPr>
            <w:r>
              <w:rPr>
                <w:rFonts w:ascii="times" w:hAnsi="times"/>
                <w:b/>
                <w:sz w:val="14"/>
              </w:rPr>
              <w:t>304,782</w:t>
            </w:r>
          </w:p>
        </w:tc>
        <w:tc>
          <w:tcPr>
            <w:tcW w:w="100" w:type="dxa"/>
            <w:tcBorders/>
            <w:shd w:fill="auto" w:val="clear"/>
            <w:vAlign w:val="bottom"/>
          </w:tcPr>
          <w:p>
            <w:pPr>
              <w:pStyle w:val="TableContents"/>
              <w:spacing w:before="0" w:after="283"/>
              <w:rPr/>
            </w:pPr>
            <w:r>
              <w:rPr/>
              <w:t> </w:t>
            </w:r>
          </w:p>
        </w:tc>
        <w:tc>
          <w:tcPr>
            <w:tcW w:w="106" w:type="dxa"/>
            <w:tcBorders/>
            <w:shd w:fill="auto" w:val="clear"/>
            <w:vAlign w:val="bottom"/>
          </w:tcPr>
          <w:p>
            <w:pPr>
              <w:pStyle w:val="TableContents"/>
              <w:spacing w:before="0" w:after="283"/>
              <w:rPr>
                <w:rFonts w:ascii="times" w:hAnsi="times"/>
                <w:b/>
                <w:sz w:val="14"/>
              </w:rPr>
            </w:pPr>
            <w:r>
              <w:rPr>
                <w:rFonts w:ascii="times" w:hAnsi="times"/>
                <w:b/>
                <w:sz w:val="14"/>
              </w:rPr>
              <w:t>$</w:t>
            </w:r>
          </w:p>
        </w:tc>
        <w:tc>
          <w:tcPr>
            <w:tcW w:w="618" w:type="dxa"/>
            <w:tcBorders/>
            <w:shd w:fill="auto" w:val="clear"/>
            <w:vAlign w:val="bottom"/>
          </w:tcPr>
          <w:p>
            <w:pPr>
              <w:pStyle w:val="TableContents"/>
              <w:spacing w:before="0" w:after="283"/>
              <w:jc w:val="right"/>
              <w:rPr>
                <w:rFonts w:ascii="times" w:hAnsi="times"/>
                <w:b/>
                <w:sz w:val="14"/>
              </w:rPr>
            </w:pPr>
            <w:r>
              <w:rPr>
                <w:rFonts w:ascii="times" w:hAnsi="times"/>
                <w:b/>
                <w:sz w:val="14"/>
              </w:rPr>
              <w:t>285,944</w:t>
            </w:r>
          </w:p>
        </w:tc>
        <w:tc>
          <w:tcPr>
            <w:tcW w:w="101" w:type="dxa"/>
            <w:tcBorders/>
            <w:shd w:fill="auto" w:val="clear"/>
            <w:vAlign w:val="bottom"/>
          </w:tcPr>
          <w:p>
            <w:pPr>
              <w:pStyle w:val="TableContents"/>
              <w:spacing w:before="0" w:after="283"/>
              <w:rPr/>
            </w:pPr>
            <w:r>
              <w:rPr/>
              <w:t> </w:t>
            </w:r>
          </w:p>
        </w:tc>
        <w:tc>
          <w:tcPr>
            <w:tcW w:w="105" w:type="dxa"/>
            <w:tcBorders/>
            <w:shd w:fill="auto" w:val="clear"/>
            <w:vAlign w:val="bottom"/>
          </w:tcPr>
          <w:p>
            <w:pPr>
              <w:pStyle w:val="TableContents"/>
              <w:spacing w:before="0" w:after="283"/>
              <w:rPr>
                <w:rFonts w:ascii="times" w:hAnsi="times"/>
                <w:b/>
                <w:sz w:val="14"/>
              </w:rPr>
            </w:pPr>
            <w:r>
              <w:rPr>
                <w:rFonts w:ascii="times" w:hAnsi="times"/>
                <w:b/>
                <w:sz w:val="14"/>
              </w:rPr>
              <w:t>$</w:t>
            </w:r>
          </w:p>
        </w:tc>
        <w:tc>
          <w:tcPr>
            <w:tcW w:w="619" w:type="dxa"/>
            <w:tcBorders/>
            <w:shd w:fill="auto" w:val="clear"/>
            <w:vAlign w:val="bottom"/>
          </w:tcPr>
          <w:p>
            <w:pPr>
              <w:pStyle w:val="TableContents"/>
              <w:spacing w:before="0" w:after="283"/>
              <w:jc w:val="right"/>
              <w:rPr>
                <w:rFonts w:ascii="times" w:hAnsi="times"/>
                <w:b/>
                <w:sz w:val="14"/>
              </w:rPr>
            </w:pPr>
            <w:r>
              <w:rPr>
                <w:rFonts w:ascii="times" w:hAnsi="times"/>
                <w:b/>
                <w:sz w:val="14"/>
              </w:rPr>
              <w:t>276,294</w:t>
            </w:r>
          </w:p>
        </w:tc>
        <w:tc>
          <w:tcPr>
            <w:tcW w:w="100" w:type="dxa"/>
            <w:tcBorders/>
            <w:shd w:fill="auto" w:val="clear"/>
            <w:vAlign w:val="bottom"/>
          </w:tcPr>
          <w:p>
            <w:pPr>
              <w:pStyle w:val="TableContents"/>
              <w:spacing w:before="0" w:after="283"/>
              <w:rPr/>
            </w:pPr>
            <w:r>
              <w:rPr/>
              <w:t> </w:t>
            </w:r>
          </w:p>
        </w:tc>
        <w:tc>
          <w:tcPr>
            <w:tcW w:w="106" w:type="dxa"/>
            <w:tcBorders/>
            <w:shd w:fill="auto" w:val="clear"/>
            <w:vAlign w:val="bottom"/>
          </w:tcPr>
          <w:p>
            <w:pPr>
              <w:pStyle w:val="TableContents"/>
              <w:spacing w:before="0" w:after="283"/>
              <w:rPr>
                <w:rFonts w:ascii="times" w:hAnsi="times"/>
                <w:b/>
                <w:sz w:val="14"/>
              </w:rPr>
            </w:pPr>
            <w:r>
              <w:rPr>
                <w:rFonts w:ascii="times" w:hAnsi="times"/>
                <w:b/>
                <w:sz w:val="14"/>
              </w:rPr>
              <w:t>$</w:t>
            </w:r>
          </w:p>
        </w:tc>
        <w:tc>
          <w:tcPr>
            <w:tcW w:w="618" w:type="dxa"/>
            <w:tcBorders/>
            <w:shd w:fill="auto" w:val="clear"/>
            <w:vAlign w:val="bottom"/>
          </w:tcPr>
          <w:p>
            <w:pPr>
              <w:pStyle w:val="TableContents"/>
              <w:spacing w:before="0" w:after="283"/>
              <w:jc w:val="right"/>
              <w:rPr>
                <w:rFonts w:ascii="times" w:hAnsi="times"/>
                <w:b/>
                <w:sz w:val="14"/>
              </w:rPr>
            </w:pPr>
            <w:r>
              <w:rPr>
                <w:rFonts w:ascii="times" w:hAnsi="times"/>
                <w:b/>
                <w:sz w:val="14"/>
              </w:rPr>
              <w:t>230,635</w:t>
            </w:r>
          </w:p>
        </w:tc>
        <w:tc>
          <w:tcPr>
            <w:tcW w:w="100" w:type="dxa"/>
            <w:tcBorders/>
            <w:shd w:fill="auto" w:val="clear"/>
            <w:vAlign w:val="bottom"/>
          </w:tcPr>
          <w:p>
            <w:pPr>
              <w:pStyle w:val="TableContents"/>
              <w:spacing w:before="0" w:after="283"/>
              <w:rPr/>
            </w:pPr>
            <w:r>
              <w:rPr/>
              <w:t> </w:t>
            </w:r>
          </w:p>
        </w:tc>
        <w:tc>
          <w:tcPr>
            <w:tcW w:w="106" w:type="dxa"/>
            <w:tcBorders/>
            <w:shd w:fill="auto" w:val="clear"/>
            <w:vAlign w:val="bottom"/>
          </w:tcPr>
          <w:p>
            <w:pPr>
              <w:pStyle w:val="TableContents"/>
              <w:spacing w:before="0" w:after="283"/>
              <w:rPr>
                <w:rFonts w:ascii="times" w:hAnsi="times"/>
                <w:b/>
                <w:sz w:val="14"/>
              </w:rPr>
            </w:pPr>
            <w:r>
              <w:rPr>
                <w:rFonts w:ascii="times" w:hAnsi="times"/>
                <w:b/>
                <w:sz w:val="14"/>
              </w:rPr>
              <w:t>$</w:t>
            </w:r>
          </w:p>
        </w:tc>
        <w:tc>
          <w:tcPr>
            <w:tcW w:w="619" w:type="dxa"/>
            <w:tcBorders/>
            <w:shd w:fill="auto" w:val="clear"/>
            <w:vAlign w:val="bottom"/>
          </w:tcPr>
          <w:p>
            <w:pPr>
              <w:pStyle w:val="TableContents"/>
              <w:spacing w:before="0" w:after="283"/>
              <w:jc w:val="right"/>
              <w:rPr>
                <w:rFonts w:ascii="times" w:hAnsi="times"/>
                <w:b/>
                <w:sz w:val="14"/>
              </w:rPr>
            </w:pPr>
            <w:r>
              <w:rPr>
                <w:rFonts w:ascii="times" w:hAnsi="times"/>
                <w:b/>
                <w:sz w:val="14"/>
              </w:rPr>
              <w:t>148,885</w:t>
            </w:r>
          </w:p>
        </w:tc>
        <w:tc>
          <w:tcPr>
            <w:tcW w:w="100" w:type="dxa"/>
            <w:tcBorders/>
            <w:shd w:fill="auto" w:val="clear"/>
            <w:vAlign w:val="bottom"/>
          </w:tcPr>
          <w:p>
            <w:pPr>
              <w:pStyle w:val="TableContents"/>
              <w:spacing w:before="0" w:after="283"/>
              <w:rPr/>
            </w:pPr>
            <w:r>
              <w:rPr/>
              <w:t> </w:t>
            </w:r>
          </w:p>
        </w:tc>
        <w:tc>
          <w:tcPr>
            <w:tcW w:w="105" w:type="dxa"/>
            <w:tcBorders/>
            <w:shd w:fill="auto" w:val="clear"/>
            <w:vAlign w:val="bottom"/>
          </w:tcPr>
          <w:p>
            <w:pPr>
              <w:pStyle w:val="TableContents"/>
              <w:spacing w:before="0" w:after="283"/>
              <w:rPr>
                <w:rFonts w:ascii="times" w:hAnsi="times"/>
                <w:b/>
                <w:sz w:val="14"/>
              </w:rPr>
            </w:pPr>
            <w:r>
              <w:rPr>
                <w:rFonts w:ascii="times" w:hAnsi="times"/>
                <w:b/>
                <w:sz w:val="14"/>
              </w:rPr>
              <w:t>$</w:t>
            </w:r>
          </w:p>
        </w:tc>
        <w:tc>
          <w:tcPr>
            <w:tcW w:w="619" w:type="dxa"/>
            <w:tcBorders/>
            <w:shd w:fill="auto" w:val="clear"/>
            <w:vAlign w:val="bottom"/>
          </w:tcPr>
          <w:p>
            <w:pPr>
              <w:pStyle w:val="TableContents"/>
              <w:spacing w:before="0" w:after="283"/>
              <w:jc w:val="right"/>
              <w:rPr>
                <w:rFonts w:ascii="times" w:hAnsi="times"/>
                <w:b/>
                <w:sz w:val="14"/>
              </w:rPr>
            </w:pPr>
            <w:r>
              <w:rPr>
                <w:rFonts w:ascii="times" w:hAnsi="times"/>
                <w:b/>
                <w:sz w:val="14"/>
              </w:rPr>
              <w:t>196,133</w:t>
            </w:r>
          </w:p>
        </w:tc>
        <w:tc>
          <w:tcPr>
            <w:tcW w:w="100" w:type="dxa"/>
            <w:tcBorders/>
            <w:shd w:fill="auto" w:val="clear"/>
            <w:vAlign w:val="bottom"/>
          </w:tcPr>
          <w:p>
            <w:pPr>
              <w:pStyle w:val="TableContents"/>
              <w:spacing w:before="0" w:after="283"/>
              <w:rPr/>
            </w:pPr>
            <w:r>
              <w:rPr/>
              <w:t> </w:t>
            </w:r>
          </w:p>
        </w:tc>
        <w:tc>
          <w:tcPr>
            <w:tcW w:w="106" w:type="dxa"/>
            <w:tcBorders/>
            <w:shd w:fill="auto" w:val="clear"/>
            <w:vAlign w:val="bottom"/>
          </w:tcPr>
          <w:p>
            <w:pPr>
              <w:pStyle w:val="TableContents"/>
              <w:spacing w:before="0" w:after="283"/>
              <w:rPr>
                <w:rFonts w:ascii="times" w:hAnsi="times"/>
                <w:b/>
                <w:sz w:val="14"/>
              </w:rPr>
            </w:pPr>
            <w:r>
              <w:rPr>
                <w:rFonts w:ascii="times" w:hAnsi="times"/>
                <w:b/>
                <w:sz w:val="14"/>
              </w:rPr>
              <w:t>$</w:t>
            </w:r>
          </w:p>
        </w:tc>
        <w:tc>
          <w:tcPr>
            <w:tcW w:w="618" w:type="dxa"/>
            <w:tcBorders/>
            <w:shd w:fill="auto" w:val="clear"/>
            <w:vAlign w:val="bottom"/>
          </w:tcPr>
          <w:p>
            <w:pPr>
              <w:pStyle w:val="TableContents"/>
              <w:spacing w:before="0" w:after="283"/>
              <w:jc w:val="right"/>
              <w:rPr>
                <w:rFonts w:ascii="times" w:hAnsi="times"/>
                <w:b/>
                <w:sz w:val="14"/>
              </w:rPr>
            </w:pPr>
            <w:r>
              <w:rPr>
                <w:rFonts w:ascii="times" w:hAnsi="times"/>
                <w:b/>
                <w:sz w:val="14"/>
              </w:rPr>
              <w:t>233,656</w:t>
            </w:r>
          </w:p>
        </w:tc>
        <w:tc>
          <w:tcPr>
            <w:tcW w:w="100" w:type="dxa"/>
            <w:tcBorders/>
            <w:shd w:fill="auto" w:val="clear"/>
            <w:vAlign w:val="bottom"/>
          </w:tcPr>
          <w:p>
            <w:pPr>
              <w:pStyle w:val="TableContents"/>
              <w:spacing w:before="0" w:after="283"/>
              <w:rPr/>
            </w:pPr>
            <w:r>
              <w:rPr/>
              <w:t> </w:t>
            </w:r>
          </w:p>
        </w:tc>
        <w:tc>
          <w:tcPr>
            <w:tcW w:w="106" w:type="dxa"/>
            <w:tcBorders/>
            <w:shd w:fill="auto" w:val="clear"/>
            <w:vAlign w:val="bottom"/>
          </w:tcPr>
          <w:p>
            <w:pPr>
              <w:pStyle w:val="TableContents"/>
              <w:spacing w:before="0" w:after="283"/>
              <w:rPr>
                <w:rFonts w:ascii="times" w:hAnsi="times"/>
                <w:b/>
                <w:sz w:val="14"/>
              </w:rPr>
            </w:pPr>
            <w:r>
              <w:rPr>
                <w:rFonts w:ascii="times" w:hAnsi="times"/>
                <w:b/>
                <w:sz w:val="14"/>
              </w:rPr>
              <w:t>$</w:t>
            </w:r>
          </w:p>
        </w:tc>
        <w:tc>
          <w:tcPr>
            <w:tcW w:w="619" w:type="dxa"/>
            <w:tcBorders/>
            <w:shd w:fill="auto" w:val="clear"/>
            <w:vAlign w:val="bottom"/>
          </w:tcPr>
          <w:p>
            <w:pPr>
              <w:pStyle w:val="TableContents"/>
              <w:spacing w:before="0" w:after="283"/>
              <w:jc w:val="right"/>
              <w:rPr>
                <w:rFonts w:ascii="times" w:hAnsi="times"/>
                <w:b/>
                <w:sz w:val="14"/>
              </w:rPr>
            </w:pPr>
            <w:r>
              <w:rPr>
                <w:rFonts w:ascii="times" w:hAnsi="times"/>
                <w:b/>
                <w:sz w:val="14"/>
              </w:rPr>
              <w:t>270,438</w:t>
            </w:r>
          </w:p>
        </w:tc>
        <w:tc>
          <w:tcPr>
            <w:tcW w:w="100" w:type="dxa"/>
            <w:tcBorders/>
            <w:shd w:fill="auto" w:val="clear"/>
            <w:vAlign w:val="bottom"/>
          </w:tcPr>
          <w:p>
            <w:pPr>
              <w:pStyle w:val="TableContents"/>
              <w:spacing w:before="0" w:after="283"/>
              <w:rPr/>
            </w:pPr>
            <w:r>
              <w:rPr/>
              <w:t> </w:t>
            </w:r>
          </w:p>
        </w:tc>
        <w:tc>
          <w:tcPr>
            <w:tcW w:w="106" w:type="dxa"/>
            <w:tcBorders/>
            <w:shd w:fill="auto" w:val="clear"/>
            <w:vAlign w:val="bottom"/>
          </w:tcPr>
          <w:p>
            <w:pPr>
              <w:pStyle w:val="TableContents"/>
              <w:spacing w:before="0" w:after="283"/>
              <w:rPr>
                <w:rFonts w:ascii="times" w:hAnsi="times"/>
                <w:b/>
                <w:sz w:val="14"/>
              </w:rPr>
            </w:pPr>
            <w:r>
              <w:rPr>
                <w:rFonts w:ascii="times" w:hAnsi="times"/>
                <w:b/>
                <w:sz w:val="14"/>
              </w:rPr>
              <w:t>$</w:t>
            </w:r>
          </w:p>
        </w:tc>
        <w:tc>
          <w:tcPr>
            <w:tcW w:w="618" w:type="dxa"/>
            <w:tcBorders/>
            <w:shd w:fill="auto" w:val="clear"/>
            <w:vAlign w:val="bottom"/>
          </w:tcPr>
          <w:p>
            <w:pPr>
              <w:pStyle w:val="TableContents"/>
              <w:spacing w:before="0" w:after="283"/>
              <w:jc w:val="right"/>
              <w:rPr>
                <w:rFonts w:ascii="times" w:hAnsi="times"/>
                <w:b/>
                <w:sz w:val="14"/>
              </w:rPr>
            </w:pPr>
            <w:r>
              <w:rPr>
                <w:rFonts w:ascii="times" w:hAnsi="times"/>
                <w:b/>
                <w:sz w:val="14"/>
              </w:rPr>
              <w:t>230,635</w:t>
            </w:r>
          </w:p>
        </w:tc>
        <w:tc>
          <w:tcPr>
            <w:tcW w:w="201" w:type="dxa"/>
            <w:tcBorders/>
            <w:shd w:fill="auto" w:val="clear"/>
            <w:vAlign w:val="bottom"/>
          </w:tcPr>
          <w:p>
            <w:pPr>
              <w:pStyle w:val="TableContents"/>
              <w:spacing w:before="0" w:after="283"/>
              <w:rPr/>
            </w:pPr>
            <w:r>
              <w:rPr/>
              <w:t> </w:t>
            </w:r>
          </w:p>
        </w:tc>
      </w:tr>
      <w:tr>
        <w:trPr/>
        <w:tc>
          <w:tcPr>
            <w:tcW w:w="1760" w:type="dxa"/>
            <w:tcBorders/>
            <w:shd w:fill="FFFFFF" w:val="clear"/>
            <w:vAlign w:val="bottom"/>
          </w:tcPr>
          <w:p>
            <w:pPr>
              <w:pStyle w:val="TableContents"/>
              <w:spacing w:before="0" w:after="283"/>
              <w:rPr/>
            </w:pPr>
            <w:r>
              <w:rPr/>
              <w:t>​</w:t>
            </w:r>
          </w:p>
        </w:tc>
        <w:tc>
          <w:tcPr>
            <w:tcW w:w="101" w:type="dxa"/>
            <w:tcBorders/>
            <w:shd w:fill="FFFFFF" w:val="clear"/>
            <w:vAlign w:val="bottom"/>
          </w:tcPr>
          <w:p>
            <w:pPr>
              <w:pStyle w:val="TableContents"/>
              <w:spacing w:before="0" w:after="283"/>
              <w:rPr/>
            </w:pPr>
            <w:r>
              <w:rPr/>
              <w:t>​</w:t>
            </w:r>
          </w:p>
        </w:tc>
        <w:tc>
          <w:tcPr>
            <w:tcW w:w="105" w:type="dxa"/>
            <w:tcBorders>
              <w:bottom w:val="single" w:sz="8" w:space="0" w:color="000000"/>
            </w:tcBorders>
            <w:shd w:fill="FFFFFF" w:val="clear"/>
            <w:tcMar>
              <w:bottom w:w="28" w:type="dxa"/>
            </w:tcMar>
            <w:vAlign w:val="bottom"/>
          </w:tcPr>
          <w:p>
            <w:pPr>
              <w:pStyle w:val="TableContents"/>
              <w:spacing w:before="0" w:after="283"/>
              <w:rPr/>
            </w:pPr>
            <w:r>
              <w:rPr/>
              <w:t xml:space="preserve">​ </w:t>
            </w:r>
          </w:p>
        </w:tc>
        <w:tc>
          <w:tcPr>
            <w:tcW w:w="619" w:type="dxa"/>
            <w:tcBorders>
              <w:bottom w:val="single" w:sz="8" w:space="0" w:color="000000"/>
            </w:tcBorders>
            <w:shd w:fill="FFFFFF" w:val="clear"/>
            <w:tcMar>
              <w:bottom w:w="28" w:type="dxa"/>
            </w:tcMar>
            <w:vAlign w:val="bottom"/>
          </w:tcPr>
          <w:p>
            <w:pPr>
              <w:pStyle w:val="TableContents"/>
              <w:spacing w:before="0" w:after="283"/>
              <w:jc w:val="right"/>
              <w:rPr/>
            </w:pPr>
            <w:r>
              <w:rPr/>
              <w:t xml:space="preserve">​ </w:t>
            </w:r>
          </w:p>
        </w:tc>
        <w:tc>
          <w:tcPr>
            <w:tcW w:w="100" w:type="dxa"/>
            <w:tcBorders/>
            <w:shd w:fill="FFFFFF" w:val="clear"/>
            <w:vAlign w:val="bottom"/>
          </w:tcPr>
          <w:p>
            <w:pPr>
              <w:pStyle w:val="TableContents"/>
              <w:spacing w:before="0" w:after="283"/>
              <w:rPr/>
            </w:pPr>
            <w:r>
              <w:rPr/>
              <w:t>​</w:t>
            </w:r>
          </w:p>
        </w:tc>
        <w:tc>
          <w:tcPr>
            <w:tcW w:w="106" w:type="dxa"/>
            <w:tcBorders>
              <w:bottom w:val="single" w:sz="8" w:space="0" w:color="000000"/>
            </w:tcBorders>
            <w:shd w:fill="FFFFFF" w:val="clear"/>
            <w:tcMar>
              <w:bottom w:w="28" w:type="dxa"/>
            </w:tcMar>
            <w:vAlign w:val="bottom"/>
          </w:tcPr>
          <w:p>
            <w:pPr>
              <w:pStyle w:val="TableContents"/>
              <w:spacing w:before="0" w:after="283"/>
              <w:rPr/>
            </w:pPr>
            <w:r>
              <w:rPr/>
              <w:t xml:space="preserve">​ </w:t>
            </w:r>
          </w:p>
        </w:tc>
        <w:tc>
          <w:tcPr>
            <w:tcW w:w="618" w:type="dxa"/>
            <w:tcBorders>
              <w:bottom w:val="single" w:sz="8" w:space="0" w:color="000000"/>
            </w:tcBorders>
            <w:shd w:fill="FFFFFF" w:val="clear"/>
            <w:tcMar>
              <w:bottom w:w="28" w:type="dxa"/>
            </w:tcMar>
            <w:vAlign w:val="bottom"/>
          </w:tcPr>
          <w:p>
            <w:pPr>
              <w:pStyle w:val="TableContents"/>
              <w:spacing w:before="0" w:after="283"/>
              <w:jc w:val="right"/>
              <w:rPr/>
            </w:pPr>
            <w:r>
              <w:rPr/>
              <w:t xml:space="preserve">​ </w:t>
            </w:r>
          </w:p>
        </w:tc>
        <w:tc>
          <w:tcPr>
            <w:tcW w:w="100" w:type="dxa"/>
            <w:tcBorders/>
            <w:shd w:fill="FFFFFF" w:val="clear"/>
            <w:vAlign w:val="bottom"/>
          </w:tcPr>
          <w:p>
            <w:pPr>
              <w:pStyle w:val="TableContents"/>
              <w:spacing w:before="0" w:after="283"/>
              <w:rPr/>
            </w:pPr>
            <w:r>
              <w:rPr/>
              <w:t>​</w:t>
            </w:r>
          </w:p>
        </w:tc>
        <w:tc>
          <w:tcPr>
            <w:tcW w:w="106" w:type="dxa"/>
            <w:tcBorders>
              <w:bottom w:val="single" w:sz="8" w:space="0" w:color="000000"/>
            </w:tcBorders>
            <w:shd w:fill="FFFFFF" w:val="clear"/>
            <w:tcMar>
              <w:bottom w:w="28" w:type="dxa"/>
            </w:tcMar>
            <w:vAlign w:val="bottom"/>
          </w:tcPr>
          <w:p>
            <w:pPr>
              <w:pStyle w:val="TableContents"/>
              <w:spacing w:before="0" w:after="283"/>
              <w:rPr/>
            </w:pPr>
            <w:r>
              <w:rPr/>
              <w:t xml:space="preserve">​ </w:t>
            </w:r>
          </w:p>
        </w:tc>
        <w:tc>
          <w:tcPr>
            <w:tcW w:w="618" w:type="dxa"/>
            <w:tcBorders>
              <w:bottom w:val="single" w:sz="8" w:space="0" w:color="000000"/>
            </w:tcBorders>
            <w:shd w:fill="FFFFFF" w:val="clear"/>
            <w:tcMar>
              <w:bottom w:w="28" w:type="dxa"/>
            </w:tcMar>
            <w:vAlign w:val="bottom"/>
          </w:tcPr>
          <w:p>
            <w:pPr>
              <w:pStyle w:val="TableContents"/>
              <w:spacing w:before="0" w:after="283"/>
              <w:jc w:val="right"/>
              <w:rPr/>
            </w:pPr>
            <w:r>
              <w:rPr/>
              <w:t xml:space="preserve">​ </w:t>
            </w:r>
          </w:p>
        </w:tc>
        <w:tc>
          <w:tcPr>
            <w:tcW w:w="101" w:type="dxa"/>
            <w:tcBorders/>
            <w:shd w:fill="FFFFFF" w:val="clear"/>
            <w:vAlign w:val="bottom"/>
          </w:tcPr>
          <w:p>
            <w:pPr>
              <w:pStyle w:val="TableContents"/>
              <w:spacing w:before="0" w:after="283"/>
              <w:rPr/>
            </w:pPr>
            <w:r>
              <w:rPr/>
              <w:t>​</w:t>
            </w:r>
          </w:p>
        </w:tc>
        <w:tc>
          <w:tcPr>
            <w:tcW w:w="105" w:type="dxa"/>
            <w:tcBorders>
              <w:bottom w:val="single" w:sz="8" w:space="0" w:color="000000"/>
            </w:tcBorders>
            <w:shd w:fill="FFFFFF" w:val="clear"/>
            <w:tcMar>
              <w:bottom w:w="28" w:type="dxa"/>
            </w:tcMar>
            <w:vAlign w:val="bottom"/>
          </w:tcPr>
          <w:p>
            <w:pPr>
              <w:pStyle w:val="TableContents"/>
              <w:spacing w:before="0" w:after="283"/>
              <w:rPr/>
            </w:pPr>
            <w:r>
              <w:rPr/>
              <w:t xml:space="preserve">​ </w:t>
            </w:r>
          </w:p>
        </w:tc>
        <w:tc>
          <w:tcPr>
            <w:tcW w:w="619" w:type="dxa"/>
            <w:tcBorders>
              <w:bottom w:val="single" w:sz="8" w:space="0" w:color="000000"/>
            </w:tcBorders>
            <w:shd w:fill="FFFFFF" w:val="clear"/>
            <w:tcMar>
              <w:bottom w:w="28" w:type="dxa"/>
            </w:tcMar>
            <w:vAlign w:val="bottom"/>
          </w:tcPr>
          <w:p>
            <w:pPr>
              <w:pStyle w:val="TableContents"/>
              <w:spacing w:before="0" w:after="283"/>
              <w:jc w:val="right"/>
              <w:rPr/>
            </w:pPr>
            <w:r>
              <w:rPr/>
              <w:t xml:space="preserve">​ </w:t>
            </w:r>
          </w:p>
        </w:tc>
        <w:tc>
          <w:tcPr>
            <w:tcW w:w="100" w:type="dxa"/>
            <w:tcBorders/>
            <w:shd w:fill="FFFFFF" w:val="clear"/>
            <w:vAlign w:val="bottom"/>
          </w:tcPr>
          <w:p>
            <w:pPr>
              <w:pStyle w:val="TableContents"/>
              <w:spacing w:before="0" w:after="283"/>
              <w:rPr/>
            </w:pPr>
            <w:r>
              <w:rPr/>
              <w:t>​</w:t>
            </w:r>
          </w:p>
        </w:tc>
        <w:tc>
          <w:tcPr>
            <w:tcW w:w="106" w:type="dxa"/>
            <w:tcBorders>
              <w:bottom w:val="single" w:sz="8" w:space="0" w:color="000000"/>
            </w:tcBorders>
            <w:shd w:fill="FFFFFF" w:val="clear"/>
            <w:tcMar>
              <w:bottom w:w="28" w:type="dxa"/>
            </w:tcMar>
            <w:vAlign w:val="bottom"/>
          </w:tcPr>
          <w:p>
            <w:pPr>
              <w:pStyle w:val="TableContents"/>
              <w:spacing w:before="0" w:after="283"/>
              <w:rPr/>
            </w:pPr>
            <w:r>
              <w:rPr/>
              <w:t xml:space="preserve">​ </w:t>
            </w:r>
          </w:p>
        </w:tc>
        <w:tc>
          <w:tcPr>
            <w:tcW w:w="618" w:type="dxa"/>
            <w:tcBorders>
              <w:bottom w:val="single" w:sz="8" w:space="0" w:color="000000"/>
            </w:tcBorders>
            <w:shd w:fill="FFFFFF" w:val="clear"/>
            <w:tcMar>
              <w:bottom w:w="28" w:type="dxa"/>
            </w:tcMar>
            <w:vAlign w:val="bottom"/>
          </w:tcPr>
          <w:p>
            <w:pPr>
              <w:pStyle w:val="TableContents"/>
              <w:spacing w:before="0" w:after="283"/>
              <w:jc w:val="right"/>
              <w:rPr/>
            </w:pPr>
            <w:r>
              <w:rPr/>
              <w:t xml:space="preserve">​ </w:t>
            </w:r>
          </w:p>
        </w:tc>
        <w:tc>
          <w:tcPr>
            <w:tcW w:w="100" w:type="dxa"/>
            <w:tcBorders/>
            <w:shd w:fill="FFFFFF" w:val="clear"/>
            <w:vAlign w:val="bottom"/>
          </w:tcPr>
          <w:p>
            <w:pPr>
              <w:pStyle w:val="TableContents"/>
              <w:spacing w:before="0" w:after="283"/>
              <w:rPr/>
            </w:pPr>
            <w:r>
              <w:rPr/>
              <w:t>​</w:t>
            </w:r>
          </w:p>
        </w:tc>
        <w:tc>
          <w:tcPr>
            <w:tcW w:w="106" w:type="dxa"/>
            <w:tcBorders>
              <w:bottom w:val="single" w:sz="8" w:space="0" w:color="000000"/>
            </w:tcBorders>
            <w:shd w:fill="FFFFFF" w:val="clear"/>
            <w:tcMar>
              <w:bottom w:w="28" w:type="dxa"/>
            </w:tcMar>
            <w:vAlign w:val="bottom"/>
          </w:tcPr>
          <w:p>
            <w:pPr>
              <w:pStyle w:val="TableContents"/>
              <w:spacing w:before="0" w:after="283"/>
              <w:rPr/>
            </w:pPr>
            <w:r>
              <w:rPr/>
              <w:t xml:space="preserve">​ </w:t>
            </w:r>
          </w:p>
        </w:tc>
        <w:tc>
          <w:tcPr>
            <w:tcW w:w="619" w:type="dxa"/>
            <w:tcBorders>
              <w:bottom w:val="single" w:sz="8" w:space="0" w:color="000000"/>
            </w:tcBorders>
            <w:shd w:fill="FFFFFF" w:val="clear"/>
            <w:tcMar>
              <w:bottom w:w="28" w:type="dxa"/>
            </w:tcMar>
            <w:vAlign w:val="bottom"/>
          </w:tcPr>
          <w:p>
            <w:pPr>
              <w:pStyle w:val="TableContents"/>
              <w:spacing w:before="0" w:after="283"/>
              <w:jc w:val="right"/>
              <w:rPr/>
            </w:pPr>
            <w:r>
              <w:rPr/>
              <w:t xml:space="preserve">​ </w:t>
            </w:r>
          </w:p>
        </w:tc>
        <w:tc>
          <w:tcPr>
            <w:tcW w:w="100" w:type="dxa"/>
            <w:tcBorders/>
            <w:shd w:fill="FFFFFF" w:val="clear"/>
            <w:vAlign w:val="bottom"/>
          </w:tcPr>
          <w:p>
            <w:pPr>
              <w:pStyle w:val="TableContents"/>
              <w:spacing w:before="0" w:after="283"/>
              <w:rPr/>
            </w:pPr>
            <w:r>
              <w:rPr/>
              <w:t>​</w:t>
            </w:r>
          </w:p>
        </w:tc>
        <w:tc>
          <w:tcPr>
            <w:tcW w:w="105" w:type="dxa"/>
            <w:tcBorders>
              <w:bottom w:val="single" w:sz="8" w:space="0" w:color="000000"/>
            </w:tcBorders>
            <w:shd w:fill="FFFFFF" w:val="clear"/>
            <w:tcMar>
              <w:bottom w:w="28" w:type="dxa"/>
            </w:tcMar>
            <w:vAlign w:val="bottom"/>
          </w:tcPr>
          <w:p>
            <w:pPr>
              <w:pStyle w:val="TableContents"/>
              <w:spacing w:before="0" w:after="283"/>
              <w:rPr/>
            </w:pPr>
            <w:r>
              <w:rPr/>
              <w:t xml:space="preserve">​ </w:t>
            </w:r>
          </w:p>
        </w:tc>
        <w:tc>
          <w:tcPr>
            <w:tcW w:w="619" w:type="dxa"/>
            <w:tcBorders>
              <w:bottom w:val="single" w:sz="8" w:space="0" w:color="000000"/>
            </w:tcBorders>
            <w:shd w:fill="FFFFFF" w:val="clear"/>
            <w:tcMar>
              <w:bottom w:w="28" w:type="dxa"/>
            </w:tcMar>
            <w:vAlign w:val="bottom"/>
          </w:tcPr>
          <w:p>
            <w:pPr>
              <w:pStyle w:val="TableContents"/>
              <w:spacing w:before="0" w:after="283"/>
              <w:jc w:val="right"/>
              <w:rPr/>
            </w:pPr>
            <w:r>
              <w:rPr/>
              <w:t xml:space="preserve">​ </w:t>
            </w:r>
          </w:p>
        </w:tc>
        <w:tc>
          <w:tcPr>
            <w:tcW w:w="100" w:type="dxa"/>
            <w:tcBorders/>
            <w:shd w:fill="FFFFFF" w:val="clear"/>
            <w:vAlign w:val="bottom"/>
          </w:tcPr>
          <w:p>
            <w:pPr>
              <w:pStyle w:val="TableContents"/>
              <w:spacing w:before="0" w:after="283"/>
              <w:rPr/>
            </w:pPr>
            <w:r>
              <w:rPr/>
              <w:t>​</w:t>
            </w:r>
          </w:p>
        </w:tc>
        <w:tc>
          <w:tcPr>
            <w:tcW w:w="106" w:type="dxa"/>
            <w:tcBorders>
              <w:bottom w:val="single" w:sz="8" w:space="0" w:color="000000"/>
            </w:tcBorders>
            <w:shd w:fill="FFFFFF" w:val="clear"/>
            <w:tcMar>
              <w:bottom w:w="28" w:type="dxa"/>
            </w:tcMar>
            <w:vAlign w:val="bottom"/>
          </w:tcPr>
          <w:p>
            <w:pPr>
              <w:pStyle w:val="TableContents"/>
              <w:spacing w:before="0" w:after="283"/>
              <w:rPr/>
            </w:pPr>
            <w:r>
              <w:rPr/>
              <w:t xml:space="preserve">​ </w:t>
            </w:r>
          </w:p>
        </w:tc>
        <w:tc>
          <w:tcPr>
            <w:tcW w:w="618" w:type="dxa"/>
            <w:tcBorders>
              <w:bottom w:val="single" w:sz="8" w:space="0" w:color="000000"/>
            </w:tcBorders>
            <w:shd w:fill="FFFFFF" w:val="clear"/>
            <w:tcMar>
              <w:bottom w:w="28" w:type="dxa"/>
            </w:tcMar>
            <w:vAlign w:val="bottom"/>
          </w:tcPr>
          <w:p>
            <w:pPr>
              <w:pStyle w:val="TableContents"/>
              <w:spacing w:before="0" w:after="283"/>
              <w:jc w:val="right"/>
              <w:rPr/>
            </w:pPr>
            <w:r>
              <w:rPr/>
              <w:t xml:space="preserve">​ </w:t>
            </w:r>
          </w:p>
        </w:tc>
        <w:tc>
          <w:tcPr>
            <w:tcW w:w="100" w:type="dxa"/>
            <w:tcBorders/>
            <w:shd w:fill="FFFFFF" w:val="clear"/>
            <w:vAlign w:val="bottom"/>
          </w:tcPr>
          <w:p>
            <w:pPr>
              <w:pStyle w:val="TableContents"/>
              <w:spacing w:before="0" w:after="283"/>
              <w:rPr/>
            </w:pPr>
            <w:r>
              <w:rPr/>
              <w:t>​</w:t>
            </w:r>
          </w:p>
        </w:tc>
        <w:tc>
          <w:tcPr>
            <w:tcW w:w="106" w:type="dxa"/>
            <w:tcBorders>
              <w:bottom w:val="single" w:sz="8" w:space="0" w:color="000000"/>
            </w:tcBorders>
            <w:shd w:fill="FFFFFF" w:val="clear"/>
            <w:tcMar>
              <w:bottom w:w="28" w:type="dxa"/>
            </w:tcMar>
            <w:vAlign w:val="bottom"/>
          </w:tcPr>
          <w:p>
            <w:pPr>
              <w:pStyle w:val="TableContents"/>
              <w:spacing w:before="0" w:after="283"/>
              <w:rPr/>
            </w:pPr>
            <w:r>
              <w:rPr/>
              <w:t xml:space="preserve">​ </w:t>
            </w:r>
          </w:p>
        </w:tc>
        <w:tc>
          <w:tcPr>
            <w:tcW w:w="619" w:type="dxa"/>
            <w:tcBorders>
              <w:bottom w:val="single" w:sz="8" w:space="0" w:color="000000"/>
            </w:tcBorders>
            <w:shd w:fill="FFFFFF" w:val="clear"/>
            <w:tcMar>
              <w:bottom w:w="28" w:type="dxa"/>
            </w:tcMar>
            <w:vAlign w:val="bottom"/>
          </w:tcPr>
          <w:p>
            <w:pPr>
              <w:pStyle w:val="TableContents"/>
              <w:spacing w:before="0" w:after="283"/>
              <w:jc w:val="right"/>
              <w:rPr/>
            </w:pPr>
            <w:r>
              <w:rPr/>
              <w:t xml:space="preserve">​ </w:t>
            </w:r>
          </w:p>
        </w:tc>
        <w:tc>
          <w:tcPr>
            <w:tcW w:w="100" w:type="dxa"/>
            <w:tcBorders/>
            <w:shd w:fill="FFFFFF" w:val="clear"/>
            <w:vAlign w:val="bottom"/>
          </w:tcPr>
          <w:p>
            <w:pPr>
              <w:pStyle w:val="TableContents"/>
              <w:spacing w:before="0" w:after="283"/>
              <w:rPr/>
            </w:pPr>
            <w:r>
              <w:rPr/>
              <w:t>​</w:t>
            </w:r>
          </w:p>
        </w:tc>
        <w:tc>
          <w:tcPr>
            <w:tcW w:w="106" w:type="dxa"/>
            <w:tcBorders>
              <w:bottom w:val="single" w:sz="8" w:space="0" w:color="000000"/>
            </w:tcBorders>
            <w:shd w:fill="FFFFFF" w:val="clear"/>
            <w:tcMar>
              <w:bottom w:w="28" w:type="dxa"/>
            </w:tcMar>
            <w:vAlign w:val="bottom"/>
          </w:tcPr>
          <w:p>
            <w:pPr>
              <w:pStyle w:val="TableContents"/>
              <w:spacing w:before="0" w:after="283"/>
              <w:rPr/>
            </w:pPr>
            <w:r>
              <w:rPr/>
              <w:t xml:space="preserve">​ </w:t>
            </w:r>
          </w:p>
        </w:tc>
        <w:tc>
          <w:tcPr>
            <w:tcW w:w="618" w:type="dxa"/>
            <w:tcBorders>
              <w:bottom w:val="single" w:sz="8" w:space="0" w:color="000000"/>
            </w:tcBorders>
            <w:shd w:fill="FFFFFF" w:val="clear"/>
            <w:tcMar>
              <w:bottom w:w="28" w:type="dxa"/>
            </w:tcMar>
            <w:vAlign w:val="bottom"/>
          </w:tcPr>
          <w:p>
            <w:pPr>
              <w:pStyle w:val="TableContents"/>
              <w:spacing w:before="0" w:after="283"/>
              <w:jc w:val="right"/>
              <w:rPr/>
            </w:pPr>
            <w:r>
              <w:rPr/>
              <w:t xml:space="preserve">​ </w:t>
            </w:r>
          </w:p>
        </w:tc>
        <w:tc>
          <w:tcPr>
            <w:tcW w:w="201" w:type="dxa"/>
            <w:tcBorders/>
            <w:shd w:fill="FFFFFF" w:val="clear"/>
            <w:vAlign w:val="bottom"/>
          </w:tcPr>
          <w:p>
            <w:pPr>
              <w:pStyle w:val="TableContents"/>
              <w:spacing w:before="0" w:after="283"/>
              <w:rPr/>
            </w:pPr>
            <w:r>
              <w:rPr/>
              <w:t>​</w:t>
            </w:r>
          </w:p>
        </w:tc>
      </w:tr>
      <w:tr>
        <w:trPr/>
        <w:tc>
          <w:tcPr>
            <w:tcW w:w="1760" w:type="dxa"/>
            <w:tcBorders/>
            <w:shd w:fill="FFFFFF" w:val="clear"/>
            <w:vAlign w:val="bottom"/>
          </w:tcPr>
          <w:p>
            <w:pPr>
              <w:pStyle w:val="TableContents"/>
              <w:spacing w:lineRule="atLeast" w:line="141" w:before="0" w:after="283"/>
              <w:rPr/>
            </w:pPr>
            <w:r>
              <w:rPr/>
              <w:t>​</w:t>
            </w:r>
          </w:p>
        </w:tc>
        <w:tc>
          <w:tcPr>
            <w:tcW w:w="101" w:type="dxa"/>
            <w:tcBorders/>
            <w:shd w:fill="FFFFFF" w:val="clear"/>
            <w:vAlign w:val="bottom"/>
          </w:tcPr>
          <w:p>
            <w:pPr>
              <w:pStyle w:val="TableContents"/>
              <w:spacing w:lineRule="atLeast" w:line="141" w:before="0" w:after="283"/>
              <w:rPr/>
            </w:pPr>
            <w:r>
              <w:rPr/>
              <w:t>​</w:t>
            </w:r>
          </w:p>
        </w:tc>
        <w:tc>
          <w:tcPr>
            <w:tcW w:w="105" w:type="dxa"/>
            <w:tcBorders/>
            <w:shd w:fill="FFFFFF" w:val="clear"/>
            <w:vAlign w:val="bottom"/>
          </w:tcPr>
          <w:p>
            <w:pPr>
              <w:pStyle w:val="TableContents"/>
              <w:spacing w:lineRule="atLeast" w:line="141" w:before="0" w:after="283"/>
              <w:rPr/>
            </w:pPr>
            <w:r>
              <w:rPr/>
              <w:t>​</w:t>
            </w:r>
          </w:p>
        </w:tc>
        <w:tc>
          <w:tcPr>
            <w:tcW w:w="619" w:type="dxa"/>
            <w:tcBorders/>
            <w:shd w:fill="FFFFFF" w:val="clear"/>
            <w:vAlign w:val="bottom"/>
          </w:tcPr>
          <w:p>
            <w:pPr>
              <w:pStyle w:val="TableContents"/>
              <w:spacing w:lineRule="atLeast" w:line="141" w:before="0" w:after="283"/>
              <w:jc w:val="right"/>
              <w:rPr/>
            </w:pPr>
            <w:r>
              <w:rPr/>
              <w:t>​</w:t>
            </w:r>
          </w:p>
        </w:tc>
        <w:tc>
          <w:tcPr>
            <w:tcW w:w="100" w:type="dxa"/>
            <w:tcBorders/>
            <w:shd w:fill="FFFFFF" w:val="clear"/>
            <w:vAlign w:val="bottom"/>
          </w:tcPr>
          <w:p>
            <w:pPr>
              <w:pStyle w:val="TableContents"/>
              <w:spacing w:lineRule="atLeast" w:line="141" w:before="0" w:after="283"/>
              <w:rPr/>
            </w:pPr>
            <w:r>
              <w:rPr/>
              <w:t>​</w:t>
            </w:r>
          </w:p>
        </w:tc>
        <w:tc>
          <w:tcPr>
            <w:tcW w:w="106" w:type="dxa"/>
            <w:tcBorders/>
            <w:shd w:fill="FFFFFF" w:val="clear"/>
            <w:vAlign w:val="bottom"/>
          </w:tcPr>
          <w:p>
            <w:pPr>
              <w:pStyle w:val="TableContents"/>
              <w:spacing w:lineRule="atLeast" w:line="141" w:before="0" w:after="283"/>
              <w:rPr/>
            </w:pPr>
            <w:r>
              <w:rPr/>
              <w:t>​</w:t>
            </w:r>
          </w:p>
        </w:tc>
        <w:tc>
          <w:tcPr>
            <w:tcW w:w="618" w:type="dxa"/>
            <w:tcBorders/>
            <w:shd w:fill="FFFFFF" w:val="clear"/>
            <w:vAlign w:val="bottom"/>
          </w:tcPr>
          <w:p>
            <w:pPr>
              <w:pStyle w:val="TableContents"/>
              <w:spacing w:lineRule="atLeast" w:line="141" w:before="0" w:after="283"/>
              <w:jc w:val="right"/>
              <w:rPr/>
            </w:pPr>
            <w:r>
              <w:rPr/>
              <w:t>​</w:t>
            </w:r>
          </w:p>
        </w:tc>
        <w:tc>
          <w:tcPr>
            <w:tcW w:w="100" w:type="dxa"/>
            <w:tcBorders/>
            <w:shd w:fill="FFFFFF" w:val="clear"/>
            <w:vAlign w:val="bottom"/>
          </w:tcPr>
          <w:p>
            <w:pPr>
              <w:pStyle w:val="TableContents"/>
              <w:spacing w:lineRule="atLeast" w:line="141" w:before="0" w:after="283"/>
              <w:rPr/>
            </w:pPr>
            <w:r>
              <w:rPr/>
              <w:t>​</w:t>
            </w:r>
          </w:p>
        </w:tc>
        <w:tc>
          <w:tcPr>
            <w:tcW w:w="106" w:type="dxa"/>
            <w:tcBorders/>
            <w:shd w:fill="FFFFFF" w:val="clear"/>
            <w:vAlign w:val="bottom"/>
          </w:tcPr>
          <w:p>
            <w:pPr>
              <w:pStyle w:val="TableContents"/>
              <w:spacing w:lineRule="atLeast" w:line="141" w:before="0" w:after="283"/>
              <w:rPr/>
            </w:pPr>
            <w:r>
              <w:rPr/>
              <w:t>​</w:t>
            </w:r>
          </w:p>
        </w:tc>
        <w:tc>
          <w:tcPr>
            <w:tcW w:w="618" w:type="dxa"/>
            <w:tcBorders/>
            <w:shd w:fill="FFFFFF" w:val="clear"/>
            <w:vAlign w:val="bottom"/>
          </w:tcPr>
          <w:p>
            <w:pPr>
              <w:pStyle w:val="TableContents"/>
              <w:spacing w:lineRule="atLeast" w:line="141" w:before="0" w:after="283"/>
              <w:jc w:val="right"/>
              <w:rPr/>
            </w:pPr>
            <w:r>
              <w:rPr/>
              <w:t>​</w:t>
            </w:r>
          </w:p>
        </w:tc>
        <w:tc>
          <w:tcPr>
            <w:tcW w:w="101" w:type="dxa"/>
            <w:tcBorders/>
            <w:shd w:fill="FFFFFF" w:val="clear"/>
            <w:vAlign w:val="bottom"/>
          </w:tcPr>
          <w:p>
            <w:pPr>
              <w:pStyle w:val="TableContents"/>
              <w:spacing w:lineRule="atLeast" w:line="141" w:before="0" w:after="283"/>
              <w:rPr/>
            </w:pPr>
            <w:r>
              <w:rPr/>
              <w:t>​</w:t>
            </w:r>
          </w:p>
        </w:tc>
        <w:tc>
          <w:tcPr>
            <w:tcW w:w="105" w:type="dxa"/>
            <w:tcBorders/>
            <w:shd w:fill="FFFFFF" w:val="clear"/>
            <w:vAlign w:val="bottom"/>
          </w:tcPr>
          <w:p>
            <w:pPr>
              <w:pStyle w:val="TableContents"/>
              <w:spacing w:lineRule="atLeast" w:line="141" w:before="0" w:after="283"/>
              <w:rPr/>
            </w:pPr>
            <w:r>
              <w:rPr/>
              <w:t>​</w:t>
            </w:r>
          </w:p>
        </w:tc>
        <w:tc>
          <w:tcPr>
            <w:tcW w:w="619" w:type="dxa"/>
            <w:tcBorders/>
            <w:shd w:fill="FFFFFF" w:val="clear"/>
            <w:vAlign w:val="bottom"/>
          </w:tcPr>
          <w:p>
            <w:pPr>
              <w:pStyle w:val="TableContents"/>
              <w:spacing w:lineRule="atLeast" w:line="141" w:before="0" w:after="283"/>
              <w:jc w:val="right"/>
              <w:rPr/>
            </w:pPr>
            <w:r>
              <w:rPr/>
              <w:t>​</w:t>
            </w:r>
          </w:p>
        </w:tc>
        <w:tc>
          <w:tcPr>
            <w:tcW w:w="100" w:type="dxa"/>
            <w:tcBorders/>
            <w:shd w:fill="FFFFFF" w:val="clear"/>
            <w:vAlign w:val="bottom"/>
          </w:tcPr>
          <w:p>
            <w:pPr>
              <w:pStyle w:val="TableContents"/>
              <w:spacing w:lineRule="atLeast" w:line="141" w:before="0" w:after="283"/>
              <w:rPr/>
            </w:pPr>
            <w:r>
              <w:rPr/>
              <w:t>​</w:t>
            </w:r>
          </w:p>
        </w:tc>
        <w:tc>
          <w:tcPr>
            <w:tcW w:w="106" w:type="dxa"/>
            <w:tcBorders/>
            <w:shd w:fill="FFFFFF" w:val="clear"/>
            <w:vAlign w:val="bottom"/>
          </w:tcPr>
          <w:p>
            <w:pPr>
              <w:pStyle w:val="TableContents"/>
              <w:spacing w:lineRule="atLeast" w:line="141" w:before="0" w:after="283"/>
              <w:rPr/>
            </w:pPr>
            <w:r>
              <w:rPr/>
              <w:t>​</w:t>
            </w:r>
          </w:p>
        </w:tc>
        <w:tc>
          <w:tcPr>
            <w:tcW w:w="618" w:type="dxa"/>
            <w:tcBorders/>
            <w:shd w:fill="FFFFFF" w:val="clear"/>
            <w:vAlign w:val="bottom"/>
          </w:tcPr>
          <w:p>
            <w:pPr>
              <w:pStyle w:val="TableContents"/>
              <w:spacing w:lineRule="atLeast" w:line="141" w:before="0" w:after="283"/>
              <w:jc w:val="right"/>
              <w:rPr/>
            </w:pPr>
            <w:r>
              <w:rPr/>
              <w:t>​</w:t>
            </w:r>
          </w:p>
        </w:tc>
        <w:tc>
          <w:tcPr>
            <w:tcW w:w="100" w:type="dxa"/>
            <w:tcBorders/>
            <w:shd w:fill="FFFFFF" w:val="clear"/>
            <w:vAlign w:val="bottom"/>
          </w:tcPr>
          <w:p>
            <w:pPr>
              <w:pStyle w:val="TableContents"/>
              <w:spacing w:lineRule="atLeast" w:line="141" w:before="0" w:after="283"/>
              <w:rPr/>
            </w:pPr>
            <w:r>
              <w:rPr/>
              <w:t>​</w:t>
            </w:r>
          </w:p>
        </w:tc>
        <w:tc>
          <w:tcPr>
            <w:tcW w:w="106" w:type="dxa"/>
            <w:tcBorders/>
            <w:shd w:fill="FFFFFF" w:val="clear"/>
            <w:vAlign w:val="bottom"/>
          </w:tcPr>
          <w:p>
            <w:pPr>
              <w:pStyle w:val="TableContents"/>
              <w:spacing w:lineRule="atLeast" w:line="141" w:before="0" w:after="283"/>
              <w:rPr/>
            </w:pPr>
            <w:r>
              <w:rPr/>
              <w:t>​</w:t>
            </w:r>
          </w:p>
        </w:tc>
        <w:tc>
          <w:tcPr>
            <w:tcW w:w="619" w:type="dxa"/>
            <w:tcBorders/>
            <w:shd w:fill="FFFFFF" w:val="clear"/>
            <w:vAlign w:val="bottom"/>
          </w:tcPr>
          <w:p>
            <w:pPr>
              <w:pStyle w:val="TableContents"/>
              <w:spacing w:lineRule="atLeast" w:line="141" w:before="0" w:after="283"/>
              <w:jc w:val="right"/>
              <w:rPr/>
            </w:pPr>
            <w:r>
              <w:rPr/>
              <w:t>​</w:t>
            </w:r>
          </w:p>
        </w:tc>
        <w:tc>
          <w:tcPr>
            <w:tcW w:w="100" w:type="dxa"/>
            <w:tcBorders/>
            <w:shd w:fill="FFFFFF" w:val="clear"/>
            <w:vAlign w:val="bottom"/>
          </w:tcPr>
          <w:p>
            <w:pPr>
              <w:pStyle w:val="TableContents"/>
              <w:spacing w:lineRule="atLeast" w:line="141" w:before="0" w:after="283"/>
              <w:rPr/>
            </w:pPr>
            <w:r>
              <w:rPr/>
              <w:t>​</w:t>
            </w:r>
          </w:p>
        </w:tc>
        <w:tc>
          <w:tcPr>
            <w:tcW w:w="105" w:type="dxa"/>
            <w:tcBorders/>
            <w:shd w:fill="FFFFFF" w:val="clear"/>
            <w:vAlign w:val="bottom"/>
          </w:tcPr>
          <w:p>
            <w:pPr>
              <w:pStyle w:val="TableContents"/>
              <w:spacing w:lineRule="atLeast" w:line="141" w:before="0" w:after="283"/>
              <w:rPr/>
            </w:pPr>
            <w:r>
              <w:rPr/>
              <w:t>​</w:t>
            </w:r>
          </w:p>
        </w:tc>
        <w:tc>
          <w:tcPr>
            <w:tcW w:w="619" w:type="dxa"/>
            <w:tcBorders/>
            <w:shd w:fill="FFFFFF" w:val="clear"/>
            <w:vAlign w:val="bottom"/>
          </w:tcPr>
          <w:p>
            <w:pPr>
              <w:pStyle w:val="TableContents"/>
              <w:spacing w:lineRule="atLeast" w:line="141" w:before="0" w:after="283"/>
              <w:jc w:val="right"/>
              <w:rPr/>
            </w:pPr>
            <w:r>
              <w:rPr/>
              <w:t>​</w:t>
            </w:r>
          </w:p>
        </w:tc>
        <w:tc>
          <w:tcPr>
            <w:tcW w:w="100" w:type="dxa"/>
            <w:tcBorders/>
            <w:shd w:fill="FFFFFF" w:val="clear"/>
            <w:vAlign w:val="bottom"/>
          </w:tcPr>
          <w:p>
            <w:pPr>
              <w:pStyle w:val="TableContents"/>
              <w:spacing w:lineRule="atLeast" w:line="141" w:before="0" w:after="283"/>
              <w:rPr/>
            </w:pPr>
            <w:r>
              <w:rPr/>
              <w:t>​</w:t>
            </w:r>
          </w:p>
        </w:tc>
        <w:tc>
          <w:tcPr>
            <w:tcW w:w="106" w:type="dxa"/>
            <w:tcBorders/>
            <w:shd w:fill="FFFFFF" w:val="clear"/>
            <w:vAlign w:val="bottom"/>
          </w:tcPr>
          <w:p>
            <w:pPr>
              <w:pStyle w:val="TableContents"/>
              <w:spacing w:lineRule="atLeast" w:line="141" w:before="0" w:after="283"/>
              <w:rPr/>
            </w:pPr>
            <w:r>
              <w:rPr/>
              <w:t>​</w:t>
            </w:r>
          </w:p>
        </w:tc>
        <w:tc>
          <w:tcPr>
            <w:tcW w:w="618" w:type="dxa"/>
            <w:tcBorders/>
            <w:shd w:fill="FFFFFF" w:val="clear"/>
            <w:vAlign w:val="bottom"/>
          </w:tcPr>
          <w:p>
            <w:pPr>
              <w:pStyle w:val="TableContents"/>
              <w:spacing w:lineRule="atLeast" w:line="141" w:before="0" w:after="283"/>
              <w:jc w:val="right"/>
              <w:rPr/>
            </w:pPr>
            <w:r>
              <w:rPr/>
              <w:t>​</w:t>
            </w:r>
          </w:p>
        </w:tc>
        <w:tc>
          <w:tcPr>
            <w:tcW w:w="100" w:type="dxa"/>
            <w:tcBorders/>
            <w:shd w:fill="FFFFFF" w:val="clear"/>
            <w:vAlign w:val="bottom"/>
          </w:tcPr>
          <w:p>
            <w:pPr>
              <w:pStyle w:val="TableContents"/>
              <w:spacing w:lineRule="atLeast" w:line="141" w:before="0" w:after="283"/>
              <w:rPr/>
            </w:pPr>
            <w:r>
              <w:rPr/>
              <w:t>​</w:t>
            </w:r>
          </w:p>
        </w:tc>
        <w:tc>
          <w:tcPr>
            <w:tcW w:w="106" w:type="dxa"/>
            <w:tcBorders/>
            <w:shd w:fill="FFFFFF" w:val="clear"/>
            <w:vAlign w:val="bottom"/>
          </w:tcPr>
          <w:p>
            <w:pPr>
              <w:pStyle w:val="TableContents"/>
              <w:spacing w:lineRule="atLeast" w:line="141" w:before="0" w:after="283"/>
              <w:rPr/>
            </w:pPr>
            <w:r>
              <w:rPr/>
              <w:t>​</w:t>
            </w:r>
          </w:p>
        </w:tc>
        <w:tc>
          <w:tcPr>
            <w:tcW w:w="619" w:type="dxa"/>
            <w:tcBorders/>
            <w:shd w:fill="FFFFFF" w:val="clear"/>
            <w:vAlign w:val="bottom"/>
          </w:tcPr>
          <w:p>
            <w:pPr>
              <w:pStyle w:val="TableContents"/>
              <w:spacing w:lineRule="atLeast" w:line="141" w:before="0" w:after="283"/>
              <w:jc w:val="right"/>
              <w:rPr/>
            </w:pPr>
            <w:r>
              <w:rPr/>
              <w:t>​</w:t>
            </w:r>
          </w:p>
        </w:tc>
        <w:tc>
          <w:tcPr>
            <w:tcW w:w="100" w:type="dxa"/>
            <w:tcBorders/>
            <w:shd w:fill="FFFFFF" w:val="clear"/>
            <w:vAlign w:val="bottom"/>
          </w:tcPr>
          <w:p>
            <w:pPr>
              <w:pStyle w:val="TableContents"/>
              <w:spacing w:lineRule="atLeast" w:line="141" w:before="0" w:after="283"/>
              <w:rPr/>
            </w:pPr>
            <w:r>
              <w:rPr/>
              <w:t>​</w:t>
            </w:r>
          </w:p>
        </w:tc>
        <w:tc>
          <w:tcPr>
            <w:tcW w:w="106" w:type="dxa"/>
            <w:tcBorders/>
            <w:shd w:fill="FFFFFF" w:val="clear"/>
            <w:vAlign w:val="bottom"/>
          </w:tcPr>
          <w:p>
            <w:pPr>
              <w:pStyle w:val="TableContents"/>
              <w:spacing w:lineRule="atLeast" w:line="141" w:before="0" w:after="283"/>
              <w:rPr/>
            </w:pPr>
            <w:r>
              <w:rPr/>
              <w:t>​</w:t>
            </w:r>
          </w:p>
        </w:tc>
        <w:tc>
          <w:tcPr>
            <w:tcW w:w="618" w:type="dxa"/>
            <w:tcBorders/>
            <w:shd w:fill="FFFFFF" w:val="clear"/>
            <w:vAlign w:val="bottom"/>
          </w:tcPr>
          <w:p>
            <w:pPr>
              <w:pStyle w:val="TableContents"/>
              <w:spacing w:lineRule="atLeast" w:line="141" w:before="0" w:after="283"/>
              <w:jc w:val="right"/>
              <w:rPr/>
            </w:pPr>
            <w:r>
              <w:rPr/>
              <w:t>​</w:t>
            </w:r>
          </w:p>
        </w:tc>
        <w:tc>
          <w:tcPr>
            <w:tcW w:w="201" w:type="dxa"/>
            <w:tcBorders/>
            <w:shd w:fill="FFFFFF" w:val="clear"/>
            <w:vAlign w:val="bottom"/>
          </w:tcPr>
          <w:p>
            <w:pPr>
              <w:pStyle w:val="TableContents"/>
              <w:spacing w:lineRule="atLeast" w:line="141" w:before="0" w:after="283"/>
              <w:rPr/>
            </w:pPr>
            <w:r>
              <w:rPr/>
              <w:t>​</w:t>
            </w:r>
          </w:p>
        </w:tc>
      </w:tr>
      <w:tr>
        <w:trPr/>
        <w:tc>
          <w:tcPr>
            <w:tcW w:w="1760" w:type="dxa"/>
            <w:tcBorders/>
            <w:shd w:fill="FFFFFF" w:val="clear"/>
            <w:vAlign w:val="bottom"/>
          </w:tcPr>
          <w:p>
            <w:pPr>
              <w:pStyle w:val="TableContents"/>
              <w:spacing w:before="0" w:after="283"/>
              <w:rPr/>
            </w:pPr>
            <w:r>
              <w:rPr/>
              <w:t>​</w:t>
            </w:r>
          </w:p>
        </w:tc>
        <w:tc>
          <w:tcPr>
            <w:tcW w:w="101" w:type="dxa"/>
            <w:tcBorders/>
            <w:shd w:fill="FFFFFF" w:val="clear"/>
            <w:vAlign w:val="bottom"/>
          </w:tcPr>
          <w:p>
            <w:pPr>
              <w:pStyle w:val="TableContents"/>
              <w:spacing w:before="0" w:after="283"/>
              <w:rPr/>
            </w:pPr>
            <w:r>
              <w:rPr/>
              <w:t>​</w:t>
            </w:r>
          </w:p>
        </w:tc>
        <w:tc>
          <w:tcPr>
            <w:tcW w:w="105" w:type="dxa"/>
            <w:tcBorders>
              <w:bottom w:val="single" w:sz="8" w:space="0" w:color="000000"/>
            </w:tcBorders>
            <w:shd w:fill="FFFFFF" w:val="clear"/>
            <w:tcMar>
              <w:bottom w:w="28" w:type="dxa"/>
            </w:tcMar>
            <w:vAlign w:val="bottom"/>
          </w:tcPr>
          <w:p>
            <w:pPr>
              <w:pStyle w:val="TableContents"/>
              <w:spacing w:before="0" w:after="283"/>
              <w:rPr/>
            </w:pPr>
            <w:r>
              <w:rPr/>
              <w:t xml:space="preserve">​ </w:t>
            </w:r>
          </w:p>
        </w:tc>
        <w:tc>
          <w:tcPr>
            <w:tcW w:w="619" w:type="dxa"/>
            <w:tcBorders>
              <w:bottom w:val="single" w:sz="8" w:space="0" w:color="000000"/>
            </w:tcBorders>
            <w:shd w:fill="FFFFFF" w:val="clear"/>
            <w:tcMar>
              <w:bottom w:w="28" w:type="dxa"/>
            </w:tcMar>
            <w:vAlign w:val="bottom"/>
          </w:tcPr>
          <w:p>
            <w:pPr>
              <w:pStyle w:val="TableContents"/>
              <w:spacing w:before="0" w:after="283"/>
              <w:jc w:val="right"/>
              <w:rPr/>
            </w:pPr>
            <w:r>
              <w:rPr/>
              <w:t xml:space="preserve">​ </w:t>
            </w:r>
          </w:p>
        </w:tc>
        <w:tc>
          <w:tcPr>
            <w:tcW w:w="100" w:type="dxa"/>
            <w:tcBorders/>
            <w:shd w:fill="FFFFFF" w:val="clear"/>
            <w:vAlign w:val="bottom"/>
          </w:tcPr>
          <w:p>
            <w:pPr>
              <w:pStyle w:val="TableContents"/>
              <w:spacing w:before="0" w:after="283"/>
              <w:rPr/>
            </w:pPr>
            <w:r>
              <w:rPr/>
              <w:t>​</w:t>
            </w:r>
          </w:p>
        </w:tc>
        <w:tc>
          <w:tcPr>
            <w:tcW w:w="106" w:type="dxa"/>
            <w:tcBorders>
              <w:bottom w:val="single" w:sz="8" w:space="0" w:color="000000"/>
            </w:tcBorders>
            <w:shd w:fill="FFFFFF" w:val="clear"/>
            <w:tcMar>
              <w:bottom w:w="28" w:type="dxa"/>
            </w:tcMar>
            <w:vAlign w:val="bottom"/>
          </w:tcPr>
          <w:p>
            <w:pPr>
              <w:pStyle w:val="TableContents"/>
              <w:spacing w:before="0" w:after="283"/>
              <w:rPr/>
            </w:pPr>
            <w:r>
              <w:rPr/>
              <w:t xml:space="preserve">​ </w:t>
            </w:r>
          </w:p>
        </w:tc>
        <w:tc>
          <w:tcPr>
            <w:tcW w:w="618" w:type="dxa"/>
            <w:tcBorders>
              <w:bottom w:val="single" w:sz="8" w:space="0" w:color="000000"/>
            </w:tcBorders>
            <w:shd w:fill="FFFFFF" w:val="clear"/>
            <w:tcMar>
              <w:bottom w:w="28" w:type="dxa"/>
            </w:tcMar>
            <w:vAlign w:val="bottom"/>
          </w:tcPr>
          <w:p>
            <w:pPr>
              <w:pStyle w:val="TableContents"/>
              <w:spacing w:before="0" w:after="283"/>
              <w:jc w:val="right"/>
              <w:rPr/>
            </w:pPr>
            <w:r>
              <w:rPr/>
              <w:t xml:space="preserve">​ </w:t>
            </w:r>
          </w:p>
        </w:tc>
        <w:tc>
          <w:tcPr>
            <w:tcW w:w="100" w:type="dxa"/>
            <w:tcBorders/>
            <w:shd w:fill="FFFFFF" w:val="clear"/>
            <w:vAlign w:val="bottom"/>
          </w:tcPr>
          <w:p>
            <w:pPr>
              <w:pStyle w:val="TableContents"/>
              <w:spacing w:before="0" w:after="283"/>
              <w:rPr/>
            </w:pPr>
            <w:r>
              <w:rPr/>
              <w:t>​</w:t>
            </w:r>
          </w:p>
        </w:tc>
        <w:tc>
          <w:tcPr>
            <w:tcW w:w="106" w:type="dxa"/>
            <w:tcBorders>
              <w:bottom w:val="single" w:sz="8" w:space="0" w:color="000000"/>
            </w:tcBorders>
            <w:shd w:fill="FFFFFF" w:val="clear"/>
            <w:tcMar>
              <w:bottom w:w="28" w:type="dxa"/>
            </w:tcMar>
            <w:vAlign w:val="bottom"/>
          </w:tcPr>
          <w:p>
            <w:pPr>
              <w:pStyle w:val="TableContents"/>
              <w:spacing w:before="0" w:after="283"/>
              <w:rPr/>
            </w:pPr>
            <w:r>
              <w:rPr/>
              <w:t xml:space="preserve">​ </w:t>
            </w:r>
          </w:p>
        </w:tc>
        <w:tc>
          <w:tcPr>
            <w:tcW w:w="618" w:type="dxa"/>
            <w:tcBorders>
              <w:bottom w:val="single" w:sz="8" w:space="0" w:color="000000"/>
            </w:tcBorders>
            <w:shd w:fill="FFFFFF" w:val="clear"/>
            <w:tcMar>
              <w:bottom w:w="28" w:type="dxa"/>
            </w:tcMar>
            <w:vAlign w:val="bottom"/>
          </w:tcPr>
          <w:p>
            <w:pPr>
              <w:pStyle w:val="TableContents"/>
              <w:spacing w:before="0" w:after="283"/>
              <w:jc w:val="right"/>
              <w:rPr/>
            </w:pPr>
            <w:r>
              <w:rPr/>
              <w:t xml:space="preserve">​ </w:t>
            </w:r>
          </w:p>
        </w:tc>
        <w:tc>
          <w:tcPr>
            <w:tcW w:w="101" w:type="dxa"/>
            <w:tcBorders/>
            <w:shd w:fill="FFFFFF" w:val="clear"/>
            <w:vAlign w:val="bottom"/>
          </w:tcPr>
          <w:p>
            <w:pPr>
              <w:pStyle w:val="TableContents"/>
              <w:spacing w:before="0" w:after="283"/>
              <w:rPr/>
            </w:pPr>
            <w:r>
              <w:rPr/>
              <w:t>​</w:t>
            </w:r>
          </w:p>
        </w:tc>
        <w:tc>
          <w:tcPr>
            <w:tcW w:w="105" w:type="dxa"/>
            <w:tcBorders>
              <w:bottom w:val="single" w:sz="8" w:space="0" w:color="000000"/>
            </w:tcBorders>
            <w:shd w:fill="FFFFFF" w:val="clear"/>
            <w:tcMar>
              <w:bottom w:w="28" w:type="dxa"/>
            </w:tcMar>
            <w:vAlign w:val="bottom"/>
          </w:tcPr>
          <w:p>
            <w:pPr>
              <w:pStyle w:val="TableContents"/>
              <w:spacing w:before="0" w:after="283"/>
              <w:rPr/>
            </w:pPr>
            <w:r>
              <w:rPr/>
              <w:t xml:space="preserve">​ </w:t>
            </w:r>
          </w:p>
        </w:tc>
        <w:tc>
          <w:tcPr>
            <w:tcW w:w="619" w:type="dxa"/>
            <w:tcBorders>
              <w:bottom w:val="single" w:sz="8" w:space="0" w:color="000000"/>
            </w:tcBorders>
            <w:shd w:fill="FFFFFF" w:val="clear"/>
            <w:tcMar>
              <w:bottom w:w="28" w:type="dxa"/>
            </w:tcMar>
            <w:vAlign w:val="bottom"/>
          </w:tcPr>
          <w:p>
            <w:pPr>
              <w:pStyle w:val="TableContents"/>
              <w:spacing w:before="0" w:after="283"/>
              <w:jc w:val="right"/>
              <w:rPr/>
            </w:pPr>
            <w:r>
              <w:rPr/>
              <w:t xml:space="preserve">​ </w:t>
            </w:r>
          </w:p>
        </w:tc>
        <w:tc>
          <w:tcPr>
            <w:tcW w:w="100" w:type="dxa"/>
            <w:tcBorders/>
            <w:shd w:fill="FFFFFF" w:val="clear"/>
            <w:vAlign w:val="bottom"/>
          </w:tcPr>
          <w:p>
            <w:pPr>
              <w:pStyle w:val="TableContents"/>
              <w:spacing w:before="0" w:after="283"/>
              <w:rPr/>
            </w:pPr>
            <w:r>
              <w:rPr/>
              <w:t>​</w:t>
            </w:r>
          </w:p>
        </w:tc>
        <w:tc>
          <w:tcPr>
            <w:tcW w:w="106" w:type="dxa"/>
            <w:tcBorders>
              <w:bottom w:val="single" w:sz="8" w:space="0" w:color="000000"/>
            </w:tcBorders>
            <w:shd w:fill="FFFFFF" w:val="clear"/>
            <w:tcMar>
              <w:bottom w:w="28" w:type="dxa"/>
            </w:tcMar>
            <w:vAlign w:val="bottom"/>
          </w:tcPr>
          <w:p>
            <w:pPr>
              <w:pStyle w:val="TableContents"/>
              <w:spacing w:before="0" w:after="283"/>
              <w:rPr/>
            </w:pPr>
            <w:r>
              <w:rPr/>
              <w:t xml:space="preserve">​ </w:t>
            </w:r>
          </w:p>
        </w:tc>
        <w:tc>
          <w:tcPr>
            <w:tcW w:w="618" w:type="dxa"/>
            <w:tcBorders>
              <w:bottom w:val="single" w:sz="8" w:space="0" w:color="000000"/>
            </w:tcBorders>
            <w:shd w:fill="FFFFFF" w:val="clear"/>
            <w:tcMar>
              <w:bottom w:w="28" w:type="dxa"/>
            </w:tcMar>
            <w:vAlign w:val="bottom"/>
          </w:tcPr>
          <w:p>
            <w:pPr>
              <w:pStyle w:val="TableContents"/>
              <w:spacing w:before="0" w:after="283"/>
              <w:jc w:val="right"/>
              <w:rPr/>
            </w:pPr>
            <w:r>
              <w:rPr/>
              <w:t xml:space="preserve">​ </w:t>
            </w:r>
          </w:p>
        </w:tc>
        <w:tc>
          <w:tcPr>
            <w:tcW w:w="100" w:type="dxa"/>
            <w:tcBorders/>
            <w:shd w:fill="FFFFFF" w:val="clear"/>
            <w:vAlign w:val="bottom"/>
          </w:tcPr>
          <w:p>
            <w:pPr>
              <w:pStyle w:val="TableContents"/>
              <w:spacing w:before="0" w:after="283"/>
              <w:rPr/>
            </w:pPr>
            <w:r>
              <w:rPr/>
              <w:t>​</w:t>
            </w:r>
          </w:p>
        </w:tc>
        <w:tc>
          <w:tcPr>
            <w:tcW w:w="106" w:type="dxa"/>
            <w:tcBorders>
              <w:bottom w:val="single" w:sz="8" w:space="0" w:color="000000"/>
            </w:tcBorders>
            <w:shd w:fill="FFFFFF" w:val="clear"/>
            <w:tcMar>
              <w:bottom w:w="28" w:type="dxa"/>
            </w:tcMar>
            <w:vAlign w:val="bottom"/>
          </w:tcPr>
          <w:p>
            <w:pPr>
              <w:pStyle w:val="TableContents"/>
              <w:spacing w:before="0" w:after="283"/>
              <w:rPr/>
            </w:pPr>
            <w:r>
              <w:rPr/>
              <w:t xml:space="preserve">​ </w:t>
            </w:r>
          </w:p>
        </w:tc>
        <w:tc>
          <w:tcPr>
            <w:tcW w:w="619" w:type="dxa"/>
            <w:tcBorders>
              <w:bottom w:val="single" w:sz="8" w:space="0" w:color="000000"/>
            </w:tcBorders>
            <w:shd w:fill="FFFFFF" w:val="clear"/>
            <w:tcMar>
              <w:bottom w:w="28" w:type="dxa"/>
            </w:tcMar>
            <w:vAlign w:val="bottom"/>
          </w:tcPr>
          <w:p>
            <w:pPr>
              <w:pStyle w:val="TableContents"/>
              <w:spacing w:before="0" w:after="283"/>
              <w:jc w:val="right"/>
              <w:rPr/>
            </w:pPr>
            <w:r>
              <w:rPr/>
              <w:t xml:space="preserve">​ </w:t>
            </w:r>
          </w:p>
        </w:tc>
        <w:tc>
          <w:tcPr>
            <w:tcW w:w="100" w:type="dxa"/>
            <w:tcBorders/>
            <w:shd w:fill="FFFFFF" w:val="clear"/>
            <w:vAlign w:val="bottom"/>
          </w:tcPr>
          <w:p>
            <w:pPr>
              <w:pStyle w:val="TableContents"/>
              <w:spacing w:before="0" w:after="283"/>
              <w:rPr/>
            </w:pPr>
            <w:r>
              <w:rPr/>
              <w:t>​</w:t>
            </w:r>
          </w:p>
        </w:tc>
        <w:tc>
          <w:tcPr>
            <w:tcW w:w="105" w:type="dxa"/>
            <w:tcBorders>
              <w:bottom w:val="single" w:sz="8" w:space="0" w:color="000000"/>
            </w:tcBorders>
            <w:shd w:fill="FFFFFF" w:val="clear"/>
            <w:tcMar>
              <w:bottom w:w="28" w:type="dxa"/>
            </w:tcMar>
            <w:vAlign w:val="bottom"/>
          </w:tcPr>
          <w:p>
            <w:pPr>
              <w:pStyle w:val="TableContents"/>
              <w:spacing w:before="0" w:after="283"/>
              <w:rPr/>
            </w:pPr>
            <w:r>
              <w:rPr/>
              <w:t xml:space="preserve">​ </w:t>
            </w:r>
          </w:p>
        </w:tc>
        <w:tc>
          <w:tcPr>
            <w:tcW w:w="619" w:type="dxa"/>
            <w:tcBorders>
              <w:bottom w:val="single" w:sz="8" w:space="0" w:color="000000"/>
            </w:tcBorders>
            <w:shd w:fill="FFFFFF" w:val="clear"/>
            <w:tcMar>
              <w:bottom w:w="28" w:type="dxa"/>
            </w:tcMar>
            <w:vAlign w:val="bottom"/>
          </w:tcPr>
          <w:p>
            <w:pPr>
              <w:pStyle w:val="TableContents"/>
              <w:spacing w:before="0" w:after="283"/>
              <w:jc w:val="right"/>
              <w:rPr/>
            </w:pPr>
            <w:r>
              <w:rPr/>
              <w:t xml:space="preserve">​ </w:t>
            </w:r>
          </w:p>
        </w:tc>
        <w:tc>
          <w:tcPr>
            <w:tcW w:w="100" w:type="dxa"/>
            <w:tcBorders/>
            <w:shd w:fill="FFFFFF" w:val="clear"/>
            <w:vAlign w:val="bottom"/>
          </w:tcPr>
          <w:p>
            <w:pPr>
              <w:pStyle w:val="TableContents"/>
              <w:spacing w:before="0" w:after="283"/>
              <w:rPr/>
            </w:pPr>
            <w:r>
              <w:rPr/>
              <w:t>​</w:t>
            </w:r>
          </w:p>
        </w:tc>
        <w:tc>
          <w:tcPr>
            <w:tcW w:w="106" w:type="dxa"/>
            <w:tcBorders>
              <w:bottom w:val="single" w:sz="8" w:space="0" w:color="000000"/>
            </w:tcBorders>
            <w:shd w:fill="FFFFFF" w:val="clear"/>
            <w:tcMar>
              <w:bottom w:w="28" w:type="dxa"/>
            </w:tcMar>
            <w:vAlign w:val="bottom"/>
          </w:tcPr>
          <w:p>
            <w:pPr>
              <w:pStyle w:val="TableContents"/>
              <w:spacing w:before="0" w:after="283"/>
              <w:rPr/>
            </w:pPr>
            <w:r>
              <w:rPr/>
              <w:t xml:space="preserve">​ </w:t>
            </w:r>
          </w:p>
        </w:tc>
        <w:tc>
          <w:tcPr>
            <w:tcW w:w="618" w:type="dxa"/>
            <w:tcBorders>
              <w:bottom w:val="single" w:sz="8" w:space="0" w:color="000000"/>
            </w:tcBorders>
            <w:shd w:fill="FFFFFF" w:val="clear"/>
            <w:tcMar>
              <w:bottom w:w="28" w:type="dxa"/>
            </w:tcMar>
            <w:vAlign w:val="bottom"/>
          </w:tcPr>
          <w:p>
            <w:pPr>
              <w:pStyle w:val="TableContents"/>
              <w:spacing w:before="0" w:after="283"/>
              <w:jc w:val="right"/>
              <w:rPr/>
            </w:pPr>
            <w:r>
              <w:rPr/>
              <w:t xml:space="preserve">​ </w:t>
            </w:r>
          </w:p>
        </w:tc>
        <w:tc>
          <w:tcPr>
            <w:tcW w:w="100" w:type="dxa"/>
            <w:tcBorders/>
            <w:shd w:fill="FFFFFF" w:val="clear"/>
            <w:vAlign w:val="bottom"/>
          </w:tcPr>
          <w:p>
            <w:pPr>
              <w:pStyle w:val="TableContents"/>
              <w:spacing w:before="0" w:after="283"/>
              <w:rPr/>
            </w:pPr>
            <w:r>
              <w:rPr/>
              <w:t>​</w:t>
            </w:r>
          </w:p>
        </w:tc>
        <w:tc>
          <w:tcPr>
            <w:tcW w:w="106" w:type="dxa"/>
            <w:tcBorders>
              <w:bottom w:val="single" w:sz="8" w:space="0" w:color="000000"/>
            </w:tcBorders>
            <w:shd w:fill="FFFFFF" w:val="clear"/>
            <w:tcMar>
              <w:bottom w:w="28" w:type="dxa"/>
            </w:tcMar>
            <w:vAlign w:val="bottom"/>
          </w:tcPr>
          <w:p>
            <w:pPr>
              <w:pStyle w:val="TableContents"/>
              <w:spacing w:before="0" w:after="283"/>
              <w:rPr/>
            </w:pPr>
            <w:r>
              <w:rPr/>
              <w:t xml:space="preserve">​ </w:t>
            </w:r>
          </w:p>
        </w:tc>
        <w:tc>
          <w:tcPr>
            <w:tcW w:w="619" w:type="dxa"/>
            <w:tcBorders>
              <w:bottom w:val="single" w:sz="8" w:space="0" w:color="000000"/>
            </w:tcBorders>
            <w:shd w:fill="FFFFFF" w:val="clear"/>
            <w:tcMar>
              <w:bottom w:w="28" w:type="dxa"/>
            </w:tcMar>
            <w:vAlign w:val="bottom"/>
          </w:tcPr>
          <w:p>
            <w:pPr>
              <w:pStyle w:val="TableContents"/>
              <w:spacing w:before="0" w:after="283"/>
              <w:jc w:val="right"/>
              <w:rPr/>
            </w:pPr>
            <w:r>
              <w:rPr/>
              <w:t xml:space="preserve">​ </w:t>
            </w:r>
          </w:p>
        </w:tc>
        <w:tc>
          <w:tcPr>
            <w:tcW w:w="100" w:type="dxa"/>
            <w:tcBorders/>
            <w:shd w:fill="FFFFFF" w:val="clear"/>
            <w:vAlign w:val="bottom"/>
          </w:tcPr>
          <w:p>
            <w:pPr>
              <w:pStyle w:val="TableContents"/>
              <w:spacing w:before="0" w:after="283"/>
              <w:rPr/>
            </w:pPr>
            <w:r>
              <w:rPr/>
              <w:t>​</w:t>
            </w:r>
          </w:p>
        </w:tc>
        <w:tc>
          <w:tcPr>
            <w:tcW w:w="106" w:type="dxa"/>
            <w:tcBorders>
              <w:bottom w:val="single" w:sz="8" w:space="0" w:color="000000"/>
            </w:tcBorders>
            <w:shd w:fill="FFFFFF" w:val="clear"/>
            <w:tcMar>
              <w:bottom w:w="28" w:type="dxa"/>
            </w:tcMar>
            <w:vAlign w:val="bottom"/>
          </w:tcPr>
          <w:p>
            <w:pPr>
              <w:pStyle w:val="TableContents"/>
              <w:spacing w:before="0" w:after="283"/>
              <w:rPr/>
            </w:pPr>
            <w:r>
              <w:rPr/>
              <w:t xml:space="preserve">​ </w:t>
            </w:r>
          </w:p>
        </w:tc>
        <w:tc>
          <w:tcPr>
            <w:tcW w:w="618" w:type="dxa"/>
            <w:tcBorders>
              <w:bottom w:val="single" w:sz="8" w:space="0" w:color="000000"/>
            </w:tcBorders>
            <w:shd w:fill="FFFFFF" w:val="clear"/>
            <w:tcMar>
              <w:bottom w:w="28" w:type="dxa"/>
            </w:tcMar>
            <w:vAlign w:val="bottom"/>
          </w:tcPr>
          <w:p>
            <w:pPr>
              <w:pStyle w:val="TableContents"/>
              <w:spacing w:before="0" w:after="283"/>
              <w:jc w:val="right"/>
              <w:rPr/>
            </w:pPr>
            <w:r>
              <w:rPr/>
              <w:t xml:space="preserve">​ </w:t>
            </w:r>
          </w:p>
        </w:tc>
        <w:tc>
          <w:tcPr>
            <w:tcW w:w="201" w:type="dxa"/>
            <w:tcBorders/>
            <w:shd w:fill="FFFFFF" w:val="clear"/>
            <w:vAlign w:val="bottom"/>
          </w:tcPr>
          <w:p>
            <w:pPr>
              <w:pStyle w:val="TableContents"/>
              <w:spacing w:before="0" w:after="283"/>
              <w:rPr/>
            </w:pPr>
            <w:r>
              <w:rPr/>
              <w:t xml:space="preserve">​ </w:t>
            </w:r>
          </w:p>
        </w:tc>
      </w:tr>
    </w:tbl>
    <w:p>
      <w:pPr>
        <w:pStyle w:val="TextBody"/>
        <w:rPr>
          <w:rFonts w:ascii="times" w:hAnsi="times"/>
          <w:bdr w:val="single" w:sz="8" w:space="12" w:color="000000"/>
        </w:rPr>
      </w:pPr>
      <w:r>
        <w:rPr>
          <w:rFonts w:ascii="times" w:hAnsi="times"/>
          <w:b/>
          <w:sz w:val="20"/>
          <w:bdr w:val="single" w:sz="8" w:space="12" w:color="000000"/>
        </w:rPr>
        <w:t>Distributable cash flow.</w:t>
      </w:r>
      <w:r>
        <w:rPr>
          <w:rFonts w:ascii="times" w:hAnsi="times"/>
          <w:bdr w:val="single" w:sz="8" w:space="12" w:color="000000"/>
        </w:rPr>
        <w:t> </w:t>
      </w:r>
      <w:r>
        <w:rPr>
          <w:rFonts w:ascii="times" w:hAnsi="times"/>
          <w:sz w:val="20"/>
          <w:bdr w:val="single" w:sz="8" w:space="12" w:color="000000"/>
        </w:rPr>
        <w:t xml:space="preserve">Distributable cash flow means Adjusted EBITDA, on the basis of the Partnership Performance Results, after considering financial costs for the year, including realized loss on derivatives (interest rate swaps and forward foreign exchange contracts) and excluding amortization of loan fees, lease expense, estimated dry-docking and replacement capital reserves established by the Partnership and accrued distributions on Preference Units, whether or not declared. Estimated dry-docking and replacement capital reserves represent capital expenditures required to renew and maintain over the long-term the operating capacity of, or the revenues generated by, our capital assets. The Partnership believes that Distributable cash flow, which is a non-GAAP financial measure, is useful as a quantitative standard used by investors in publicly traded partnerships to assess their ability to make quarterly cash distributions. Our calculation of Distributable cash flow may not be comparable to that reported by other companies. </w:t>
      </w:r>
    </w:p>
    <w:p>
      <w:pPr>
        <w:pStyle w:val="TextBody"/>
        <w:jc w:val="center"/>
        <w:rPr>
          <w:rFonts w:ascii="times" w:hAnsi="times"/>
          <w:sz w:val="20"/>
        </w:rPr>
      </w:pPr>
      <w:r>
        <w:rPr>
          <w:rFonts w:ascii="times" w:hAnsi="times"/>
          <w:sz w:val="20"/>
        </w:rPr>
        <w:t>S-19</w:t>
      </w:r>
    </w:p>
    <w:p>
      <w:pPr>
        <w:pStyle w:val="HorizontalLine"/>
        <w:pBdr>
          <w:bottom w:val="single" w:sz="20" w:space="0" w:color="808080"/>
        </w:pBdr>
        <w:rPr/>
      </w:pPr>
      <w:r>
        <w:rPr/>
      </w:r>
      <w:r>
        <w:br w:type="page"/>
      </w:r>
    </w:p>
    <w:p>
      <w:pPr>
        <w:pStyle w:val="TextBody"/>
        <w:rPr/>
      </w:pPr>
      <w:hyperlink w:anchor="bE43504A_main_toc">
        <w:bookmarkStart w:id="58" w:name="page_bo43504_1_20"/>
        <w:bookmarkEnd w:id="58"/>
        <w:r>
          <w:rPr>
            <w:rStyle w:val="InternetLink"/>
            <w:rFonts w:ascii="times" w:hAnsi="times"/>
            <w:sz w:val="20"/>
          </w:rPr>
          <w:t>Table of Contents</w:t>
        </w:r>
      </w:hyperlink>
    </w:p>
    <w:p>
      <w:pPr>
        <w:pStyle w:val="TextBody"/>
        <w:rPr>
          <w:rFonts w:ascii="times" w:hAnsi="times"/>
          <w:sz w:val="20"/>
          <w:bdr w:val="single" w:sz="8" w:space="12" w:color="000000"/>
        </w:rPr>
      </w:pPr>
      <w:r>
        <w:rPr>
          <w:rFonts w:ascii="times" w:hAnsi="times"/>
          <w:sz w:val="20"/>
          <w:bdr w:val="single" w:sz="8" w:space="12" w:color="000000"/>
        </w:rPr>
        <w:t xml:space="preserve">Distributable cash flow has limitations as an analytical tool and should not be considered as an alternative to, or substitute for, or superior to, profit or loss, profit or loss from operations, earnings per unit or any other measure of operating performance presented in accordance with IFRS. </w:t>
      </w:r>
    </w:p>
    <w:p>
      <w:pPr>
        <w:pStyle w:val="TextBody"/>
        <w:rPr>
          <w:rFonts w:ascii="times" w:hAnsi="times"/>
          <w:sz w:val="20"/>
          <w:bdr w:val="single" w:sz="8" w:space="12" w:color="000000"/>
        </w:rPr>
      </w:pPr>
      <w:r>
        <w:rPr>
          <w:rFonts w:ascii="times" w:hAnsi="times"/>
          <w:sz w:val="20"/>
          <w:bdr w:val="single" w:sz="8" w:space="12" w:color="000000"/>
        </w:rPr>
        <w:t xml:space="preserve">The table below reconciles Distributable cash flow and Cash distributions declared to EBITDA and Adjusted EBITDA (Partnership Performance Results). </w:t>
      </w:r>
    </w:p>
    <w:p>
      <w:pPr>
        <w:pStyle w:val="TextBody"/>
        <w:ind w:left="200" w:right="0" w:hanging="200"/>
        <w:rPr>
          <w:rFonts w:ascii="times" w:hAnsi="times"/>
          <w:b/>
          <w:sz w:val="20"/>
          <w:bdr w:val="single" w:sz="8" w:space="12" w:color="000000"/>
        </w:rPr>
      </w:pPr>
      <w:bookmarkStart w:id="59" w:name="toc_bo43504_2"/>
      <w:bookmarkStart w:id="60" w:name="bo43504_reconciliation_of_profit_to_epu_"/>
      <w:bookmarkEnd w:id="59"/>
      <w:bookmarkEnd w:id="60"/>
      <w:r>
        <w:rPr>
          <w:rFonts w:ascii="times" w:hAnsi="times"/>
          <w:b/>
          <w:sz w:val="20"/>
          <w:bdr w:val="single" w:sz="8" w:space="12" w:color="000000"/>
        </w:rPr>
        <w:t xml:space="preserve">Reconciliation of Profit to EPU and Adjusted EPU: </w:t>
      </w:r>
    </w:p>
    <w:tbl>
      <w:tblPr>
        <w:tblW w:w="5000" w:type="pct"/>
        <w:jc w:val="center"/>
        <w:tblInd w:w="0" w:type="dxa"/>
        <w:tblCellMar>
          <w:top w:w="0" w:type="dxa"/>
          <w:left w:w="0" w:type="dxa"/>
          <w:bottom w:w="0" w:type="dxa"/>
          <w:right w:w="0" w:type="dxa"/>
        </w:tblCellMar>
      </w:tblPr>
      <w:tblGrid>
        <w:gridCol w:w="4059"/>
        <w:gridCol w:w="164"/>
        <w:gridCol w:w="95"/>
        <w:gridCol w:w="936"/>
        <w:gridCol w:w="164"/>
        <w:gridCol w:w="95"/>
        <w:gridCol w:w="936"/>
        <w:gridCol w:w="164"/>
        <w:gridCol w:w="95"/>
        <w:gridCol w:w="936"/>
        <w:gridCol w:w="164"/>
        <w:gridCol w:w="95"/>
        <w:gridCol w:w="936"/>
        <w:gridCol w:w="164"/>
        <w:gridCol w:w="95"/>
        <w:gridCol w:w="936"/>
        <w:gridCol w:w="171"/>
      </w:tblGrid>
      <w:tr>
        <w:trPr/>
        <w:tc>
          <w:tcPr>
            <w:tcW w:w="4059" w:type="dxa"/>
            <w:tcBorders/>
            <w:shd w:fill="auto" w:val="clear"/>
            <w:vAlign w:val="center"/>
          </w:tcPr>
          <w:p>
            <w:pPr>
              <w:pStyle w:val="TableContents"/>
              <w:spacing w:before="0" w:after="283"/>
              <w:rPr>
                <w:sz w:val="4"/>
                <w:szCs w:val="4"/>
              </w:rPr>
            </w:pPr>
            <w:r>
              <w:rPr>
                <w:sz w:val="4"/>
                <w:szCs w:val="4"/>
              </w:rPr>
            </w:r>
          </w:p>
        </w:tc>
        <w:tc>
          <w:tcPr>
            <w:tcW w:w="164" w:type="dxa"/>
            <w:tcBorders/>
            <w:shd w:fill="auto" w:val="clear"/>
            <w:vAlign w:val="center"/>
          </w:tcPr>
          <w:p>
            <w:pPr>
              <w:pStyle w:val="TableContents"/>
              <w:spacing w:before="0" w:after="283"/>
              <w:rPr>
                <w:sz w:val="4"/>
                <w:szCs w:val="4"/>
              </w:rPr>
            </w:pPr>
            <w:r>
              <w:rPr>
                <w:sz w:val="4"/>
                <w:szCs w:val="4"/>
              </w:rPr>
            </w:r>
          </w:p>
        </w:tc>
        <w:tc>
          <w:tcPr>
            <w:tcW w:w="95" w:type="dxa"/>
            <w:tcBorders/>
            <w:shd w:fill="auto" w:val="clear"/>
            <w:vAlign w:val="center"/>
          </w:tcPr>
          <w:p>
            <w:pPr>
              <w:pStyle w:val="TableContents"/>
              <w:spacing w:before="0" w:after="283"/>
              <w:rPr>
                <w:sz w:val="4"/>
                <w:szCs w:val="4"/>
              </w:rPr>
            </w:pPr>
            <w:r>
              <w:rPr>
                <w:sz w:val="4"/>
                <w:szCs w:val="4"/>
              </w:rPr>
            </w:r>
          </w:p>
        </w:tc>
        <w:tc>
          <w:tcPr>
            <w:tcW w:w="936" w:type="dxa"/>
            <w:tcBorders/>
            <w:shd w:fill="auto" w:val="clear"/>
            <w:vAlign w:val="center"/>
          </w:tcPr>
          <w:p>
            <w:pPr>
              <w:pStyle w:val="TableContents"/>
              <w:spacing w:before="0" w:after="283"/>
              <w:rPr>
                <w:sz w:val="4"/>
                <w:szCs w:val="4"/>
              </w:rPr>
            </w:pPr>
            <w:r>
              <w:rPr>
                <w:sz w:val="4"/>
                <w:szCs w:val="4"/>
              </w:rPr>
            </w:r>
          </w:p>
        </w:tc>
        <w:tc>
          <w:tcPr>
            <w:tcW w:w="164" w:type="dxa"/>
            <w:tcBorders/>
            <w:shd w:fill="auto" w:val="clear"/>
            <w:vAlign w:val="center"/>
          </w:tcPr>
          <w:p>
            <w:pPr>
              <w:pStyle w:val="TableContents"/>
              <w:spacing w:before="0" w:after="283"/>
              <w:rPr>
                <w:sz w:val="4"/>
                <w:szCs w:val="4"/>
              </w:rPr>
            </w:pPr>
            <w:r>
              <w:rPr>
                <w:sz w:val="4"/>
                <w:szCs w:val="4"/>
              </w:rPr>
            </w:r>
          </w:p>
        </w:tc>
        <w:tc>
          <w:tcPr>
            <w:tcW w:w="95" w:type="dxa"/>
            <w:tcBorders/>
            <w:shd w:fill="auto" w:val="clear"/>
            <w:vAlign w:val="center"/>
          </w:tcPr>
          <w:p>
            <w:pPr>
              <w:pStyle w:val="TableContents"/>
              <w:spacing w:before="0" w:after="283"/>
              <w:rPr>
                <w:sz w:val="4"/>
                <w:szCs w:val="4"/>
              </w:rPr>
            </w:pPr>
            <w:r>
              <w:rPr>
                <w:sz w:val="4"/>
                <w:szCs w:val="4"/>
              </w:rPr>
            </w:r>
          </w:p>
        </w:tc>
        <w:tc>
          <w:tcPr>
            <w:tcW w:w="936" w:type="dxa"/>
            <w:tcBorders/>
            <w:shd w:fill="auto" w:val="clear"/>
            <w:vAlign w:val="center"/>
          </w:tcPr>
          <w:p>
            <w:pPr>
              <w:pStyle w:val="TableContents"/>
              <w:spacing w:before="0" w:after="283"/>
              <w:rPr>
                <w:sz w:val="4"/>
                <w:szCs w:val="4"/>
              </w:rPr>
            </w:pPr>
            <w:r>
              <w:rPr>
                <w:sz w:val="4"/>
                <w:szCs w:val="4"/>
              </w:rPr>
            </w:r>
          </w:p>
        </w:tc>
        <w:tc>
          <w:tcPr>
            <w:tcW w:w="164" w:type="dxa"/>
            <w:tcBorders/>
            <w:shd w:fill="auto" w:val="clear"/>
            <w:vAlign w:val="center"/>
          </w:tcPr>
          <w:p>
            <w:pPr>
              <w:pStyle w:val="TableContents"/>
              <w:spacing w:before="0" w:after="283"/>
              <w:rPr>
                <w:sz w:val="4"/>
                <w:szCs w:val="4"/>
              </w:rPr>
            </w:pPr>
            <w:r>
              <w:rPr>
                <w:sz w:val="4"/>
                <w:szCs w:val="4"/>
              </w:rPr>
            </w:r>
          </w:p>
        </w:tc>
        <w:tc>
          <w:tcPr>
            <w:tcW w:w="95" w:type="dxa"/>
            <w:tcBorders/>
            <w:shd w:fill="auto" w:val="clear"/>
            <w:vAlign w:val="center"/>
          </w:tcPr>
          <w:p>
            <w:pPr>
              <w:pStyle w:val="TableContents"/>
              <w:spacing w:before="0" w:after="283"/>
              <w:rPr>
                <w:sz w:val="4"/>
                <w:szCs w:val="4"/>
              </w:rPr>
            </w:pPr>
            <w:r>
              <w:rPr>
                <w:sz w:val="4"/>
                <w:szCs w:val="4"/>
              </w:rPr>
            </w:r>
          </w:p>
        </w:tc>
        <w:tc>
          <w:tcPr>
            <w:tcW w:w="936" w:type="dxa"/>
            <w:tcBorders/>
            <w:shd w:fill="auto" w:val="clear"/>
            <w:vAlign w:val="center"/>
          </w:tcPr>
          <w:p>
            <w:pPr>
              <w:pStyle w:val="TableContents"/>
              <w:spacing w:before="0" w:after="283"/>
              <w:rPr>
                <w:sz w:val="4"/>
                <w:szCs w:val="4"/>
              </w:rPr>
            </w:pPr>
            <w:r>
              <w:rPr>
                <w:sz w:val="4"/>
                <w:szCs w:val="4"/>
              </w:rPr>
            </w:r>
          </w:p>
        </w:tc>
        <w:tc>
          <w:tcPr>
            <w:tcW w:w="164" w:type="dxa"/>
            <w:tcBorders/>
            <w:shd w:fill="auto" w:val="clear"/>
            <w:vAlign w:val="center"/>
          </w:tcPr>
          <w:p>
            <w:pPr>
              <w:pStyle w:val="TableContents"/>
              <w:spacing w:before="0" w:after="283"/>
              <w:rPr>
                <w:sz w:val="4"/>
                <w:szCs w:val="4"/>
              </w:rPr>
            </w:pPr>
            <w:r>
              <w:rPr>
                <w:sz w:val="4"/>
                <w:szCs w:val="4"/>
              </w:rPr>
            </w:r>
          </w:p>
        </w:tc>
        <w:tc>
          <w:tcPr>
            <w:tcW w:w="95" w:type="dxa"/>
            <w:tcBorders/>
            <w:shd w:fill="auto" w:val="clear"/>
            <w:vAlign w:val="center"/>
          </w:tcPr>
          <w:p>
            <w:pPr>
              <w:pStyle w:val="TableContents"/>
              <w:spacing w:before="0" w:after="283"/>
              <w:rPr>
                <w:sz w:val="4"/>
                <w:szCs w:val="4"/>
              </w:rPr>
            </w:pPr>
            <w:r>
              <w:rPr>
                <w:sz w:val="4"/>
                <w:szCs w:val="4"/>
              </w:rPr>
            </w:r>
          </w:p>
        </w:tc>
        <w:tc>
          <w:tcPr>
            <w:tcW w:w="936" w:type="dxa"/>
            <w:tcBorders/>
            <w:shd w:fill="auto" w:val="clear"/>
            <w:vAlign w:val="center"/>
          </w:tcPr>
          <w:p>
            <w:pPr>
              <w:pStyle w:val="TableContents"/>
              <w:spacing w:before="0" w:after="283"/>
              <w:rPr>
                <w:sz w:val="4"/>
                <w:szCs w:val="4"/>
              </w:rPr>
            </w:pPr>
            <w:r>
              <w:rPr>
                <w:sz w:val="4"/>
                <w:szCs w:val="4"/>
              </w:rPr>
            </w:r>
          </w:p>
        </w:tc>
        <w:tc>
          <w:tcPr>
            <w:tcW w:w="164" w:type="dxa"/>
            <w:tcBorders/>
            <w:shd w:fill="auto" w:val="clear"/>
            <w:vAlign w:val="center"/>
          </w:tcPr>
          <w:p>
            <w:pPr>
              <w:pStyle w:val="TableContents"/>
              <w:spacing w:before="0" w:after="283"/>
              <w:rPr>
                <w:sz w:val="4"/>
                <w:szCs w:val="4"/>
              </w:rPr>
            </w:pPr>
            <w:r>
              <w:rPr>
                <w:sz w:val="4"/>
                <w:szCs w:val="4"/>
              </w:rPr>
            </w:r>
          </w:p>
        </w:tc>
        <w:tc>
          <w:tcPr>
            <w:tcW w:w="95" w:type="dxa"/>
            <w:tcBorders/>
            <w:shd w:fill="auto" w:val="clear"/>
            <w:vAlign w:val="center"/>
          </w:tcPr>
          <w:p>
            <w:pPr>
              <w:pStyle w:val="TableContents"/>
              <w:spacing w:before="0" w:after="283"/>
              <w:rPr>
                <w:sz w:val="4"/>
                <w:szCs w:val="4"/>
              </w:rPr>
            </w:pPr>
            <w:r>
              <w:rPr>
                <w:sz w:val="4"/>
                <w:szCs w:val="4"/>
              </w:rPr>
            </w:r>
          </w:p>
        </w:tc>
        <w:tc>
          <w:tcPr>
            <w:tcW w:w="936" w:type="dxa"/>
            <w:tcBorders/>
            <w:shd w:fill="auto" w:val="clear"/>
            <w:vAlign w:val="center"/>
          </w:tcPr>
          <w:p>
            <w:pPr>
              <w:pStyle w:val="TableContents"/>
              <w:spacing w:before="0" w:after="283"/>
              <w:rPr>
                <w:sz w:val="4"/>
                <w:szCs w:val="4"/>
              </w:rPr>
            </w:pPr>
            <w:r>
              <w:rPr>
                <w:sz w:val="4"/>
                <w:szCs w:val="4"/>
              </w:rPr>
            </w:r>
          </w:p>
        </w:tc>
        <w:tc>
          <w:tcPr>
            <w:tcW w:w="171" w:type="dxa"/>
            <w:tcBorders/>
            <w:shd w:fill="auto" w:val="clear"/>
            <w:vAlign w:val="center"/>
          </w:tcPr>
          <w:p>
            <w:pPr>
              <w:pStyle w:val="TableContents"/>
              <w:spacing w:before="0" w:after="283"/>
              <w:rPr>
                <w:sz w:val="4"/>
                <w:szCs w:val="4"/>
              </w:rPr>
            </w:pPr>
            <w:r>
              <w:rPr>
                <w:sz w:val="4"/>
                <w:szCs w:val="4"/>
              </w:rPr>
            </w:r>
          </w:p>
        </w:tc>
      </w:tr>
      <w:tr>
        <w:trPr/>
        <w:tc>
          <w:tcPr>
            <w:tcW w:w="4059" w:type="dxa"/>
            <w:tcBorders/>
            <w:shd w:fill="auto" w:val="clear"/>
            <w:vAlign w:val="bottom"/>
          </w:tcPr>
          <w:p>
            <w:pPr>
              <w:pStyle w:val="TableHeading"/>
              <w:spacing w:before="0" w:after="283"/>
              <w:jc w:val="left"/>
              <w:rPr/>
            </w:pPr>
            <w:r>
              <w:rPr/>
              <w:t> </w:t>
            </w:r>
          </w:p>
        </w:tc>
        <w:tc>
          <w:tcPr>
            <w:tcW w:w="164" w:type="dxa"/>
            <w:tcBorders/>
            <w:shd w:fill="auto" w:val="clear"/>
            <w:vAlign w:val="bottom"/>
          </w:tcPr>
          <w:p>
            <w:pPr>
              <w:pStyle w:val="TableHeading"/>
              <w:suppressLineNumbers/>
              <w:spacing w:before="0" w:after="283"/>
              <w:jc w:val="center"/>
              <w:rPr/>
            </w:pPr>
            <w:r>
              <w:rPr/>
              <w:t> </w:t>
            </w:r>
          </w:p>
        </w:tc>
        <w:tc>
          <w:tcPr>
            <w:tcW w:w="5811" w:type="dxa"/>
            <w:gridSpan w:val="14"/>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Year Ended December 31, </w:t>
            </w:r>
          </w:p>
        </w:tc>
        <w:tc>
          <w:tcPr>
            <w:tcW w:w="171" w:type="dxa"/>
            <w:tcBorders/>
            <w:shd w:fill="auto" w:val="clear"/>
            <w:vAlign w:val="bottom"/>
          </w:tcPr>
          <w:p>
            <w:pPr>
              <w:pStyle w:val="TableHeading"/>
              <w:suppressLineNumbers/>
              <w:spacing w:before="0" w:after="283"/>
              <w:jc w:val="center"/>
              <w:rPr/>
            </w:pPr>
            <w:r>
              <w:rPr/>
              <w:t> </w:t>
            </w:r>
          </w:p>
        </w:tc>
      </w:tr>
      <w:tr>
        <w:trPr/>
        <w:tc>
          <w:tcPr>
            <w:tcW w:w="4059" w:type="dxa"/>
            <w:tcBorders/>
            <w:shd w:fill="auto" w:val="clear"/>
            <w:vAlign w:val="bottom"/>
          </w:tcPr>
          <w:p>
            <w:pPr>
              <w:pStyle w:val="TableHeading"/>
              <w:spacing w:before="0" w:after="283"/>
              <w:jc w:val="left"/>
              <w:rPr/>
            </w:pPr>
            <w:r>
              <w:rPr/>
              <w:t> </w:t>
            </w:r>
          </w:p>
        </w:tc>
        <w:tc>
          <w:tcPr>
            <w:tcW w:w="164" w:type="dxa"/>
            <w:tcBorders/>
            <w:shd w:fill="auto" w:val="clear"/>
            <w:vAlign w:val="bottom"/>
          </w:tcPr>
          <w:p>
            <w:pPr>
              <w:pStyle w:val="TableHeading"/>
              <w:suppressLineNumbers/>
              <w:spacing w:before="0" w:after="283"/>
              <w:jc w:val="center"/>
              <w:rPr/>
            </w:pPr>
            <w:r>
              <w:rPr/>
              <w:t> </w:t>
            </w:r>
          </w:p>
        </w:tc>
        <w:tc>
          <w:tcPr>
            <w:tcW w:w="1031" w:type="dxa"/>
            <w:gridSpan w:val="2"/>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2016 </w:t>
            </w:r>
          </w:p>
        </w:tc>
        <w:tc>
          <w:tcPr>
            <w:tcW w:w="164" w:type="dxa"/>
            <w:tcBorders/>
            <w:shd w:fill="auto" w:val="clear"/>
            <w:vAlign w:val="bottom"/>
          </w:tcPr>
          <w:p>
            <w:pPr>
              <w:pStyle w:val="TableHeading"/>
              <w:suppressLineNumbers/>
              <w:spacing w:before="0" w:after="283"/>
              <w:jc w:val="center"/>
              <w:rPr/>
            </w:pPr>
            <w:r>
              <w:rPr/>
              <w:t> </w:t>
            </w:r>
          </w:p>
        </w:tc>
        <w:tc>
          <w:tcPr>
            <w:tcW w:w="1031" w:type="dxa"/>
            <w:gridSpan w:val="2"/>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2017 </w:t>
            </w:r>
          </w:p>
        </w:tc>
        <w:tc>
          <w:tcPr>
            <w:tcW w:w="164" w:type="dxa"/>
            <w:tcBorders/>
            <w:shd w:fill="auto" w:val="clear"/>
            <w:vAlign w:val="bottom"/>
          </w:tcPr>
          <w:p>
            <w:pPr>
              <w:pStyle w:val="TableHeading"/>
              <w:suppressLineNumbers/>
              <w:spacing w:before="0" w:after="283"/>
              <w:jc w:val="center"/>
              <w:rPr/>
            </w:pPr>
            <w:r>
              <w:rPr/>
              <w:t> </w:t>
            </w:r>
          </w:p>
        </w:tc>
        <w:tc>
          <w:tcPr>
            <w:tcW w:w="1031" w:type="dxa"/>
            <w:gridSpan w:val="2"/>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2018 </w:t>
            </w:r>
          </w:p>
        </w:tc>
        <w:tc>
          <w:tcPr>
            <w:tcW w:w="164" w:type="dxa"/>
            <w:tcBorders/>
            <w:shd w:fill="auto" w:val="clear"/>
            <w:vAlign w:val="bottom"/>
          </w:tcPr>
          <w:p>
            <w:pPr>
              <w:pStyle w:val="TableHeading"/>
              <w:suppressLineNumbers/>
              <w:spacing w:before="0" w:after="283"/>
              <w:jc w:val="center"/>
              <w:rPr/>
            </w:pPr>
            <w:r>
              <w:rPr/>
              <w:t> </w:t>
            </w:r>
          </w:p>
        </w:tc>
        <w:tc>
          <w:tcPr>
            <w:tcW w:w="1031" w:type="dxa"/>
            <w:gridSpan w:val="2"/>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2019 </w:t>
            </w:r>
          </w:p>
        </w:tc>
        <w:tc>
          <w:tcPr>
            <w:tcW w:w="164" w:type="dxa"/>
            <w:tcBorders/>
            <w:shd w:fill="auto" w:val="clear"/>
            <w:vAlign w:val="bottom"/>
          </w:tcPr>
          <w:p>
            <w:pPr>
              <w:pStyle w:val="TableHeading"/>
              <w:suppressLineNumbers/>
              <w:spacing w:before="0" w:after="283"/>
              <w:jc w:val="center"/>
              <w:rPr/>
            </w:pPr>
            <w:r>
              <w:rPr/>
              <w:t> </w:t>
            </w:r>
          </w:p>
        </w:tc>
        <w:tc>
          <w:tcPr>
            <w:tcW w:w="1031" w:type="dxa"/>
            <w:gridSpan w:val="2"/>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2020 </w:t>
            </w:r>
          </w:p>
        </w:tc>
        <w:tc>
          <w:tcPr>
            <w:tcW w:w="171" w:type="dxa"/>
            <w:tcBorders/>
            <w:shd w:fill="auto" w:val="clear"/>
            <w:vAlign w:val="bottom"/>
          </w:tcPr>
          <w:p>
            <w:pPr>
              <w:pStyle w:val="TableHeading"/>
              <w:suppressLineNumbers/>
              <w:spacing w:before="0" w:after="283"/>
              <w:jc w:val="center"/>
              <w:rPr/>
            </w:pPr>
            <w:r>
              <w:rPr/>
              <w:t> </w:t>
            </w:r>
          </w:p>
        </w:tc>
      </w:tr>
      <w:tr>
        <w:trPr/>
        <w:tc>
          <w:tcPr>
            <w:tcW w:w="4059" w:type="dxa"/>
            <w:tcBorders/>
            <w:shd w:fill="auto" w:val="clear"/>
            <w:vAlign w:val="bottom"/>
          </w:tcPr>
          <w:p>
            <w:pPr>
              <w:pStyle w:val="TableHeading"/>
              <w:spacing w:before="0" w:after="283"/>
              <w:jc w:val="left"/>
              <w:rPr/>
            </w:pPr>
            <w:r>
              <w:rPr/>
              <w:t> </w:t>
            </w:r>
          </w:p>
        </w:tc>
        <w:tc>
          <w:tcPr>
            <w:tcW w:w="164" w:type="dxa"/>
            <w:tcBorders/>
            <w:shd w:fill="auto" w:val="clear"/>
            <w:vAlign w:val="bottom"/>
          </w:tcPr>
          <w:p>
            <w:pPr>
              <w:pStyle w:val="TableHeading"/>
              <w:suppressLineNumbers/>
              <w:spacing w:before="0" w:after="283"/>
              <w:jc w:val="center"/>
              <w:rPr/>
            </w:pPr>
            <w:r>
              <w:rPr/>
              <w:t> </w:t>
            </w:r>
          </w:p>
        </w:tc>
        <w:tc>
          <w:tcPr>
            <w:tcW w:w="1031" w:type="dxa"/>
            <w:gridSpan w:val="2"/>
            <w:tcBorders/>
            <w:shd w:fill="auto" w:val="clear"/>
            <w:vAlign w:val="bottom"/>
          </w:tcPr>
          <w:p>
            <w:pPr>
              <w:pStyle w:val="TableHeading"/>
              <w:spacing w:before="0" w:after="283"/>
              <w:jc w:val="left"/>
              <w:rPr/>
            </w:pPr>
            <w:r>
              <w:rPr/>
              <w:t> </w:t>
            </w:r>
          </w:p>
        </w:tc>
        <w:tc>
          <w:tcPr>
            <w:tcW w:w="164" w:type="dxa"/>
            <w:tcBorders/>
            <w:shd w:fill="auto" w:val="clear"/>
            <w:vAlign w:val="bottom"/>
          </w:tcPr>
          <w:p>
            <w:pPr>
              <w:pStyle w:val="TableHeading"/>
              <w:suppressLineNumbers/>
              <w:spacing w:before="0" w:after="283"/>
              <w:jc w:val="center"/>
              <w:rPr/>
            </w:pPr>
            <w:r>
              <w:rPr/>
              <w:t> </w:t>
            </w:r>
          </w:p>
        </w:tc>
        <w:tc>
          <w:tcPr>
            <w:tcW w:w="3421" w:type="dxa"/>
            <w:gridSpan w:val="8"/>
            <w:tcBorders/>
            <w:shd w:fill="auto" w:val="clear"/>
            <w:vAlign w:val="bottom"/>
          </w:tcPr>
          <w:p>
            <w:pPr>
              <w:pStyle w:val="TableHeading"/>
              <w:spacing w:before="0" w:after="283"/>
              <w:jc w:val="center"/>
              <w:rPr>
                <w:rFonts w:ascii="times" w:hAnsi="times"/>
                <w:b/>
                <w:sz w:val="14"/>
              </w:rPr>
            </w:pPr>
            <w:r>
              <w:rPr>
                <w:rFonts w:ascii="times" w:hAnsi="times"/>
                <w:b/>
                <w:sz w:val="14"/>
              </w:rPr>
              <w:t>(in thousands of U.S. dollars, except per unit data)</w:t>
            </w:r>
          </w:p>
        </w:tc>
        <w:tc>
          <w:tcPr>
            <w:tcW w:w="164" w:type="dxa"/>
            <w:tcBorders/>
            <w:shd w:fill="auto" w:val="clear"/>
            <w:vAlign w:val="bottom"/>
          </w:tcPr>
          <w:p>
            <w:pPr>
              <w:pStyle w:val="TableHeading"/>
              <w:suppressLineNumbers/>
              <w:spacing w:before="0" w:after="283"/>
              <w:jc w:val="center"/>
              <w:rPr/>
            </w:pPr>
            <w:r>
              <w:rPr/>
              <w:t> </w:t>
            </w:r>
          </w:p>
        </w:tc>
        <w:tc>
          <w:tcPr>
            <w:tcW w:w="1031" w:type="dxa"/>
            <w:gridSpan w:val="2"/>
            <w:tcBorders/>
            <w:shd w:fill="auto" w:val="clear"/>
            <w:vAlign w:val="bottom"/>
          </w:tcPr>
          <w:p>
            <w:pPr>
              <w:pStyle w:val="TableHeading"/>
              <w:spacing w:before="0" w:after="283"/>
              <w:jc w:val="left"/>
              <w:rPr/>
            </w:pPr>
            <w:r>
              <w:rPr/>
              <w:t> </w:t>
            </w:r>
          </w:p>
        </w:tc>
        <w:tc>
          <w:tcPr>
            <w:tcW w:w="171" w:type="dxa"/>
            <w:tcBorders/>
            <w:shd w:fill="auto" w:val="clear"/>
            <w:vAlign w:val="bottom"/>
          </w:tcPr>
          <w:p>
            <w:pPr>
              <w:pStyle w:val="TableHeading"/>
              <w:suppressLineNumbers/>
              <w:spacing w:before="0" w:after="283"/>
              <w:jc w:val="center"/>
              <w:rPr/>
            </w:pPr>
            <w:r>
              <w:rPr/>
              <w:t> </w:t>
            </w:r>
          </w:p>
        </w:tc>
      </w:tr>
      <w:tr>
        <w:trPr/>
        <w:tc>
          <w:tcPr>
            <w:tcW w:w="4059" w:type="dxa"/>
            <w:tcBorders/>
            <w:shd w:fill="auto" w:val="clear"/>
            <w:vAlign w:val="bottom"/>
          </w:tcPr>
          <w:p>
            <w:pPr>
              <w:pStyle w:val="TableContents"/>
              <w:spacing w:before="0" w:after="283"/>
              <w:ind w:left="140" w:right="0" w:hanging="140"/>
              <w:rPr>
                <w:rFonts w:ascii="times" w:hAnsi="times"/>
                <w:b/>
                <w:sz w:val="14"/>
              </w:rPr>
            </w:pPr>
            <w:r>
              <w:rPr>
                <w:rFonts w:ascii="times" w:hAnsi="times"/>
                <w:b/>
                <w:sz w:val="14"/>
              </w:rPr>
              <w:t>Profit/(loss) for the year</w:t>
            </w:r>
          </w:p>
        </w:tc>
        <w:tc>
          <w:tcPr>
            <w:tcW w:w="164"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rFonts w:ascii="times" w:hAnsi="times"/>
                <w:b/>
                <w:sz w:val="14"/>
              </w:rPr>
            </w:pPr>
            <w:r>
              <w:rPr>
                <w:rFonts w:ascii="times" w:hAnsi="times"/>
                <w:b/>
                <w:sz w:val="14"/>
              </w:rPr>
              <w:t>$</w:t>
            </w:r>
          </w:p>
        </w:tc>
        <w:tc>
          <w:tcPr>
            <w:tcW w:w="936" w:type="dxa"/>
            <w:tcBorders/>
            <w:shd w:fill="auto" w:val="clear"/>
            <w:vAlign w:val="bottom"/>
          </w:tcPr>
          <w:p>
            <w:pPr>
              <w:pStyle w:val="TableContents"/>
              <w:spacing w:before="0" w:after="283"/>
              <w:jc w:val="right"/>
              <w:rPr>
                <w:rFonts w:ascii="times" w:hAnsi="times"/>
                <w:b/>
                <w:sz w:val="14"/>
              </w:rPr>
            </w:pPr>
            <w:r>
              <w:rPr>
                <w:rFonts w:ascii="times" w:hAnsi="times"/>
                <w:b/>
                <w:sz w:val="14"/>
              </w:rPr>
              <w:t>106,387</w:t>
            </w:r>
          </w:p>
        </w:tc>
        <w:tc>
          <w:tcPr>
            <w:tcW w:w="164"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rFonts w:ascii="times" w:hAnsi="times"/>
                <w:b/>
                <w:sz w:val="14"/>
              </w:rPr>
            </w:pPr>
            <w:r>
              <w:rPr>
                <w:rFonts w:ascii="times" w:hAnsi="times"/>
                <w:b/>
                <w:sz w:val="14"/>
              </w:rPr>
              <w:t>$</w:t>
            </w:r>
          </w:p>
        </w:tc>
        <w:tc>
          <w:tcPr>
            <w:tcW w:w="936" w:type="dxa"/>
            <w:tcBorders/>
            <w:shd w:fill="auto" w:val="clear"/>
            <w:vAlign w:val="bottom"/>
          </w:tcPr>
          <w:p>
            <w:pPr>
              <w:pStyle w:val="TableContents"/>
              <w:spacing w:before="0" w:after="283"/>
              <w:jc w:val="right"/>
              <w:rPr>
                <w:rFonts w:ascii="times" w:hAnsi="times"/>
                <w:b/>
                <w:sz w:val="14"/>
              </w:rPr>
            </w:pPr>
            <w:r>
              <w:rPr>
                <w:rFonts w:ascii="times" w:hAnsi="times"/>
                <w:b/>
                <w:sz w:val="14"/>
              </w:rPr>
              <w:t>148,098</w:t>
            </w:r>
          </w:p>
        </w:tc>
        <w:tc>
          <w:tcPr>
            <w:tcW w:w="164"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rFonts w:ascii="times" w:hAnsi="times"/>
                <w:b/>
                <w:sz w:val="14"/>
              </w:rPr>
            </w:pPr>
            <w:r>
              <w:rPr>
                <w:rFonts w:ascii="times" w:hAnsi="times"/>
                <w:b/>
                <w:sz w:val="14"/>
              </w:rPr>
              <w:t>$</w:t>
            </w:r>
          </w:p>
        </w:tc>
        <w:tc>
          <w:tcPr>
            <w:tcW w:w="936" w:type="dxa"/>
            <w:tcBorders/>
            <w:shd w:fill="auto" w:val="clear"/>
            <w:vAlign w:val="bottom"/>
          </w:tcPr>
          <w:p>
            <w:pPr>
              <w:pStyle w:val="TableContents"/>
              <w:spacing w:before="0" w:after="283"/>
              <w:jc w:val="right"/>
              <w:rPr>
                <w:rFonts w:ascii="times" w:hAnsi="times"/>
                <w:b/>
                <w:sz w:val="14"/>
              </w:rPr>
            </w:pPr>
            <w:r>
              <w:rPr>
                <w:rFonts w:ascii="times" w:hAnsi="times"/>
                <w:b/>
                <w:sz w:val="14"/>
              </w:rPr>
              <w:t>128,046</w:t>
            </w:r>
          </w:p>
        </w:tc>
        <w:tc>
          <w:tcPr>
            <w:tcW w:w="164"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rFonts w:ascii="times" w:hAnsi="times"/>
                <w:b/>
                <w:sz w:val="14"/>
              </w:rPr>
            </w:pPr>
            <w:r>
              <w:rPr>
                <w:rFonts w:ascii="times" w:hAnsi="times"/>
                <w:b/>
                <w:sz w:val="14"/>
              </w:rPr>
              <w:t>$</w:t>
            </w:r>
          </w:p>
        </w:tc>
        <w:tc>
          <w:tcPr>
            <w:tcW w:w="936" w:type="dxa"/>
            <w:tcBorders/>
            <w:shd w:fill="auto" w:val="clear"/>
            <w:vAlign w:val="bottom"/>
          </w:tcPr>
          <w:p>
            <w:pPr>
              <w:pStyle w:val="TableContents"/>
              <w:spacing w:before="0" w:after="283"/>
              <w:jc w:val="right"/>
              <w:rPr>
                <w:rFonts w:ascii="times" w:hAnsi="times"/>
                <w:b/>
                <w:sz w:val="14"/>
              </w:rPr>
            </w:pPr>
            <w:r>
              <w:rPr>
                <w:rFonts w:ascii="times" w:hAnsi="times"/>
                <w:b/>
                <w:sz w:val="14"/>
              </w:rPr>
              <w:t>(34,769</w:t>
            </w:r>
          </w:p>
        </w:tc>
        <w:tc>
          <w:tcPr>
            <w:tcW w:w="164" w:type="dxa"/>
            <w:tcBorders/>
            <w:shd w:fill="auto" w:val="clear"/>
            <w:vAlign w:val="bottom"/>
          </w:tcPr>
          <w:p>
            <w:pPr>
              <w:pStyle w:val="TableContents"/>
              <w:spacing w:before="0" w:after="283"/>
              <w:rPr>
                <w:rFonts w:ascii="times" w:hAnsi="times"/>
                <w:b/>
                <w:sz w:val="14"/>
              </w:rPr>
            </w:pPr>
            <w:r>
              <w:rPr>
                <w:rFonts w:ascii="times" w:hAnsi="times"/>
                <w:b/>
                <w:sz w:val="14"/>
              </w:rPr>
              <w:t>)</w:t>
            </w:r>
          </w:p>
        </w:tc>
        <w:tc>
          <w:tcPr>
            <w:tcW w:w="95" w:type="dxa"/>
            <w:tcBorders/>
            <w:shd w:fill="auto" w:val="clear"/>
            <w:vAlign w:val="bottom"/>
          </w:tcPr>
          <w:p>
            <w:pPr>
              <w:pStyle w:val="TableContents"/>
              <w:spacing w:before="0" w:after="283"/>
              <w:rPr>
                <w:rFonts w:ascii="times" w:hAnsi="times"/>
                <w:b/>
                <w:sz w:val="14"/>
              </w:rPr>
            </w:pPr>
            <w:r>
              <w:rPr>
                <w:rFonts w:ascii="times" w:hAnsi="times"/>
                <w:b/>
                <w:sz w:val="14"/>
              </w:rPr>
              <w:t>$</w:t>
            </w:r>
          </w:p>
        </w:tc>
        <w:tc>
          <w:tcPr>
            <w:tcW w:w="936" w:type="dxa"/>
            <w:tcBorders/>
            <w:shd w:fill="auto" w:val="clear"/>
            <w:vAlign w:val="bottom"/>
          </w:tcPr>
          <w:p>
            <w:pPr>
              <w:pStyle w:val="TableContents"/>
              <w:spacing w:before="0" w:after="283"/>
              <w:jc w:val="right"/>
              <w:rPr>
                <w:rFonts w:ascii="times" w:hAnsi="times"/>
                <w:b/>
                <w:sz w:val="14"/>
              </w:rPr>
            </w:pPr>
            <w:r>
              <w:rPr>
                <w:rFonts w:ascii="times" w:hAnsi="times"/>
                <w:b/>
                <w:sz w:val="14"/>
              </w:rPr>
              <w:t>56,859</w:t>
            </w:r>
          </w:p>
        </w:tc>
        <w:tc>
          <w:tcPr>
            <w:tcW w:w="171" w:type="dxa"/>
            <w:tcBorders/>
            <w:shd w:fill="auto" w:val="clear"/>
            <w:vAlign w:val="bottom"/>
          </w:tcPr>
          <w:p>
            <w:pPr>
              <w:pStyle w:val="TableContents"/>
              <w:spacing w:before="0" w:after="283"/>
              <w:rPr/>
            </w:pPr>
            <w:r>
              <w:rPr/>
              <w:t> </w:t>
            </w:r>
          </w:p>
        </w:tc>
      </w:tr>
      <w:tr>
        <w:trPr/>
        <w:tc>
          <w:tcPr>
            <w:tcW w:w="4059" w:type="dxa"/>
            <w:tcBorders/>
            <w:shd w:fill="auto" w:val="clear"/>
            <w:vAlign w:val="bottom"/>
          </w:tcPr>
          <w:p>
            <w:pPr>
              <w:pStyle w:val="TableContents"/>
              <w:spacing w:before="0" w:after="283"/>
              <w:ind w:left="140" w:right="0" w:hanging="140"/>
              <w:rPr>
                <w:rFonts w:ascii="times" w:hAnsi="times"/>
                <w:sz w:val="14"/>
              </w:rPr>
            </w:pPr>
            <w:r>
              <w:rPr>
                <w:rFonts w:ascii="times" w:hAnsi="times"/>
                <w:sz w:val="14"/>
              </w:rPr>
              <w:t>Less:</w:t>
            </w:r>
          </w:p>
        </w:tc>
        <w:tc>
          <w:tcPr>
            <w:tcW w:w="164"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936" w:type="dxa"/>
            <w:tcBorders/>
            <w:shd w:fill="auto" w:val="clear"/>
            <w:vAlign w:val="bottom"/>
          </w:tcPr>
          <w:p>
            <w:pPr>
              <w:pStyle w:val="TableContents"/>
              <w:spacing w:before="0" w:after="283"/>
              <w:jc w:val="right"/>
              <w:rPr/>
            </w:pPr>
            <w:r>
              <w:rPr/>
              <w:t> </w:t>
            </w:r>
          </w:p>
        </w:tc>
        <w:tc>
          <w:tcPr>
            <w:tcW w:w="164"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936" w:type="dxa"/>
            <w:tcBorders/>
            <w:shd w:fill="auto" w:val="clear"/>
            <w:vAlign w:val="bottom"/>
          </w:tcPr>
          <w:p>
            <w:pPr>
              <w:pStyle w:val="TableContents"/>
              <w:spacing w:before="0" w:after="283"/>
              <w:jc w:val="right"/>
              <w:rPr/>
            </w:pPr>
            <w:r>
              <w:rPr/>
              <w:t> </w:t>
            </w:r>
          </w:p>
        </w:tc>
        <w:tc>
          <w:tcPr>
            <w:tcW w:w="164"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936" w:type="dxa"/>
            <w:tcBorders/>
            <w:shd w:fill="auto" w:val="clear"/>
            <w:vAlign w:val="bottom"/>
          </w:tcPr>
          <w:p>
            <w:pPr>
              <w:pStyle w:val="TableContents"/>
              <w:spacing w:before="0" w:after="283"/>
              <w:jc w:val="right"/>
              <w:rPr/>
            </w:pPr>
            <w:r>
              <w:rPr/>
              <w:t> </w:t>
            </w:r>
          </w:p>
        </w:tc>
        <w:tc>
          <w:tcPr>
            <w:tcW w:w="164"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936" w:type="dxa"/>
            <w:tcBorders/>
            <w:shd w:fill="auto" w:val="clear"/>
            <w:vAlign w:val="bottom"/>
          </w:tcPr>
          <w:p>
            <w:pPr>
              <w:pStyle w:val="TableContents"/>
              <w:spacing w:before="0" w:after="283"/>
              <w:jc w:val="right"/>
              <w:rPr/>
            </w:pPr>
            <w:r>
              <w:rPr/>
              <w:t> </w:t>
            </w:r>
          </w:p>
        </w:tc>
        <w:tc>
          <w:tcPr>
            <w:tcW w:w="164"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936" w:type="dxa"/>
            <w:tcBorders/>
            <w:shd w:fill="auto" w:val="clear"/>
            <w:vAlign w:val="bottom"/>
          </w:tcPr>
          <w:p>
            <w:pPr>
              <w:pStyle w:val="TableContents"/>
              <w:spacing w:before="0" w:after="283"/>
              <w:jc w:val="right"/>
              <w:rPr/>
            </w:pPr>
            <w:r>
              <w:rPr/>
              <w:t> </w:t>
            </w:r>
          </w:p>
        </w:tc>
        <w:tc>
          <w:tcPr>
            <w:tcW w:w="171" w:type="dxa"/>
            <w:tcBorders/>
            <w:shd w:fill="auto" w:val="clear"/>
            <w:vAlign w:val="bottom"/>
          </w:tcPr>
          <w:p>
            <w:pPr>
              <w:pStyle w:val="TableContents"/>
              <w:spacing w:before="0" w:after="283"/>
              <w:rPr/>
            </w:pPr>
            <w:r>
              <w:rPr/>
              <w:t> </w:t>
            </w:r>
          </w:p>
        </w:tc>
      </w:tr>
      <w:tr>
        <w:trPr/>
        <w:tc>
          <w:tcPr>
            <w:tcW w:w="4059" w:type="dxa"/>
            <w:tcBorders/>
            <w:shd w:fill="auto" w:val="clear"/>
            <w:vAlign w:val="bottom"/>
          </w:tcPr>
          <w:p>
            <w:pPr>
              <w:pStyle w:val="TableContents"/>
              <w:spacing w:before="0" w:after="283"/>
              <w:ind w:left="140" w:right="0" w:hanging="140"/>
              <w:rPr>
                <w:rFonts w:ascii="times" w:hAnsi="times"/>
                <w:sz w:val="14"/>
              </w:rPr>
            </w:pPr>
            <w:r>
              <w:rPr>
                <w:rFonts w:ascii="times" w:hAnsi="times"/>
                <w:sz w:val="14"/>
              </w:rPr>
              <w:t>Profit attributable to GasLog's operations</w:t>
            </w:r>
            <w:r>
              <w:rPr>
                <w:rFonts w:ascii="times" w:hAnsi="times"/>
                <w:position w:val="5"/>
                <w:sz w:val="11"/>
                <w:sz w:val="14"/>
              </w:rPr>
              <w:t>(1)</w:t>
            </w:r>
          </w:p>
        </w:tc>
        <w:tc>
          <w:tcPr>
            <w:tcW w:w="164"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rFonts w:ascii="times" w:hAnsi="times"/>
                <w:sz w:val="14"/>
              </w:rPr>
            </w:pPr>
            <w:r>
              <w:rPr>
                <w:rFonts w:ascii="times" w:hAnsi="times"/>
                <w:sz w:val="14"/>
              </w:rPr>
              <w:t>$</w:t>
            </w:r>
          </w:p>
        </w:tc>
        <w:tc>
          <w:tcPr>
            <w:tcW w:w="936" w:type="dxa"/>
            <w:tcBorders/>
            <w:shd w:fill="auto" w:val="clear"/>
            <w:vAlign w:val="bottom"/>
          </w:tcPr>
          <w:p>
            <w:pPr>
              <w:pStyle w:val="TableContents"/>
              <w:spacing w:before="0" w:after="283"/>
              <w:jc w:val="right"/>
              <w:rPr>
                <w:rFonts w:ascii="times" w:hAnsi="times"/>
                <w:sz w:val="14"/>
              </w:rPr>
            </w:pPr>
            <w:r>
              <w:rPr>
                <w:rFonts w:ascii="times" w:hAnsi="times"/>
                <w:sz w:val="14"/>
              </w:rPr>
              <w:t>(29,117</w:t>
            </w:r>
          </w:p>
        </w:tc>
        <w:tc>
          <w:tcPr>
            <w:tcW w:w="164" w:type="dxa"/>
            <w:tcBorders/>
            <w:shd w:fill="auto" w:val="clear"/>
            <w:vAlign w:val="bottom"/>
          </w:tcPr>
          <w:p>
            <w:pPr>
              <w:pStyle w:val="TableContents"/>
              <w:spacing w:before="0" w:after="283"/>
              <w:rPr>
                <w:rFonts w:ascii="times" w:hAnsi="times"/>
                <w:sz w:val="14"/>
              </w:rPr>
            </w:pPr>
            <w:r>
              <w:rPr>
                <w:rFonts w:ascii="times" w:hAnsi="times"/>
                <w:sz w:val="14"/>
              </w:rPr>
              <w:t>)</w:t>
            </w:r>
          </w:p>
        </w:tc>
        <w:tc>
          <w:tcPr>
            <w:tcW w:w="95" w:type="dxa"/>
            <w:tcBorders/>
            <w:shd w:fill="auto" w:val="clear"/>
            <w:vAlign w:val="bottom"/>
          </w:tcPr>
          <w:p>
            <w:pPr>
              <w:pStyle w:val="TableContents"/>
              <w:spacing w:before="0" w:after="283"/>
              <w:rPr>
                <w:rFonts w:ascii="times" w:hAnsi="times"/>
                <w:sz w:val="14"/>
              </w:rPr>
            </w:pPr>
            <w:r>
              <w:rPr>
                <w:rFonts w:ascii="times" w:hAnsi="times"/>
                <w:sz w:val="14"/>
              </w:rPr>
              <w:t>$</w:t>
            </w:r>
          </w:p>
        </w:tc>
        <w:tc>
          <w:tcPr>
            <w:tcW w:w="936" w:type="dxa"/>
            <w:tcBorders/>
            <w:shd w:fill="auto" w:val="clear"/>
            <w:vAlign w:val="bottom"/>
          </w:tcPr>
          <w:p>
            <w:pPr>
              <w:pStyle w:val="TableContents"/>
              <w:spacing w:before="0" w:after="283"/>
              <w:jc w:val="right"/>
              <w:rPr>
                <w:rFonts w:ascii="times" w:hAnsi="times"/>
                <w:sz w:val="14"/>
              </w:rPr>
            </w:pPr>
            <w:r>
              <w:rPr>
                <w:rFonts w:ascii="times" w:hAnsi="times"/>
                <w:sz w:val="14"/>
              </w:rPr>
              <w:t>(53,981</w:t>
            </w:r>
          </w:p>
        </w:tc>
        <w:tc>
          <w:tcPr>
            <w:tcW w:w="164" w:type="dxa"/>
            <w:tcBorders/>
            <w:shd w:fill="auto" w:val="clear"/>
            <w:vAlign w:val="bottom"/>
          </w:tcPr>
          <w:p>
            <w:pPr>
              <w:pStyle w:val="TableContents"/>
              <w:spacing w:before="0" w:after="283"/>
              <w:rPr>
                <w:rFonts w:ascii="times" w:hAnsi="times"/>
                <w:sz w:val="14"/>
              </w:rPr>
            </w:pPr>
            <w:r>
              <w:rPr>
                <w:rFonts w:ascii="times" w:hAnsi="times"/>
                <w:sz w:val="14"/>
              </w:rPr>
              <w:t>)</w:t>
            </w:r>
          </w:p>
        </w:tc>
        <w:tc>
          <w:tcPr>
            <w:tcW w:w="95" w:type="dxa"/>
            <w:tcBorders/>
            <w:shd w:fill="auto" w:val="clear"/>
            <w:vAlign w:val="bottom"/>
          </w:tcPr>
          <w:p>
            <w:pPr>
              <w:pStyle w:val="TableContents"/>
              <w:spacing w:before="0" w:after="283"/>
              <w:rPr>
                <w:rFonts w:ascii="times" w:hAnsi="times"/>
                <w:sz w:val="14"/>
              </w:rPr>
            </w:pPr>
            <w:r>
              <w:rPr>
                <w:rFonts w:ascii="times" w:hAnsi="times"/>
                <w:sz w:val="14"/>
              </w:rPr>
              <w:t>$</w:t>
            </w:r>
          </w:p>
        </w:tc>
        <w:tc>
          <w:tcPr>
            <w:tcW w:w="936" w:type="dxa"/>
            <w:tcBorders/>
            <w:shd w:fill="auto" w:val="clear"/>
            <w:vAlign w:val="bottom"/>
          </w:tcPr>
          <w:p>
            <w:pPr>
              <w:pStyle w:val="TableContents"/>
              <w:spacing w:before="0" w:after="283"/>
              <w:jc w:val="right"/>
              <w:rPr>
                <w:rFonts w:ascii="times" w:hAnsi="times"/>
                <w:sz w:val="14"/>
              </w:rPr>
            </w:pPr>
            <w:r>
              <w:rPr>
                <w:rFonts w:ascii="times" w:hAnsi="times"/>
                <w:sz w:val="14"/>
              </w:rPr>
              <w:t>(25,449</w:t>
            </w:r>
          </w:p>
        </w:tc>
        <w:tc>
          <w:tcPr>
            <w:tcW w:w="164" w:type="dxa"/>
            <w:tcBorders/>
            <w:shd w:fill="auto" w:val="clear"/>
            <w:vAlign w:val="bottom"/>
          </w:tcPr>
          <w:p>
            <w:pPr>
              <w:pStyle w:val="TableContents"/>
              <w:spacing w:before="0" w:after="283"/>
              <w:rPr>
                <w:rFonts w:ascii="times" w:hAnsi="times"/>
                <w:sz w:val="14"/>
              </w:rPr>
            </w:pPr>
            <w:r>
              <w:rPr>
                <w:rFonts w:ascii="times" w:hAnsi="times"/>
                <w:sz w:val="14"/>
              </w:rPr>
              <w:t>)</w:t>
            </w:r>
          </w:p>
        </w:tc>
        <w:tc>
          <w:tcPr>
            <w:tcW w:w="95" w:type="dxa"/>
            <w:tcBorders/>
            <w:shd w:fill="auto" w:val="clear"/>
            <w:vAlign w:val="bottom"/>
          </w:tcPr>
          <w:p>
            <w:pPr>
              <w:pStyle w:val="TableContents"/>
              <w:spacing w:before="0" w:after="283"/>
              <w:rPr>
                <w:rFonts w:ascii="times" w:hAnsi="times"/>
                <w:sz w:val="14"/>
              </w:rPr>
            </w:pPr>
            <w:r>
              <w:rPr>
                <w:rFonts w:ascii="times" w:hAnsi="times"/>
                <w:sz w:val="14"/>
              </w:rPr>
              <w:t>$</w:t>
            </w:r>
          </w:p>
        </w:tc>
        <w:tc>
          <w:tcPr>
            <w:tcW w:w="936" w:type="dxa"/>
            <w:tcBorders/>
            <w:shd w:fill="auto" w:val="clear"/>
            <w:vAlign w:val="bottom"/>
          </w:tcPr>
          <w:p>
            <w:pPr>
              <w:pStyle w:val="TableContents"/>
              <w:spacing w:before="0" w:after="283"/>
              <w:jc w:val="right"/>
              <w:rPr>
                <w:rFonts w:ascii="times" w:hAnsi="times"/>
                <w:sz w:val="14"/>
              </w:rPr>
            </w:pPr>
            <w:r>
              <w:rPr>
                <w:rFonts w:ascii="times" w:hAnsi="times"/>
                <w:sz w:val="14"/>
              </w:rPr>
              <w:t>(2,650</w:t>
            </w:r>
          </w:p>
        </w:tc>
        <w:tc>
          <w:tcPr>
            <w:tcW w:w="164" w:type="dxa"/>
            <w:tcBorders/>
            <w:shd w:fill="auto" w:val="clear"/>
            <w:vAlign w:val="bottom"/>
          </w:tcPr>
          <w:p>
            <w:pPr>
              <w:pStyle w:val="TableContents"/>
              <w:spacing w:before="0" w:after="283"/>
              <w:rPr>
                <w:rFonts w:ascii="times" w:hAnsi="times"/>
                <w:sz w:val="14"/>
              </w:rPr>
            </w:pPr>
            <w:r>
              <w:rPr>
                <w:rFonts w:ascii="times" w:hAnsi="times"/>
                <w:sz w:val="14"/>
              </w:rPr>
              <w:t>)</w:t>
            </w:r>
          </w:p>
        </w:tc>
        <w:tc>
          <w:tcPr>
            <w:tcW w:w="95" w:type="dxa"/>
            <w:tcBorders/>
            <w:shd w:fill="auto" w:val="clear"/>
            <w:vAlign w:val="bottom"/>
          </w:tcPr>
          <w:p>
            <w:pPr>
              <w:pStyle w:val="TableContents"/>
              <w:spacing w:before="0" w:after="283"/>
              <w:rPr/>
            </w:pPr>
            <w:r>
              <w:rPr/>
              <w:t> </w:t>
            </w:r>
          </w:p>
        </w:tc>
        <w:tc>
          <w:tcPr>
            <w:tcW w:w="936" w:type="dxa"/>
            <w:tcBorders/>
            <w:shd w:fill="auto" w:val="clear"/>
            <w:vAlign w:val="bottom"/>
          </w:tcPr>
          <w:p>
            <w:pPr>
              <w:pStyle w:val="TableContents"/>
              <w:spacing w:before="0" w:after="283"/>
              <w:jc w:val="right"/>
              <w:rPr>
                <w:rFonts w:ascii="times" w:hAnsi="times"/>
                <w:sz w:val="14"/>
              </w:rPr>
            </w:pPr>
            <w:r>
              <w:rPr>
                <w:rFonts w:ascii="times" w:hAnsi="times"/>
                <w:sz w:val="14"/>
              </w:rPr>
              <w:t xml:space="preserve"> </w:t>
            </w:r>
          </w:p>
        </w:tc>
        <w:tc>
          <w:tcPr>
            <w:tcW w:w="171" w:type="dxa"/>
            <w:tcBorders/>
            <w:shd w:fill="auto" w:val="clear"/>
            <w:vAlign w:val="bottom"/>
          </w:tcPr>
          <w:p>
            <w:pPr>
              <w:pStyle w:val="TableContents"/>
              <w:spacing w:before="0" w:after="283"/>
              <w:rPr/>
            </w:pPr>
            <w:r>
              <w:rPr/>
              <w:t> </w:t>
            </w:r>
          </w:p>
        </w:tc>
      </w:tr>
      <w:tr>
        <w:trPr/>
        <w:tc>
          <w:tcPr>
            <w:tcW w:w="4059" w:type="dxa"/>
            <w:tcBorders/>
            <w:shd w:fill="FFFFFF" w:val="clear"/>
            <w:vAlign w:val="bottom"/>
          </w:tcPr>
          <w:p>
            <w:pPr>
              <w:pStyle w:val="TableContents"/>
              <w:spacing w:before="0" w:after="283"/>
              <w:rPr/>
            </w:pPr>
            <w:r>
              <w:rPr/>
              <w:t>​</w:t>
            </w:r>
          </w:p>
        </w:tc>
        <w:tc>
          <w:tcPr>
            <w:tcW w:w="164" w:type="dxa"/>
            <w:tcBorders/>
            <w:shd w:fill="FFFFFF" w:val="clear"/>
            <w:vAlign w:val="bottom"/>
          </w:tcPr>
          <w:p>
            <w:pPr>
              <w:pStyle w:val="TableContents"/>
              <w:spacing w:before="0" w:after="283"/>
              <w:rPr/>
            </w:pPr>
            <w:r>
              <w:rPr/>
              <w:t>​</w:t>
            </w:r>
          </w:p>
        </w:tc>
        <w:tc>
          <w:tcPr>
            <w:tcW w:w="95" w:type="dxa"/>
            <w:tcBorders>
              <w:bottom w:val="single" w:sz="8" w:space="0" w:color="000000"/>
            </w:tcBorders>
            <w:shd w:fill="FFFFFF" w:val="clear"/>
            <w:tcMar>
              <w:bottom w:w="28" w:type="dxa"/>
            </w:tcMar>
            <w:vAlign w:val="bottom"/>
          </w:tcPr>
          <w:p>
            <w:pPr>
              <w:pStyle w:val="TableContents"/>
              <w:spacing w:before="0" w:after="283"/>
              <w:rPr/>
            </w:pPr>
            <w:r>
              <w:rPr/>
              <w:t xml:space="preserve">​ </w:t>
            </w:r>
          </w:p>
        </w:tc>
        <w:tc>
          <w:tcPr>
            <w:tcW w:w="936" w:type="dxa"/>
            <w:tcBorders>
              <w:bottom w:val="single" w:sz="8" w:space="0" w:color="000000"/>
            </w:tcBorders>
            <w:shd w:fill="FFFFFF" w:val="clear"/>
            <w:tcMar>
              <w:bottom w:w="28" w:type="dxa"/>
            </w:tcMar>
            <w:vAlign w:val="bottom"/>
          </w:tcPr>
          <w:p>
            <w:pPr>
              <w:pStyle w:val="TableContents"/>
              <w:spacing w:before="0" w:after="283"/>
              <w:jc w:val="right"/>
              <w:rPr/>
            </w:pPr>
            <w:r>
              <w:rPr/>
              <w:t xml:space="preserve">​ </w:t>
            </w:r>
          </w:p>
        </w:tc>
        <w:tc>
          <w:tcPr>
            <w:tcW w:w="164" w:type="dxa"/>
            <w:tcBorders/>
            <w:shd w:fill="FFFFFF" w:val="clear"/>
            <w:vAlign w:val="bottom"/>
          </w:tcPr>
          <w:p>
            <w:pPr>
              <w:pStyle w:val="TableContents"/>
              <w:spacing w:before="0" w:after="283"/>
              <w:rPr/>
            </w:pPr>
            <w:r>
              <w:rPr/>
              <w:t>​</w:t>
            </w:r>
          </w:p>
        </w:tc>
        <w:tc>
          <w:tcPr>
            <w:tcW w:w="95" w:type="dxa"/>
            <w:tcBorders>
              <w:bottom w:val="single" w:sz="8" w:space="0" w:color="000000"/>
            </w:tcBorders>
            <w:shd w:fill="FFFFFF" w:val="clear"/>
            <w:tcMar>
              <w:bottom w:w="28" w:type="dxa"/>
            </w:tcMar>
            <w:vAlign w:val="bottom"/>
          </w:tcPr>
          <w:p>
            <w:pPr>
              <w:pStyle w:val="TableContents"/>
              <w:spacing w:before="0" w:after="283"/>
              <w:rPr/>
            </w:pPr>
            <w:r>
              <w:rPr/>
              <w:t xml:space="preserve">​ </w:t>
            </w:r>
          </w:p>
        </w:tc>
        <w:tc>
          <w:tcPr>
            <w:tcW w:w="936" w:type="dxa"/>
            <w:tcBorders>
              <w:bottom w:val="single" w:sz="8" w:space="0" w:color="000000"/>
            </w:tcBorders>
            <w:shd w:fill="FFFFFF" w:val="clear"/>
            <w:tcMar>
              <w:bottom w:w="28" w:type="dxa"/>
            </w:tcMar>
            <w:vAlign w:val="bottom"/>
          </w:tcPr>
          <w:p>
            <w:pPr>
              <w:pStyle w:val="TableContents"/>
              <w:spacing w:before="0" w:after="283"/>
              <w:jc w:val="right"/>
              <w:rPr/>
            </w:pPr>
            <w:r>
              <w:rPr/>
              <w:t xml:space="preserve">​ </w:t>
            </w:r>
          </w:p>
        </w:tc>
        <w:tc>
          <w:tcPr>
            <w:tcW w:w="164" w:type="dxa"/>
            <w:tcBorders/>
            <w:shd w:fill="FFFFFF" w:val="clear"/>
            <w:vAlign w:val="bottom"/>
          </w:tcPr>
          <w:p>
            <w:pPr>
              <w:pStyle w:val="TableContents"/>
              <w:spacing w:before="0" w:after="283"/>
              <w:rPr/>
            </w:pPr>
            <w:r>
              <w:rPr/>
              <w:t>​</w:t>
            </w:r>
          </w:p>
        </w:tc>
        <w:tc>
          <w:tcPr>
            <w:tcW w:w="95" w:type="dxa"/>
            <w:tcBorders>
              <w:bottom w:val="single" w:sz="8" w:space="0" w:color="000000"/>
            </w:tcBorders>
            <w:shd w:fill="FFFFFF" w:val="clear"/>
            <w:tcMar>
              <w:bottom w:w="28" w:type="dxa"/>
            </w:tcMar>
            <w:vAlign w:val="bottom"/>
          </w:tcPr>
          <w:p>
            <w:pPr>
              <w:pStyle w:val="TableContents"/>
              <w:spacing w:before="0" w:after="283"/>
              <w:rPr/>
            </w:pPr>
            <w:r>
              <w:rPr/>
              <w:t xml:space="preserve">​ </w:t>
            </w:r>
          </w:p>
        </w:tc>
        <w:tc>
          <w:tcPr>
            <w:tcW w:w="936" w:type="dxa"/>
            <w:tcBorders>
              <w:bottom w:val="single" w:sz="8" w:space="0" w:color="000000"/>
            </w:tcBorders>
            <w:shd w:fill="FFFFFF" w:val="clear"/>
            <w:tcMar>
              <w:bottom w:w="28" w:type="dxa"/>
            </w:tcMar>
            <w:vAlign w:val="bottom"/>
          </w:tcPr>
          <w:p>
            <w:pPr>
              <w:pStyle w:val="TableContents"/>
              <w:spacing w:before="0" w:after="283"/>
              <w:jc w:val="right"/>
              <w:rPr/>
            </w:pPr>
            <w:r>
              <w:rPr/>
              <w:t xml:space="preserve">​ </w:t>
            </w:r>
          </w:p>
        </w:tc>
        <w:tc>
          <w:tcPr>
            <w:tcW w:w="164" w:type="dxa"/>
            <w:tcBorders/>
            <w:shd w:fill="FFFFFF" w:val="clear"/>
            <w:vAlign w:val="bottom"/>
          </w:tcPr>
          <w:p>
            <w:pPr>
              <w:pStyle w:val="TableContents"/>
              <w:spacing w:before="0" w:after="283"/>
              <w:rPr/>
            </w:pPr>
            <w:r>
              <w:rPr/>
              <w:t>​</w:t>
            </w:r>
          </w:p>
        </w:tc>
        <w:tc>
          <w:tcPr>
            <w:tcW w:w="95" w:type="dxa"/>
            <w:tcBorders>
              <w:bottom w:val="single" w:sz="8" w:space="0" w:color="000000"/>
            </w:tcBorders>
            <w:shd w:fill="FFFFFF" w:val="clear"/>
            <w:tcMar>
              <w:bottom w:w="28" w:type="dxa"/>
            </w:tcMar>
            <w:vAlign w:val="bottom"/>
          </w:tcPr>
          <w:p>
            <w:pPr>
              <w:pStyle w:val="TableContents"/>
              <w:spacing w:before="0" w:after="283"/>
              <w:rPr/>
            </w:pPr>
            <w:r>
              <w:rPr/>
              <w:t xml:space="preserve">​ </w:t>
            </w:r>
          </w:p>
        </w:tc>
        <w:tc>
          <w:tcPr>
            <w:tcW w:w="936" w:type="dxa"/>
            <w:tcBorders>
              <w:bottom w:val="single" w:sz="8" w:space="0" w:color="000000"/>
            </w:tcBorders>
            <w:shd w:fill="FFFFFF" w:val="clear"/>
            <w:tcMar>
              <w:bottom w:w="28" w:type="dxa"/>
            </w:tcMar>
            <w:vAlign w:val="bottom"/>
          </w:tcPr>
          <w:p>
            <w:pPr>
              <w:pStyle w:val="TableContents"/>
              <w:spacing w:before="0" w:after="283"/>
              <w:jc w:val="right"/>
              <w:rPr/>
            </w:pPr>
            <w:r>
              <w:rPr/>
              <w:t xml:space="preserve">​ </w:t>
            </w:r>
          </w:p>
        </w:tc>
        <w:tc>
          <w:tcPr>
            <w:tcW w:w="164" w:type="dxa"/>
            <w:tcBorders/>
            <w:shd w:fill="FFFFFF" w:val="clear"/>
            <w:vAlign w:val="bottom"/>
          </w:tcPr>
          <w:p>
            <w:pPr>
              <w:pStyle w:val="TableContents"/>
              <w:spacing w:before="0" w:after="283"/>
              <w:rPr/>
            </w:pPr>
            <w:r>
              <w:rPr/>
              <w:t>​</w:t>
            </w:r>
          </w:p>
        </w:tc>
        <w:tc>
          <w:tcPr>
            <w:tcW w:w="95" w:type="dxa"/>
            <w:tcBorders>
              <w:bottom w:val="single" w:sz="8" w:space="0" w:color="000000"/>
            </w:tcBorders>
            <w:shd w:fill="FFFFFF" w:val="clear"/>
            <w:tcMar>
              <w:bottom w:w="28" w:type="dxa"/>
            </w:tcMar>
            <w:vAlign w:val="bottom"/>
          </w:tcPr>
          <w:p>
            <w:pPr>
              <w:pStyle w:val="TableContents"/>
              <w:spacing w:before="0" w:after="283"/>
              <w:rPr/>
            </w:pPr>
            <w:r>
              <w:rPr/>
              <w:t xml:space="preserve">​ </w:t>
            </w:r>
          </w:p>
        </w:tc>
        <w:tc>
          <w:tcPr>
            <w:tcW w:w="936" w:type="dxa"/>
            <w:tcBorders>
              <w:bottom w:val="single" w:sz="8" w:space="0" w:color="000000"/>
            </w:tcBorders>
            <w:shd w:fill="FFFFFF" w:val="clear"/>
            <w:tcMar>
              <w:bottom w:w="28" w:type="dxa"/>
            </w:tcMar>
            <w:vAlign w:val="bottom"/>
          </w:tcPr>
          <w:p>
            <w:pPr>
              <w:pStyle w:val="TableContents"/>
              <w:spacing w:before="0" w:after="283"/>
              <w:jc w:val="right"/>
              <w:rPr/>
            </w:pPr>
            <w:r>
              <w:rPr/>
              <w:t xml:space="preserve">​ </w:t>
            </w:r>
          </w:p>
        </w:tc>
        <w:tc>
          <w:tcPr>
            <w:tcW w:w="171" w:type="dxa"/>
            <w:tcBorders/>
            <w:shd w:fill="FFFFFF" w:val="clear"/>
            <w:vAlign w:val="bottom"/>
          </w:tcPr>
          <w:p>
            <w:pPr>
              <w:pStyle w:val="TableContents"/>
              <w:spacing w:before="0" w:after="283"/>
              <w:rPr/>
            </w:pPr>
            <w:r>
              <w:rPr/>
              <w:t>​</w:t>
            </w:r>
          </w:p>
        </w:tc>
      </w:tr>
      <w:tr>
        <w:trPr/>
        <w:tc>
          <w:tcPr>
            <w:tcW w:w="4059" w:type="dxa"/>
            <w:tcBorders/>
            <w:shd w:fill="auto" w:val="clear"/>
            <w:vAlign w:val="bottom"/>
          </w:tcPr>
          <w:p>
            <w:pPr>
              <w:pStyle w:val="TableContents"/>
              <w:spacing w:before="0" w:after="283"/>
              <w:ind w:left="140" w:right="0" w:hanging="140"/>
              <w:rPr>
                <w:rFonts w:ascii="times" w:hAnsi="times"/>
                <w:b/>
                <w:sz w:val="14"/>
              </w:rPr>
            </w:pPr>
            <w:r>
              <w:rPr>
                <w:rFonts w:ascii="times" w:hAnsi="times"/>
                <w:b/>
                <w:sz w:val="14"/>
              </w:rPr>
              <w:t>Partnership's profit/(loss)</w:t>
            </w:r>
            <w:r>
              <w:rPr>
                <w:rFonts w:ascii="times" w:hAnsi="times"/>
                <w:b/>
                <w:position w:val="5"/>
                <w:sz w:val="11"/>
                <w:sz w:val="14"/>
              </w:rPr>
              <w:t>(1)</w:t>
            </w:r>
          </w:p>
        </w:tc>
        <w:tc>
          <w:tcPr>
            <w:tcW w:w="164"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rFonts w:ascii="times" w:hAnsi="times"/>
                <w:b/>
                <w:sz w:val="14"/>
              </w:rPr>
            </w:pPr>
            <w:r>
              <w:rPr>
                <w:rFonts w:ascii="times" w:hAnsi="times"/>
                <w:b/>
                <w:sz w:val="14"/>
              </w:rPr>
              <w:t>$</w:t>
            </w:r>
          </w:p>
        </w:tc>
        <w:tc>
          <w:tcPr>
            <w:tcW w:w="936" w:type="dxa"/>
            <w:tcBorders/>
            <w:shd w:fill="auto" w:val="clear"/>
            <w:vAlign w:val="bottom"/>
          </w:tcPr>
          <w:p>
            <w:pPr>
              <w:pStyle w:val="TableContents"/>
              <w:spacing w:before="0" w:after="283"/>
              <w:jc w:val="right"/>
              <w:rPr>
                <w:rFonts w:ascii="times" w:hAnsi="times"/>
                <w:b/>
                <w:sz w:val="14"/>
              </w:rPr>
            </w:pPr>
            <w:r>
              <w:rPr>
                <w:rFonts w:ascii="times" w:hAnsi="times"/>
                <w:b/>
                <w:sz w:val="14"/>
              </w:rPr>
              <w:t>77,270</w:t>
            </w:r>
          </w:p>
        </w:tc>
        <w:tc>
          <w:tcPr>
            <w:tcW w:w="164"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rFonts w:ascii="times" w:hAnsi="times"/>
                <w:b/>
                <w:sz w:val="14"/>
              </w:rPr>
            </w:pPr>
            <w:r>
              <w:rPr>
                <w:rFonts w:ascii="times" w:hAnsi="times"/>
                <w:b/>
                <w:sz w:val="14"/>
              </w:rPr>
              <w:t>$</w:t>
            </w:r>
          </w:p>
        </w:tc>
        <w:tc>
          <w:tcPr>
            <w:tcW w:w="936" w:type="dxa"/>
            <w:tcBorders/>
            <w:shd w:fill="auto" w:val="clear"/>
            <w:vAlign w:val="bottom"/>
          </w:tcPr>
          <w:p>
            <w:pPr>
              <w:pStyle w:val="TableContents"/>
              <w:spacing w:before="0" w:after="283"/>
              <w:jc w:val="right"/>
              <w:rPr>
                <w:rFonts w:ascii="times" w:hAnsi="times"/>
                <w:b/>
                <w:sz w:val="14"/>
              </w:rPr>
            </w:pPr>
            <w:r>
              <w:rPr>
                <w:rFonts w:ascii="times" w:hAnsi="times"/>
                <w:b/>
                <w:sz w:val="14"/>
              </w:rPr>
              <w:t>94,117</w:t>
            </w:r>
          </w:p>
        </w:tc>
        <w:tc>
          <w:tcPr>
            <w:tcW w:w="164"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rFonts w:ascii="times" w:hAnsi="times"/>
                <w:b/>
                <w:sz w:val="14"/>
              </w:rPr>
            </w:pPr>
            <w:r>
              <w:rPr>
                <w:rFonts w:ascii="times" w:hAnsi="times"/>
                <w:b/>
                <w:sz w:val="14"/>
              </w:rPr>
              <w:t>$</w:t>
            </w:r>
          </w:p>
        </w:tc>
        <w:tc>
          <w:tcPr>
            <w:tcW w:w="936" w:type="dxa"/>
            <w:tcBorders/>
            <w:shd w:fill="auto" w:val="clear"/>
            <w:vAlign w:val="bottom"/>
          </w:tcPr>
          <w:p>
            <w:pPr>
              <w:pStyle w:val="TableContents"/>
              <w:spacing w:before="0" w:after="283"/>
              <w:jc w:val="right"/>
              <w:rPr>
                <w:rFonts w:ascii="times" w:hAnsi="times"/>
                <w:b/>
                <w:sz w:val="14"/>
              </w:rPr>
            </w:pPr>
            <w:r>
              <w:rPr>
                <w:rFonts w:ascii="times" w:hAnsi="times"/>
                <w:b/>
                <w:sz w:val="14"/>
              </w:rPr>
              <w:t>102,597</w:t>
            </w:r>
          </w:p>
        </w:tc>
        <w:tc>
          <w:tcPr>
            <w:tcW w:w="164"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rFonts w:ascii="times" w:hAnsi="times"/>
                <w:b/>
                <w:sz w:val="14"/>
              </w:rPr>
            </w:pPr>
            <w:r>
              <w:rPr>
                <w:rFonts w:ascii="times" w:hAnsi="times"/>
                <w:b/>
                <w:sz w:val="14"/>
              </w:rPr>
              <w:t>$</w:t>
            </w:r>
          </w:p>
        </w:tc>
        <w:tc>
          <w:tcPr>
            <w:tcW w:w="936" w:type="dxa"/>
            <w:tcBorders/>
            <w:shd w:fill="auto" w:val="clear"/>
            <w:vAlign w:val="bottom"/>
          </w:tcPr>
          <w:p>
            <w:pPr>
              <w:pStyle w:val="TableContents"/>
              <w:spacing w:before="0" w:after="283"/>
              <w:jc w:val="right"/>
              <w:rPr>
                <w:rFonts w:ascii="times" w:hAnsi="times"/>
                <w:b/>
                <w:sz w:val="14"/>
              </w:rPr>
            </w:pPr>
            <w:r>
              <w:rPr>
                <w:rFonts w:ascii="times" w:hAnsi="times"/>
                <w:b/>
                <w:sz w:val="14"/>
              </w:rPr>
              <w:t>(37,419</w:t>
            </w:r>
          </w:p>
        </w:tc>
        <w:tc>
          <w:tcPr>
            <w:tcW w:w="164" w:type="dxa"/>
            <w:tcBorders/>
            <w:shd w:fill="auto" w:val="clear"/>
            <w:vAlign w:val="bottom"/>
          </w:tcPr>
          <w:p>
            <w:pPr>
              <w:pStyle w:val="TableContents"/>
              <w:spacing w:before="0" w:after="283"/>
              <w:rPr>
                <w:rFonts w:ascii="times" w:hAnsi="times"/>
                <w:b/>
                <w:sz w:val="14"/>
              </w:rPr>
            </w:pPr>
            <w:r>
              <w:rPr>
                <w:rFonts w:ascii="times" w:hAnsi="times"/>
                <w:b/>
                <w:sz w:val="14"/>
              </w:rPr>
              <w:t>)</w:t>
            </w:r>
          </w:p>
        </w:tc>
        <w:tc>
          <w:tcPr>
            <w:tcW w:w="95" w:type="dxa"/>
            <w:tcBorders/>
            <w:shd w:fill="auto" w:val="clear"/>
            <w:vAlign w:val="bottom"/>
          </w:tcPr>
          <w:p>
            <w:pPr>
              <w:pStyle w:val="TableContents"/>
              <w:spacing w:before="0" w:after="283"/>
              <w:rPr>
                <w:rFonts w:ascii="times" w:hAnsi="times"/>
                <w:b/>
                <w:sz w:val="14"/>
              </w:rPr>
            </w:pPr>
            <w:r>
              <w:rPr>
                <w:rFonts w:ascii="times" w:hAnsi="times"/>
                <w:b/>
                <w:sz w:val="14"/>
              </w:rPr>
              <w:t>$</w:t>
            </w:r>
          </w:p>
        </w:tc>
        <w:tc>
          <w:tcPr>
            <w:tcW w:w="936" w:type="dxa"/>
            <w:tcBorders/>
            <w:shd w:fill="auto" w:val="clear"/>
            <w:vAlign w:val="bottom"/>
          </w:tcPr>
          <w:p>
            <w:pPr>
              <w:pStyle w:val="TableContents"/>
              <w:spacing w:before="0" w:after="283"/>
              <w:jc w:val="right"/>
              <w:rPr>
                <w:rFonts w:ascii="times" w:hAnsi="times"/>
                <w:b/>
                <w:sz w:val="14"/>
              </w:rPr>
            </w:pPr>
            <w:r>
              <w:rPr>
                <w:rFonts w:ascii="times" w:hAnsi="times"/>
                <w:b/>
                <w:sz w:val="14"/>
              </w:rPr>
              <w:t>56,859</w:t>
            </w:r>
          </w:p>
        </w:tc>
        <w:tc>
          <w:tcPr>
            <w:tcW w:w="171" w:type="dxa"/>
            <w:tcBorders/>
            <w:shd w:fill="auto" w:val="clear"/>
            <w:vAlign w:val="bottom"/>
          </w:tcPr>
          <w:p>
            <w:pPr>
              <w:pStyle w:val="TableContents"/>
              <w:spacing w:before="0" w:after="283"/>
              <w:rPr/>
            </w:pPr>
            <w:r>
              <w:rPr/>
              <w:t> </w:t>
            </w:r>
          </w:p>
        </w:tc>
      </w:tr>
      <w:tr>
        <w:trPr/>
        <w:tc>
          <w:tcPr>
            <w:tcW w:w="4059" w:type="dxa"/>
            <w:tcBorders/>
            <w:shd w:fill="FFFFFF" w:val="clear"/>
            <w:vAlign w:val="bottom"/>
          </w:tcPr>
          <w:p>
            <w:pPr>
              <w:pStyle w:val="TableContents"/>
              <w:spacing w:before="0" w:after="283"/>
              <w:rPr/>
            </w:pPr>
            <w:r>
              <w:rPr/>
              <w:t>​</w:t>
            </w:r>
          </w:p>
        </w:tc>
        <w:tc>
          <w:tcPr>
            <w:tcW w:w="164" w:type="dxa"/>
            <w:tcBorders/>
            <w:shd w:fill="FFFFFF" w:val="clear"/>
            <w:vAlign w:val="bottom"/>
          </w:tcPr>
          <w:p>
            <w:pPr>
              <w:pStyle w:val="TableContents"/>
              <w:spacing w:before="0" w:after="283"/>
              <w:rPr/>
            </w:pPr>
            <w:r>
              <w:rPr/>
              <w:t>​</w:t>
            </w:r>
          </w:p>
        </w:tc>
        <w:tc>
          <w:tcPr>
            <w:tcW w:w="95" w:type="dxa"/>
            <w:tcBorders>
              <w:bottom w:val="single" w:sz="8" w:space="0" w:color="000000"/>
            </w:tcBorders>
            <w:shd w:fill="FFFFFF" w:val="clear"/>
            <w:tcMar>
              <w:bottom w:w="28" w:type="dxa"/>
            </w:tcMar>
            <w:vAlign w:val="bottom"/>
          </w:tcPr>
          <w:p>
            <w:pPr>
              <w:pStyle w:val="TableContents"/>
              <w:spacing w:before="0" w:after="283"/>
              <w:rPr/>
            </w:pPr>
            <w:r>
              <w:rPr/>
              <w:t xml:space="preserve">​ </w:t>
            </w:r>
          </w:p>
        </w:tc>
        <w:tc>
          <w:tcPr>
            <w:tcW w:w="936" w:type="dxa"/>
            <w:tcBorders>
              <w:bottom w:val="single" w:sz="8" w:space="0" w:color="000000"/>
            </w:tcBorders>
            <w:shd w:fill="FFFFFF" w:val="clear"/>
            <w:tcMar>
              <w:bottom w:w="28" w:type="dxa"/>
            </w:tcMar>
            <w:vAlign w:val="bottom"/>
          </w:tcPr>
          <w:p>
            <w:pPr>
              <w:pStyle w:val="TableContents"/>
              <w:spacing w:before="0" w:after="283"/>
              <w:jc w:val="right"/>
              <w:rPr/>
            </w:pPr>
            <w:r>
              <w:rPr/>
              <w:t xml:space="preserve">​ </w:t>
            </w:r>
          </w:p>
        </w:tc>
        <w:tc>
          <w:tcPr>
            <w:tcW w:w="164" w:type="dxa"/>
            <w:tcBorders/>
            <w:shd w:fill="FFFFFF" w:val="clear"/>
            <w:vAlign w:val="bottom"/>
          </w:tcPr>
          <w:p>
            <w:pPr>
              <w:pStyle w:val="TableContents"/>
              <w:spacing w:before="0" w:after="283"/>
              <w:rPr/>
            </w:pPr>
            <w:r>
              <w:rPr/>
              <w:t>​</w:t>
            </w:r>
          </w:p>
        </w:tc>
        <w:tc>
          <w:tcPr>
            <w:tcW w:w="95" w:type="dxa"/>
            <w:tcBorders>
              <w:bottom w:val="single" w:sz="8" w:space="0" w:color="000000"/>
            </w:tcBorders>
            <w:shd w:fill="FFFFFF" w:val="clear"/>
            <w:tcMar>
              <w:bottom w:w="28" w:type="dxa"/>
            </w:tcMar>
            <w:vAlign w:val="bottom"/>
          </w:tcPr>
          <w:p>
            <w:pPr>
              <w:pStyle w:val="TableContents"/>
              <w:spacing w:before="0" w:after="283"/>
              <w:rPr/>
            </w:pPr>
            <w:r>
              <w:rPr/>
              <w:t xml:space="preserve">​ </w:t>
            </w:r>
          </w:p>
        </w:tc>
        <w:tc>
          <w:tcPr>
            <w:tcW w:w="936" w:type="dxa"/>
            <w:tcBorders>
              <w:bottom w:val="single" w:sz="8" w:space="0" w:color="000000"/>
            </w:tcBorders>
            <w:shd w:fill="FFFFFF" w:val="clear"/>
            <w:tcMar>
              <w:bottom w:w="28" w:type="dxa"/>
            </w:tcMar>
            <w:vAlign w:val="bottom"/>
          </w:tcPr>
          <w:p>
            <w:pPr>
              <w:pStyle w:val="TableContents"/>
              <w:spacing w:before="0" w:after="283"/>
              <w:jc w:val="right"/>
              <w:rPr/>
            </w:pPr>
            <w:r>
              <w:rPr/>
              <w:t xml:space="preserve">​ </w:t>
            </w:r>
          </w:p>
        </w:tc>
        <w:tc>
          <w:tcPr>
            <w:tcW w:w="164" w:type="dxa"/>
            <w:tcBorders/>
            <w:shd w:fill="FFFFFF" w:val="clear"/>
            <w:vAlign w:val="bottom"/>
          </w:tcPr>
          <w:p>
            <w:pPr>
              <w:pStyle w:val="TableContents"/>
              <w:spacing w:before="0" w:after="283"/>
              <w:rPr/>
            </w:pPr>
            <w:r>
              <w:rPr/>
              <w:t>​</w:t>
            </w:r>
          </w:p>
        </w:tc>
        <w:tc>
          <w:tcPr>
            <w:tcW w:w="95" w:type="dxa"/>
            <w:tcBorders>
              <w:bottom w:val="single" w:sz="8" w:space="0" w:color="000000"/>
            </w:tcBorders>
            <w:shd w:fill="FFFFFF" w:val="clear"/>
            <w:tcMar>
              <w:bottom w:w="28" w:type="dxa"/>
            </w:tcMar>
            <w:vAlign w:val="bottom"/>
          </w:tcPr>
          <w:p>
            <w:pPr>
              <w:pStyle w:val="TableContents"/>
              <w:spacing w:before="0" w:after="283"/>
              <w:rPr/>
            </w:pPr>
            <w:r>
              <w:rPr/>
              <w:t xml:space="preserve">​ </w:t>
            </w:r>
          </w:p>
        </w:tc>
        <w:tc>
          <w:tcPr>
            <w:tcW w:w="936" w:type="dxa"/>
            <w:tcBorders>
              <w:bottom w:val="single" w:sz="8" w:space="0" w:color="000000"/>
            </w:tcBorders>
            <w:shd w:fill="FFFFFF" w:val="clear"/>
            <w:tcMar>
              <w:bottom w:w="28" w:type="dxa"/>
            </w:tcMar>
            <w:vAlign w:val="bottom"/>
          </w:tcPr>
          <w:p>
            <w:pPr>
              <w:pStyle w:val="TableContents"/>
              <w:spacing w:before="0" w:after="283"/>
              <w:jc w:val="right"/>
              <w:rPr/>
            </w:pPr>
            <w:r>
              <w:rPr/>
              <w:t xml:space="preserve">​ </w:t>
            </w:r>
          </w:p>
        </w:tc>
        <w:tc>
          <w:tcPr>
            <w:tcW w:w="164" w:type="dxa"/>
            <w:tcBorders/>
            <w:shd w:fill="FFFFFF" w:val="clear"/>
            <w:vAlign w:val="bottom"/>
          </w:tcPr>
          <w:p>
            <w:pPr>
              <w:pStyle w:val="TableContents"/>
              <w:spacing w:before="0" w:after="283"/>
              <w:rPr/>
            </w:pPr>
            <w:r>
              <w:rPr/>
              <w:t>​</w:t>
            </w:r>
          </w:p>
        </w:tc>
        <w:tc>
          <w:tcPr>
            <w:tcW w:w="95" w:type="dxa"/>
            <w:tcBorders>
              <w:bottom w:val="single" w:sz="8" w:space="0" w:color="000000"/>
            </w:tcBorders>
            <w:shd w:fill="FFFFFF" w:val="clear"/>
            <w:tcMar>
              <w:bottom w:w="28" w:type="dxa"/>
            </w:tcMar>
            <w:vAlign w:val="bottom"/>
          </w:tcPr>
          <w:p>
            <w:pPr>
              <w:pStyle w:val="TableContents"/>
              <w:spacing w:before="0" w:after="283"/>
              <w:rPr/>
            </w:pPr>
            <w:r>
              <w:rPr/>
              <w:t xml:space="preserve">​ </w:t>
            </w:r>
          </w:p>
        </w:tc>
        <w:tc>
          <w:tcPr>
            <w:tcW w:w="936" w:type="dxa"/>
            <w:tcBorders>
              <w:bottom w:val="single" w:sz="8" w:space="0" w:color="000000"/>
            </w:tcBorders>
            <w:shd w:fill="FFFFFF" w:val="clear"/>
            <w:tcMar>
              <w:bottom w:w="28" w:type="dxa"/>
            </w:tcMar>
            <w:vAlign w:val="bottom"/>
          </w:tcPr>
          <w:p>
            <w:pPr>
              <w:pStyle w:val="TableContents"/>
              <w:spacing w:before="0" w:after="283"/>
              <w:jc w:val="right"/>
              <w:rPr/>
            </w:pPr>
            <w:r>
              <w:rPr/>
              <w:t xml:space="preserve">​ </w:t>
            </w:r>
          </w:p>
        </w:tc>
        <w:tc>
          <w:tcPr>
            <w:tcW w:w="164" w:type="dxa"/>
            <w:tcBorders/>
            <w:shd w:fill="FFFFFF" w:val="clear"/>
            <w:vAlign w:val="bottom"/>
          </w:tcPr>
          <w:p>
            <w:pPr>
              <w:pStyle w:val="TableContents"/>
              <w:spacing w:before="0" w:after="283"/>
              <w:rPr/>
            </w:pPr>
            <w:r>
              <w:rPr/>
              <w:t>​</w:t>
            </w:r>
          </w:p>
        </w:tc>
        <w:tc>
          <w:tcPr>
            <w:tcW w:w="95" w:type="dxa"/>
            <w:tcBorders>
              <w:bottom w:val="single" w:sz="8" w:space="0" w:color="000000"/>
            </w:tcBorders>
            <w:shd w:fill="FFFFFF" w:val="clear"/>
            <w:tcMar>
              <w:bottom w:w="28" w:type="dxa"/>
            </w:tcMar>
            <w:vAlign w:val="bottom"/>
          </w:tcPr>
          <w:p>
            <w:pPr>
              <w:pStyle w:val="TableContents"/>
              <w:spacing w:before="0" w:after="283"/>
              <w:rPr/>
            </w:pPr>
            <w:r>
              <w:rPr/>
              <w:t xml:space="preserve">​ </w:t>
            </w:r>
          </w:p>
        </w:tc>
        <w:tc>
          <w:tcPr>
            <w:tcW w:w="936" w:type="dxa"/>
            <w:tcBorders>
              <w:bottom w:val="single" w:sz="8" w:space="0" w:color="000000"/>
            </w:tcBorders>
            <w:shd w:fill="FFFFFF" w:val="clear"/>
            <w:tcMar>
              <w:bottom w:w="28" w:type="dxa"/>
            </w:tcMar>
            <w:vAlign w:val="bottom"/>
          </w:tcPr>
          <w:p>
            <w:pPr>
              <w:pStyle w:val="TableContents"/>
              <w:spacing w:before="0" w:after="283"/>
              <w:jc w:val="right"/>
              <w:rPr/>
            </w:pPr>
            <w:r>
              <w:rPr/>
              <w:t xml:space="preserve">​ </w:t>
            </w:r>
          </w:p>
        </w:tc>
        <w:tc>
          <w:tcPr>
            <w:tcW w:w="171" w:type="dxa"/>
            <w:tcBorders/>
            <w:shd w:fill="FFFFFF" w:val="clear"/>
            <w:vAlign w:val="bottom"/>
          </w:tcPr>
          <w:p>
            <w:pPr>
              <w:pStyle w:val="TableContents"/>
              <w:spacing w:before="0" w:after="283"/>
              <w:rPr/>
            </w:pPr>
            <w:r>
              <w:rPr/>
              <w:t>​</w:t>
            </w:r>
          </w:p>
        </w:tc>
      </w:tr>
      <w:tr>
        <w:trPr/>
        <w:tc>
          <w:tcPr>
            <w:tcW w:w="4059" w:type="dxa"/>
            <w:tcBorders/>
            <w:shd w:fill="auto" w:val="clear"/>
            <w:vAlign w:val="bottom"/>
          </w:tcPr>
          <w:p>
            <w:pPr>
              <w:pStyle w:val="TableContents"/>
              <w:spacing w:before="0" w:after="283"/>
              <w:ind w:left="140" w:right="0" w:hanging="140"/>
              <w:rPr>
                <w:rFonts w:ascii="times" w:hAnsi="times"/>
                <w:sz w:val="14"/>
              </w:rPr>
            </w:pPr>
            <w:r>
              <w:rPr>
                <w:rFonts w:ascii="times" w:hAnsi="times"/>
                <w:sz w:val="14"/>
              </w:rPr>
              <w:t>Adjustment for:</w:t>
            </w:r>
          </w:p>
        </w:tc>
        <w:tc>
          <w:tcPr>
            <w:tcW w:w="164"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936" w:type="dxa"/>
            <w:tcBorders/>
            <w:shd w:fill="auto" w:val="clear"/>
            <w:vAlign w:val="bottom"/>
          </w:tcPr>
          <w:p>
            <w:pPr>
              <w:pStyle w:val="TableContents"/>
              <w:spacing w:before="0" w:after="283"/>
              <w:jc w:val="right"/>
              <w:rPr/>
            </w:pPr>
            <w:r>
              <w:rPr/>
              <w:t> </w:t>
            </w:r>
          </w:p>
        </w:tc>
        <w:tc>
          <w:tcPr>
            <w:tcW w:w="164"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936" w:type="dxa"/>
            <w:tcBorders/>
            <w:shd w:fill="auto" w:val="clear"/>
            <w:vAlign w:val="bottom"/>
          </w:tcPr>
          <w:p>
            <w:pPr>
              <w:pStyle w:val="TableContents"/>
              <w:spacing w:before="0" w:after="283"/>
              <w:jc w:val="right"/>
              <w:rPr/>
            </w:pPr>
            <w:r>
              <w:rPr/>
              <w:t> </w:t>
            </w:r>
          </w:p>
        </w:tc>
        <w:tc>
          <w:tcPr>
            <w:tcW w:w="164"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936" w:type="dxa"/>
            <w:tcBorders/>
            <w:shd w:fill="auto" w:val="clear"/>
            <w:vAlign w:val="bottom"/>
          </w:tcPr>
          <w:p>
            <w:pPr>
              <w:pStyle w:val="TableContents"/>
              <w:spacing w:before="0" w:after="283"/>
              <w:jc w:val="right"/>
              <w:rPr/>
            </w:pPr>
            <w:r>
              <w:rPr/>
              <w:t> </w:t>
            </w:r>
          </w:p>
        </w:tc>
        <w:tc>
          <w:tcPr>
            <w:tcW w:w="164"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936" w:type="dxa"/>
            <w:tcBorders/>
            <w:shd w:fill="auto" w:val="clear"/>
            <w:vAlign w:val="bottom"/>
          </w:tcPr>
          <w:p>
            <w:pPr>
              <w:pStyle w:val="TableContents"/>
              <w:spacing w:before="0" w:after="283"/>
              <w:jc w:val="right"/>
              <w:rPr/>
            </w:pPr>
            <w:r>
              <w:rPr/>
              <w:t> </w:t>
            </w:r>
          </w:p>
        </w:tc>
        <w:tc>
          <w:tcPr>
            <w:tcW w:w="164"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936" w:type="dxa"/>
            <w:tcBorders/>
            <w:shd w:fill="auto" w:val="clear"/>
            <w:vAlign w:val="bottom"/>
          </w:tcPr>
          <w:p>
            <w:pPr>
              <w:pStyle w:val="TableContents"/>
              <w:spacing w:before="0" w:after="283"/>
              <w:jc w:val="right"/>
              <w:rPr/>
            </w:pPr>
            <w:r>
              <w:rPr/>
              <w:t> </w:t>
            </w:r>
          </w:p>
        </w:tc>
        <w:tc>
          <w:tcPr>
            <w:tcW w:w="171" w:type="dxa"/>
            <w:tcBorders/>
            <w:shd w:fill="auto" w:val="clear"/>
            <w:vAlign w:val="bottom"/>
          </w:tcPr>
          <w:p>
            <w:pPr>
              <w:pStyle w:val="TableContents"/>
              <w:spacing w:before="0" w:after="283"/>
              <w:rPr/>
            </w:pPr>
            <w:r>
              <w:rPr/>
              <w:t> </w:t>
            </w:r>
          </w:p>
        </w:tc>
      </w:tr>
      <w:tr>
        <w:trPr/>
        <w:tc>
          <w:tcPr>
            <w:tcW w:w="4059" w:type="dxa"/>
            <w:tcBorders/>
            <w:shd w:fill="auto" w:val="clear"/>
            <w:vAlign w:val="bottom"/>
          </w:tcPr>
          <w:p>
            <w:pPr>
              <w:pStyle w:val="TableContents"/>
              <w:spacing w:before="0" w:after="283"/>
              <w:ind w:left="140" w:right="0" w:hanging="140"/>
              <w:rPr>
                <w:rFonts w:ascii="times" w:hAnsi="times"/>
                <w:sz w:val="14"/>
              </w:rPr>
            </w:pPr>
            <w:r>
              <w:rPr>
                <w:rFonts w:ascii="times" w:hAnsi="times"/>
                <w:sz w:val="14"/>
              </w:rPr>
              <w:t>Paid and accrued preference unit distributions</w:t>
            </w:r>
          </w:p>
        </w:tc>
        <w:tc>
          <w:tcPr>
            <w:tcW w:w="164"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936" w:type="dxa"/>
            <w:tcBorders/>
            <w:shd w:fill="auto" w:val="clear"/>
            <w:vAlign w:val="bottom"/>
          </w:tcPr>
          <w:p>
            <w:pPr>
              <w:pStyle w:val="TableContents"/>
              <w:spacing w:before="0" w:after="283"/>
              <w:jc w:val="right"/>
              <w:rPr>
                <w:rFonts w:ascii="times" w:hAnsi="times"/>
                <w:sz w:val="14"/>
              </w:rPr>
            </w:pPr>
            <w:r>
              <w:rPr>
                <w:rFonts w:ascii="times" w:hAnsi="times"/>
                <w:sz w:val="14"/>
              </w:rPr>
              <w:t></w:t>
            </w:r>
          </w:p>
        </w:tc>
        <w:tc>
          <w:tcPr>
            <w:tcW w:w="164"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936" w:type="dxa"/>
            <w:tcBorders/>
            <w:shd w:fill="auto" w:val="clear"/>
            <w:vAlign w:val="bottom"/>
          </w:tcPr>
          <w:p>
            <w:pPr>
              <w:pStyle w:val="TableContents"/>
              <w:spacing w:before="0" w:after="283"/>
              <w:jc w:val="right"/>
              <w:rPr>
                <w:rFonts w:ascii="times" w:hAnsi="times"/>
                <w:sz w:val="14"/>
              </w:rPr>
            </w:pPr>
            <w:r>
              <w:rPr>
                <w:rFonts w:ascii="times" w:hAnsi="times"/>
                <w:sz w:val="14"/>
              </w:rPr>
              <w:t>(7,749</w:t>
            </w:r>
          </w:p>
        </w:tc>
        <w:tc>
          <w:tcPr>
            <w:tcW w:w="164" w:type="dxa"/>
            <w:tcBorders/>
            <w:shd w:fill="auto" w:val="clear"/>
            <w:vAlign w:val="bottom"/>
          </w:tcPr>
          <w:p>
            <w:pPr>
              <w:pStyle w:val="TableContents"/>
              <w:spacing w:before="0" w:after="283"/>
              <w:rPr>
                <w:rFonts w:ascii="times" w:hAnsi="times"/>
                <w:sz w:val="14"/>
              </w:rPr>
            </w:pPr>
            <w:r>
              <w:rPr>
                <w:rFonts w:ascii="times" w:hAnsi="times"/>
                <w:sz w:val="14"/>
              </w:rPr>
              <w:t>)</w:t>
            </w:r>
          </w:p>
        </w:tc>
        <w:tc>
          <w:tcPr>
            <w:tcW w:w="95" w:type="dxa"/>
            <w:tcBorders/>
            <w:shd w:fill="auto" w:val="clear"/>
            <w:vAlign w:val="bottom"/>
          </w:tcPr>
          <w:p>
            <w:pPr>
              <w:pStyle w:val="TableContents"/>
              <w:spacing w:before="0" w:after="283"/>
              <w:rPr/>
            </w:pPr>
            <w:r>
              <w:rPr/>
              <w:t> </w:t>
            </w:r>
          </w:p>
        </w:tc>
        <w:tc>
          <w:tcPr>
            <w:tcW w:w="936" w:type="dxa"/>
            <w:tcBorders/>
            <w:shd w:fill="auto" w:val="clear"/>
            <w:vAlign w:val="bottom"/>
          </w:tcPr>
          <w:p>
            <w:pPr>
              <w:pStyle w:val="TableContents"/>
              <w:spacing w:before="0" w:after="283"/>
              <w:jc w:val="right"/>
              <w:rPr>
                <w:rFonts w:ascii="times" w:hAnsi="times"/>
                <w:sz w:val="14"/>
              </w:rPr>
            </w:pPr>
            <w:r>
              <w:rPr>
                <w:rFonts w:ascii="times" w:hAnsi="times"/>
                <w:sz w:val="14"/>
              </w:rPr>
              <w:t>(22,498</w:t>
            </w:r>
          </w:p>
        </w:tc>
        <w:tc>
          <w:tcPr>
            <w:tcW w:w="164" w:type="dxa"/>
            <w:tcBorders/>
            <w:shd w:fill="auto" w:val="clear"/>
            <w:vAlign w:val="bottom"/>
          </w:tcPr>
          <w:p>
            <w:pPr>
              <w:pStyle w:val="TableContents"/>
              <w:spacing w:before="0" w:after="283"/>
              <w:rPr>
                <w:rFonts w:ascii="times" w:hAnsi="times"/>
                <w:sz w:val="14"/>
              </w:rPr>
            </w:pPr>
            <w:r>
              <w:rPr>
                <w:rFonts w:ascii="times" w:hAnsi="times"/>
                <w:sz w:val="14"/>
              </w:rPr>
              <w:t>)</w:t>
            </w:r>
          </w:p>
        </w:tc>
        <w:tc>
          <w:tcPr>
            <w:tcW w:w="95" w:type="dxa"/>
            <w:tcBorders/>
            <w:shd w:fill="auto" w:val="clear"/>
            <w:vAlign w:val="bottom"/>
          </w:tcPr>
          <w:p>
            <w:pPr>
              <w:pStyle w:val="TableContents"/>
              <w:spacing w:before="0" w:after="283"/>
              <w:rPr/>
            </w:pPr>
            <w:r>
              <w:rPr/>
              <w:t> </w:t>
            </w:r>
          </w:p>
        </w:tc>
        <w:tc>
          <w:tcPr>
            <w:tcW w:w="936" w:type="dxa"/>
            <w:tcBorders/>
            <w:shd w:fill="auto" w:val="clear"/>
            <w:vAlign w:val="bottom"/>
          </w:tcPr>
          <w:p>
            <w:pPr>
              <w:pStyle w:val="TableContents"/>
              <w:spacing w:before="0" w:after="283"/>
              <w:jc w:val="right"/>
              <w:rPr>
                <w:rFonts w:ascii="times" w:hAnsi="times"/>
                <w:sz w:val="14"/>
              </w:rPr>
            </w:pPr>
            <w:r>
              <w:rPr>
                <w:rFonts w:ascii="times" w:hAnsi="times"/>
                <w:sz w:val="14"/>
              </w:rPr>
              <w:t>(30,328</w:t>
            </w:r>
          </w:p>
        </w:tc>
        <w:tc>
          <w:tcPr>
            <w:tcW w:w="164" w:type="dxa"/>
            <w:tcBorders/>
            <w:shd w:fill="auto" w:val="clear"/>
            <w:vAlign w:val="bottom"/>
          </w:tcPr>
          <w:p>
            <w:pPr>
              <w:pStyle w:val="TableContents"/>
              <w:spacing w:before="0" w:after="283"/>
              <w:rPr>
                <w:rFonts w:ascii="times" w:hAnsi="times"/>
                <w:sz w:val="14"/>
              </w:rPr>
            </w:pPr>
            <w:r>
              <w:rPr>
                <w:rFonts w:ascii="times" w:hAnsi="times"/>
                <w:sz w:val="14"/>
              </w:rPr>
              <w:t>)</w:t>
            </w:r>
          </w:p>
        </w:tc>
        <w:tc>
          <w:tcPr>
            <w:tcW w:w="95" w:type="dxa"/>
            <w:tcBorders/>
            <w:shd w:fill="auto" w:val="clear"/>
            <w:vAlign w:val="bottom"/>
          </w:tcPr>
          <w:p>
            <w:pPr>
              <w:pStyle w:val="TableContents"/>
              <w:spacing w:before="0" w:after="283"/>
              <w:rPr/>
            </w:pPr>
            <w:r>
              <w:rPr/>
              <w:t> </w:t>
            </w:r>
          </w:p>
        </w:tc>
        <w:tc>
          <w:tcPr>
            <w:tcW w:w="936" w:type="dxa"/>
            <w:tcBorders/>
            <w:shd w:fill="auto" w:val="clear"/>
            <w:vAlign w:val="bottom"/>
          </w:tcPr>
          <w:p>
            <w:pPr>
              <w:pStyle w:val="TableContents"/>
              <w:spacing w:before="0" w:after="283"/>
              <w:jc w:val="right"/>
              <w:rPr>
                <w:rFonts w:ascii="times" w:hAnsi="times"/>
                <w:sz w:val="14"/>
              </w:rPr>
            </w:pPr>
            <w:r>
              <w:rPr>
                <w:rFonts w:ascii="times" w:hAnsi="times"/>
                <w:sz w:val="14"/>
              </w:rPr>
              <w:t>(30,328</w:t>
            </w:r>
          </w:p>
        </w:tc>
        <w:tc>
          <w:tcPr>
            <w:tcW w:w="171" w:type="dxa"/>
            <w:tcBorders/>
            <w:shd w:fill="auto" w:val="clear"/>
            <w:vAlign w:val="bottom"/>
          </w:tcPr>
          <w:p>
            <w:pPr>
              <w:pStyle w:val="TableContents"/>
              <w:spacing w:before="0" w:after="283"/>
              <w:rPr>
                <w:rFonts w:ascii="times" w:hAnsi="times"/>
                <w:sz w:val="14"/>
              </w:rPr>
            </w:pPr>
            <w:r>
              <w:rPr>
                <w:rFonts w:ascii="times" w:hAnsi="times"/>
                <w:sz w:val="14"/>
              </w:rPr>
              <w:t xml:space="preserve">) </w:t>
            </w:r>
          </w:p>
        </w:tc>
      </w:tr>
      <w:tr>
        <w:trPr/>
        <w:tc>
          <w:tcPr>
            <w:tcW w:w="4059" w:type="dxa"/>
            <w:tcBorders/>
            <w:shd w:fill="FFFFFF" w:val="clear"/>
            <w:vAlign w:val="bottom"/>
          </w:tcPr>
          <w:p>
            <w:pPr>
              <w:pStyle w:val="TableContents"/>
              <w:spacing w:before="0" w:after="283"/>
              <w:rPr/>
            </w:pPr>
            <w:r>
              <w:rPr/>
              <w:t>​</w:t>
            </w:r>
          </w:p>
        </w:tc>
        <w:tc>
          <w:tcPr>
            <w:tcW w:w="164" w:type="dxa"/>
            <w:tcBorders/>
            <w:shd w:fill="FFFFFF" w:val="clear"/>
            <w:vAlign w:val="bottom"/>
          </w:tcPr>
          <w:p>
            <w:pPr>
              <w:pStyle w:val="TableContents"/>
              <w:spacing w:before="0" w:after="283"/>
              <w:rPr/>
            </w:pPr>
            <w:r>
              <w:rPr/>
              <w:t>​</w:t>
            </w:r>
          </w:p>
        </w:tc>
        <w:tc>
          <w:tcPr>
            <w:tcW w:w="95" w:type="dxa"/>
            <w:tcBorders>
              <w:bottom w:val="single" w:sz="8" w:space="0" w:color="000000"/>
            </w:tcBorders>
            <w:shd w:fill="FFFFFF" w:val="clear"/>
            <w:tcMar>
              <w:bottom w:w="28" w:type="dxa"/>
            </w:tcMar>
            <w:vAlign w:val="bottom"/>
          </w:tcPr>
          <w:p>
            <w:pPr>
              <w:pStyle w:val="TableContents"/>
              <w:spacing w:before="0" w:after="283"/>
              <w:rPr/>
            </w:pPr>
            <w:r>
              <w:rPr/>
              <w:t xml:space="preserve">​ </w:t>
            </w:r>
          </w:p>
        </w:tc>
        <w:tc>
          <w:tcPr>
            <w:tcW w:w="936" w:type="dxa"/>
            <w:tcBorders>
              <w:bottom w:val="single" w:sz="8" w:space="0" w:color="000000"/>
            </w:tcBorders>
            <w:shd w:fill="FFFFFF" w:val="clear"/>
            <w:tcMar>
              <w:bottom w:w="28" w:type="dxa"/>
            </w:tcMar>
            <w:vAlign w:val="bottom"/>
          </w:tcPr>
          <w:p>
            <w:pPr>
              <w:pStyle w:val="TableContents"/>
              <w:spacing w:before="0" w:after="283"/>
              <w:jc w:val="right"/>
              <w:rPr/>
            </w:pPr>
            <w:r>
              <w:rPr/>
              <w:t xml:space="preserve">​ </w:t>
            </w:r>
          </w:p>
        </w:tc>
        <w:tc>
          <w:tcPr>
            <w:tcW w:w="164" w:type="dxa"/>
            <w:tcBorders/>
            <w:shd w:fill="FFFFFF" w:val="clear"/>
            <w:vAlign w:val="bottom"/>
          </w:tcPr>
          <w:p>
            <w:pPr>
              <w:pStyle w:val="TableContents"/>
              <w:spacing w:before="0" w:after="283"/>
              <w:rPr/>
            </w:pPr>
            <w:r>
              <w:rPr/>
              <w:t>​</w:t>
            </w:r>
          </w:p>
        </w:tc>
        <w:tc>
          <w:tcPr>
            <w:tcW w:w="95" w:type="dxa"/>
            <w:tcBorders>
              <w:bottom w:val="single" w:sz="8" w:space="0" w:color="000000"/>
            </w:tcBorders>
            <w:shd w:fill="FFFFFF" w:val="clear"/>
            <w:tcMar>
              <w:bottom w:w="28" w:type="dxa"/>
            </w:tcMar>
            <w:vAlign w:val="bottom"/>
          </w:tcPr>
          <w:p>
            <w:pPr>
              <w:pStyle w:val="TableContents"/>
              <w:spacing w:before="0" w:after="283"/>
              <w:rPr/>
            </w:pPr>
            <w:r>
              <w:rPr/>
              <w:t xml:space="preserve">​ </w:t>
            </w:r>
          </w:p>
        </w:tc>
        <w:tc>
          <w:tcPr>
            <w:tcW w:w="936" w:type="dxa"/>
            <w:tcBorders>
              <w:bottom w:val="single" w:sz="8" w:space="0" w:color="000000"/>
            </w:tcBorders>
            <w:shd w:fill="FFFFFF" w:val="clear"/>
            <w:tcMar>
              <w:bottom w:w="28" w:type="dxa"/>
            </w:tcMar>
            <w:vAlign w:val="bottom"/>
          </w:tcPr>
          <w:p>
            <w:pPr>
              <w:pStyle w:val="TableContents"/>
              <w:spacing w:before="0" w:after="283"/>
              <w:jc w:val="right"/>
              <w:rPr/>
            </w:pPr>
            <w:r>
              <w:rPr/>
              <w:t xml:space="preserve">​ </w:t>
            </w:r>
          </w:p>
        </w:tc>
        <w:tc>
          <w:tcPr>
            <w:tcW w:w="164" w:type="dxa"/>
            <w:tcBorders/>
            <w:shd w:fill="FFFFFF" w:val="clear"/>
            <w:vAlign w:val="bottom"/>
          </w:tcPr>
          <w:p>
            <w:pPr>
              <w:pStyle w:val="TableContents"/>
              <w:spacing w:before="0" w:after="283"/>
              <w:rPr/>
            </w:pPr>
            <w:r>
              <w:rPr/>
              <w:t>​</w:t>
            </w:r>
          </w:p>
        </w:tc>
        <w:tc>
          <w:tcPr>
            <w:tcW w:w="95" w:type="dxa"/>
            <w:tcBorders>
              <w:bottom w:val="single" w:sz="8" w:space="0" w:color="000000"/>
            </w:tcBorders>
            <w:shd w:fill="FFFFFF" w:val="clear"/>
            <w:tcMar>
              <w:bottom w:w="28" w:type="dxa"/>
            </w:tcMar>
            <w:vAlign w:val="bottom"/>
          </w:tcPr>
          <w:p>
            <w:pPr>
              <w:pStyle w:val="TableContents"/>
              <w:spacing w:before="0" w:after="283"/>
              <w:rPr/>
            </w:pPr>
            <w:r>
              <w:rPr/>
              <w:t xml:space="preserve">​ </w:t>
            </w:r>
          </w:p>
        </w:tc>
        <w:tc>
          <w:tcPr>
            <w:tcW w:w="936" w:type="dxa"/>
            <w:tcBorders>
              <w:bottom w:val="single" w:sz="8" w:space="0" w:color="000000"/>
            </w:tcBorders>
            <w:shd w:fill="FFFFFF" w:val="clear"/>
            <w:tcMar>
              <w:bottom w:w="28" w:type="dxa"/>
            </w:tcMar>
            <w:vAlign w:val="bottom"/>
          </w:tcPr>
          <w:p>
            <w:pPr>
              <w:pStyle w:val="TableContents"/>
              <w:spacing w:before="0" w:after="283"/>
              <w:jc w:val="right"/>
              <w:rPr/>
            </w:pPr>
            <w:r>
              <w:rPr/>
              <w:t xml:space="preserve">​ </w:t>
            </w:r>
          </w:p>
        </w:tc>
        <w:tc>
          <w:tcPr>
            <w:tcW w:w="164" w:type="dxa"/>
            <w:tcBorders/>
            <w:shd w:fill="FFFFFF" w:val="clear"/>
            <w:vAlign w:val="bottom"/>
          </w:tcPr>
          <w:p>
            <w:pPr>
              <w:pStyle w:val="TableContents"/>
              <w:spacing w:before="0" w:after="283"/>
              <w:rPr/>
            </w:pPr>
            <w:r>
              <w:rPr/>
              <w:t>​</w:t>
            </w:r>
          </w:p>
        </w:tc>
        <w:tc>
          <w:tcPr>
            <w:tcW w:w="95" w:type="dxa"/>
            <w:tcBorders>
              <w:bottom w:val="single" w:sz="8" w:space="0" w:color="000000"/>
            </w:tcBorders>
            <w:shd w:fill="FFFFFF" w:val="clear"/>
            <w:tcMar>
              <w:bottom w:w="28" w:type="dxa"/>
            </w:tcMar>
            <w:vAlign w:val="bottom"/>
          </w:tcPr>
          <w:p>
            <w:pPr>
              <w:pStyle w:val="TableContents"/>
              <w:spacing w:before="0" w:after="283"/>
              <w:rPr/>
            </w:pPr>
            <w:r>
              <w:rPr/>
              <w:t xml:space="preserve">​ </w:t>
            </w:r>
          </w:p>
        </w:tc>
        <w:tc>
          <w:tcPr>
            <w:tcW w:w="936" w:type="dxa"/>
            <w:tcBorders>
              <w:bottom w:val="single" w:sz="8" w:space="0" w:color="000000"/>
            </w:tcBorders>
            <w:shd w:fill="FFFFFF" w:val="clear"/>
            <w:tcMar>
              <w:bottom w:w="28" w:type="dxa"/>
            </w:tcMar>
            <w:vAlign w:val="bottom"/>
          </w:tcPr>
          <w:p>
            <w:pPr>
              <w:pStyle w:val="TableContents"/>
              <w:spacing w:before="0" w:after="283"/>
              <w:jc w:val="right"/>
              <w:rPr/>
            </w:pPr>
            <w:r>
              <w:rPr/>
              <w:t xml:space="preserve">​ </w:t>
            </w:r>
          </w:p>
        </w:tc>
        <w:tc>
          <w:tcPr>
            <w:tcW w:w="164" w:type="dxa"/>
            <w:tcBorders/>
            <w:shd w:fill="FFFFFF" w:val="clear"/>
            <w:vAlign w:val="bottom"/>
          </w:tcPr>
          <w:p>
            <w:pPr>
              <w:pStyle w:val="TableContents"/>
              <w:spacing w:before="0" w:after="283"/>
              <w:rPr/>
            </w:pPr>
            <w:r>
              <w:rPr/>
              <w:t>​</w:t>
            </w:r>
          </w:p>
        </w:tc>
        <w:tc>
          <w:tcPr>
            <w:tcW w:w="95" w:type="dxa"/>
            <w:tcBorders>
              <w:bottom w:val="single" w:sz="8" w:space="0" w:color="000000"/>
            </w:tcBorders>
            <w:shd w:fill="FFFFFF" w:val="clear"/>
            <w:tcMar>
              <w:bottom w:w="28" w:type="dxa"/>
            </w:tcMar>
            <w:vAlign w:val="bottom"/>
          </w:tcPr>
          <w:p>
            <w:pPr>
              <w:pStyle w:val="TableContents"/>
              <w:spacing w:before="0" w:after="283"/>
              <w:rPr/>
            </w:pPr>
            <w:r>
              <w:rPr/>
              <w:t xml:space="preserve">​ </w:t>
            </w:r>
          </w:p>
        </w:tc>
        <w:tc>
          <w:tcPr>
            <w:tcW w:w="936" w:type="dxa"/>
            <w:tcBorders>
              <w:bottom w:val="single" w:sz="8" w:space="0" w:color="000000"/>
            </w:tcBorders>
            <w:shd w:fill="FFFFFF" w:val="clear"/>
            <w:tcMar>
              <w:bottom w:w="28" w:type="dxa"/>
            </w:tcMar>
            <w:vAlign w:val="bottom"/>
          </w:tcPr>
          <w:p>
            <w:pPr>
              <w:pStyle w:val="TableContents"/>
              <w:spacing w:before="0" w:after="283"/>
              <w:jc w:val="right"/>
              <w:rPr/>
            </w:pPr>
            <w:r>
              <w:rPr/>
              <w:t xml:space="preserve">​ </w:t>
            </w:r>
          </w:p>
        </w:tc>
        <w:tc>
          <w:tcPr>
            <w:tcW w:w="171" w:type="dxa"/>
            <w:tcBorders/>
            <w:shd w:fill="FFFFFF" w:val="clear"/>
            <w:vAlign w:val="bottom"/>
          </w:tcPr>
          <w:p>
            <w:pPr>
              <w:pStyle w:val="TableContents"/>
              <w:spacing w:before="0" w:after="283"/>
              <w:rPr/>
            </w:pPr>
            <w:r>
              <w:rPr/>
              <w:t>​</w:t>
            </w:r>
          </w:p>
        </w:tc>
      </w:tr>
      <w:tr>
        <w:trPr/>
        <w:tc>
          <w:tcPr>
            <w:tcW w:w="4059" w:type="dxa"/>
            <w:tcBorders/>
            <w:shd w:fill="auto" w:val="clear"/>
            <w:vAlign w:val="bottom"/>
          </w:tcPr>
          <w:p>
            <w:pPr>
              <w:pStyle w:val="TableContents"/>
              <w:spacing w:before="0" w:after="283"/>
              <w:ind w:left="140" w:right="0" w:hanging="140"/>
              <w:rPr>
                <w:rFonts w:ascii="times" w:hAnsi="times"/>
                <w:b/>
                <w:sz w:val="14"/>
              </w:rPr>
            </w:pPr>
            <w:r>
              <w:rPr>
                <w:rFonts w:ascii="times" w:hAnsi="times"/>
                <w:b/>
                <w:sz w:val="14"/>
              </w:rPr>
              <w:t>Partnership's profit/(loss) used in EPU calculation attributable to:</w:t>
            </w:r>
          </w:p>
        </w:tc>
        <w:tc>
          <w:tcPr>
            <w:tcW w:w="164"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rFonts w:ascii="times" w:hAnsi="times"/>
                <w:b/>
                <w:sz w:val="14"/>
              </w:rPr>
            </w:pPr>
            <w:r>
              <w:rPr>
                <w:rFonts w:ascii="times" w:hAnsi="times"/>
                <w:b/>
                <w:sz w:val="14"/>
              </w:rPr>
              <w:t>$</w:t>
            </w:r>
          </w:p>
        </w:tc>
        <w:tc>
          <w:tcPr>
            <w:tcW w:w="936" w:type="dxa"/>
            <w:tcBorders/>
            <w:shd w:fill="auto" w:val="clear"/>
            <w:vAlign w:val="bottom"/>
          </w:tcPr>
          <w:p>
            <w:pPr>
              <w:pStyle w:val="TableContents"/>
              <w:spacing w:before="0" w:after="283"/>
              <w:jc w:val="right"/>
              <w:rPr>
                <w:rFonts w:ascii="times" w:hAnsi="times"/>
                <w:b/>
                <w:sz w:val="14"/>
              </w:rPr>
            </w:pPr>
            <w:r>
              <w:rPr>
                <w:rFonts w:ascii="times" w:hAnsi="times"/>
                <w:b/>
                <w:sz w:val="14"/>
              </w:rPr>
              <w:t>77,270</w:t>
            </w:r>
          </w:p>
        </w:tc>
        <w:tc>
          <w:tcPr>
            <w:tcW w:w="164"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rFonts w:ascii="times" w:hAnsi="times"/>
                <w:b/>
                <w:sz w:val="14"/>
              </w:rPr>
            </w:pPr>
            <w:r>
              <w:rPr>
                <w:rFonts w:ascii="times" w:hAnsi="times"/>
                <w:b/>
                <w:sz w:val="14"/>
              </w:rPr>
              <w:t>$</w:t>
            </w:r>
          </w:p>
        </w:tc>
        <w:tc>
          <w:tcPr>
            <w:tcW w:w="936" w:type="dxa"/>
            <w:tcBorders/>
            <w:shd w:fill="auto" w:val="clear"/>
            <w:vAlign w:val="bottom"/>
          </w:tcPr>
          <w:p>
            <w:pPr>
              <w:pStyle w:val="TableContents"/>
              <w:spacing w:before="0" w:after="283"/>
              <w:jc w:val="right"/>
              <w:rPr>
                <w:rFonts w:ascii="times" w:hAnsi="times"/>
                <w:b/>
                <w:sz w:val="14"/>
              </w:rPr>
            </w:pPr>
            <w:r>
              <w:rPr>
                <w:rFonts w:ascii="times" w:hAnsi="times"/>
                <w:b/>
                <w:sz w:val="14"/>
              </w:rPr>
              <w:t>86,368</w:t>
            </w:r>
          </w:p>
        </w:tc>
        <w:tc>
          <w:tcPr>
            <w:tcW w:w="164"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rFonts w:ascii="times" w:hAnsi="times"/>
                <w:b/>
                <w:sz w:val="14"/>
              </w:rPr>
            </w:pPr>
            <w:r>
              <w:rPr>
                <w:rFonts w:ascii="times" w:hAnsi="times"/>
                <w:b/>
                <w:sz w:val="14"/>
              </w:rPr>
              <w:t>$</w:t>
            </w:r>
          </w:p>
        </w:tc>
        <w:tc>
          <w:tcPr>
            <w:tcW w:w="936" w:type="dxa"/>
            <w:tcBorders/>
            <w:shd w:fill="auto" w:val="clear"/>
            <w:vAlign w:val="bottom"/>
          </w:tcPr>
          <w:p>
            <w:pPr>
              <w:pStyle w:val="TableContents"/>
              <w:spacing w:before="0" w:after="283"/>
              <w:jc w:val="right"/>
              <w:rPr>
                <w:rFonts w:ascii="times" w:hAnsi="times"/>
                <w:b/>
                <w:sz w:val="14"/>
              </w:rPr>
            </w:pPr>
            <w:r>
              <w:rPr>
                <w:rFonts w:ascii="times" w:hAnsi="times"/>
                <w:b/>
                <w:sz w:val="14"/>
              </w:rPr>
              <w:t>80,099</w:t>
            </w:r>
          </w:p>
        </w:tc>
        <w:tc>
          <w:tcPr>
            <w:tcW w:w="164"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rFonts w:ascii="times" w:hAnsi="times"/>
                <w:b/>
                <w:sz w:val="14"/>
              </w:rPr>
            </w:pPr>
            <w:r>
              <w:rPr>
                <w:rFonts w:ascii="times" w:hAnsi="times"/>
                <w:b/>
                <w:sz w:val="14"/>
              </w:rPr>
              <w:t>$</w:t>
            </w:r>
          </w:p>
        </w:tc>
        <w:tc>
          <w:tcPr>
            <w:tcW w:w="936" w:type="dxa"/>
            <w:tcBorders/>
            <w:shd w:fill="auto" w:val="clear"/>
            <w:vAlign w:val="bottom"/>
          </w:tcPr>
          <w:p>
            <w:pPr>
              <w:pStyle w:val="TableContents"/>
              <w:spacing w:before="0" w:after="283"/>
              <w:jc w:val="right"/>
              <w:rPr>
                <w:rFonts w:ascii="times" w:hAnsi="times"/>
                <w:b/>
                <w:sz w:val="14"/>
              </w:rPr>
            </w:pPr>
            <w:r>
              <w:rPr>
                <w:rFonts w:ascii="times" w:hAnsi="times"/>
                <w:b/>
                <w:sz w:val="14"/>
              </w:rPr>
              <w:t>(67,747</w:t>
            </w:r>
          </w:p>
        </w:tc>
        <w:tc>
          <w:tcPr>
            <w:tcW w:w="164" w:type="dxa"/>
            <w:tcBorders/>
            <w:shd w:fill="auto" w:val="clear"/>
            <w:vAlign w:val="bottom"/>
          </w:tcPr>
          <w:p>
            <w:pPr>
              <w:pStyle w:val="TableContents"/>
              <w:spacing w:before="0" w:after="283"/>
              <w:rPr>
                <w:rFonts w:ascii="times" w:hAnsi="times"/>
                <w:b/>
                <w:sz w:val="14"/>
              </w:rPr>
            </w:pPr>
            <w:r>
              <w:rPr>
                <w:rFonts w:ascii="times" w:hAnsi="times"/>
                <w:b/>
                <w:sz w:val="14"/>
              </w:rPr>
              <w:t>)</w:t>
            </w:r>
          </w:p>
        </w:tc>
        <w:tc>
          <w:tcPr>
            <w:tcW w:w="95" w:type="dxa"/>
            <w:tcBorders/>
            <w:shd w:fill="auto" w:val="clear"/>
            <w:vAlign w:val="bottom"/>
          </w:tcPr>
          <w:p>
            <w:pPr>
              <w:pStyle w:val="TableContents"/>
              <w:spacing w:before="0" w:after="283"/>
              <w:rPr>
                <w:rFonts w:ascii="times" w:hAnsi="times"/>
                <w:b/>
                <w:sz w:val="14"/>
              </w:rPr>
            </w:pPr>
            <w:r>
              <w:rPr>
                <w:rFonts w:ascii="times" w:hAnsi="times"/>
                <w:b/>
                <w:sz w:val="14"/>
              </w:rPr>
              <w:t>$</w:t>
            </w:r>
          </w:p>
        </w:tc>
        <w:tc>
          <w:tcPr>
            <w:tcW w:w="936" w:type="dxa"/>
            <w:tcBorders/>
            <w:shd w:fill="auto" w:val="clear"/>
            <w:vAlign w:val="bottom"/>
          </w:tcPr>
          <w:p>
            <w:pPr>
              <w:pStyle w:val="TableContents"/>
              <w:spacing w:before="0" w:after="283"/>
              <w:jc w:val="right"/>
              <w:rPr>
                <w:rFonts w:ascii="times" w:hAnsi="times"/>
                <w:b/>
                <w:sz w:val="14"/>
              </w:rPr>
            </w:pPr>
            <w:r>
              <w:rPr>
                <w:rFonts w:ascii="times" w:hAnsi="times"/>
                <w:b/>
                <w:sz w:val="14"/>
              </w:rPr>
              <w:t>26,531</w:t>
            </w:r>
          </w:p>
        </w:tc>
        <w:tc>
          <w:tcPr>
            <w:tcW w:w="171" w:type="dxa"/>
            <w:tcBorders/>
            <w:shd w:fill="auto" w:val="clear"/>
            <w:vAlign w:val="bottom"/>
          </w:tcPr>
          <w:p>
            <w:pPr>
              <w:pStyle w:val="TableContents"/>
              <w:spacing w:before="0" w:after="283"/>
              <w:rPr/>
            </w:pPr>
            <w:r>
              <w:rPr/>
              <w:t> </w:t>
            </w:r>
          </w:p>
        </w:tc>
      </w:tr>
      <w:tr>
        <w:trPr/>
        <w:tc>
          <w:tcPr>
            <w:tcW w:w="4059" w:type="dxa"/>
            <w:tcBorders/>
            <w:shd w:fill="FFFFFF" w:val="clear"/>
            <w:vAlign w:val="bottom"/>
          </w:tcPr>
          <w:p>
            <w:pPr>
              <w:pStyle w:val="TableContents"/>
              <w:spacing w:before="0" w:after="283"/>
              <w:rPr/>
            </w:pPr>
            <w:r>
              <w:rPr/>
              <w:t>​</w:t>
            </w:r>
          </w:p>
        </w:tc>
        <w:tc>
          <w:tcPr>
            <w:tcW w:w="164" w:type="dxa"/>
            <w:tcBorders/>
            <w:shd w:fill="FFFFFF" w:val="clear"/>
            <w:vAlign w:val="bottom"/>
          </w:tcPr>
          <w:p>
            <w:pPr>
              <w:pStyle w:val="TableContents"/>
              <w:spacing w:before="0" w:after="283"/>
              <w:rPr/>
            </w:pPr>
            <w:r>
              <w:rPr/>
              <w:t>​</w:t>
            </w:r>
          </w:p>
        </w:tc>
        <w:tc>
          <w:tcPr>
            <w:tcW w:w="95" w:type="dxa"/>
            <w:tcBorders>
              <w:bottom w:val="single" w:sz="8" w:space="0" w:color="000000"/>
            </w:tcBorders>
            <w:shd w:fill="FFFFFF" w:val="clear"/>
            <w:tcMar>
              <w:bottom w:w="28" w:type="dxa"/>
            </w:tcMar>
            <w:vAlign w:val="bottom"/>
          </w:tcPr>
          <w:p>
            <w:pPr>
              <w:pStyle w:val="TableContents"/>
              <w:spacing w:before="0" w:after="283"/>
              <w:rPr/>
            </w:pPr>
            <w:r>
              <w:rPr/>
              <w:t xml:space="preserve">​ </w:t>
            </w:r>
          </w:p>
        </w:tc>
        <w:tc>
          <w:tcPr>
            <w:tcW w:w="936" w:type="dxa"/>
            <w:tcBorders>
              <w:bottom w:val="single" w:sz="8" w:space="0" w:color="000000"/>
            </w:tcBorders>
            <w:shd w:fill="FFFFFF" w:val="clear"/>
            <w:tcMar>
              <w:bottom w:w="28" w:type="dxa"/>
            </w:tcMar>
            <w:vAlign w:val="bottom"/>
          </w:tcPr>
          <w:p>
            <w:pPr>
              <w:pStyle w:val="TableContents"/>
              <w:spacing w:before="0" w:after="283"/>
              <w:jc w:val="right"/>
              <w:rPr/>
            </w:pPr>
            <w:r>
              <w:rPr/>
              <w:t xml:space="preserve">​ </w:t>
            </w:r>
          </w:p>
        </w:tc>
        <w:tc>
          <w:tcPr>
            <w:tcW w:w="164" w:type="dxa"/>
            <w:tcBorders/>
            <w:shd w:fill="FFFFFF" w:val="clear"/>
            <w:vAlign w:val="bottom"/>
          </w:tcPr>
          <w:p>
            <w:pPr>
              <w:pStyle w:val="TableContents"/>
              <w:spacing w:before="0" w:after="283"/>
              <w:rPr/>
            </w:pPr>
            <w:r>
              <w:rPr/>
              <w:t>​</w:t>
            </w:r>
          </w:p>
        </w:tc>
        <w:tc>
          <w:tcPr>
            <w:tcW w:w="95" w:type="dxa"/>
            <w:tcBorders>
              <w:bottom w:val="single" w:sz="8" w:space="0" w:color="000000"/>
            </w:tcBorders>
            <w:shd w:fill="FFFFFF" w:val="clear"/>
            <w:tcMar>
              <w:bottom w:w="28" w:type="dxa"/>
            </w:tcMar>
            <w:vAlign w:val="bottom"/>
          </w:tcPr>
          <w:p>
            <w:pPr>
              <w:pStyle w:val="TableContents"/>
              <w:spacing w:before="0" w:after="283"/>
              <w:rPr/>
            </w:pPr>
            <w:r>
              <w:rPr/>
              <w:t xml:space="preserve">​ </w:t>
            </w:r>
          </w:p>
        </w:tc>
        <w:tc>
          <w:tcPr>
            <w:tcW w:w="936" w:type="dxa"/>
            <w:tcBorders>
              <w:bottom w:val="single" w:sz="8" w:space="0" w:color="000000"/>
            </w:tcBorders>
            <w:shd w:fill="FFFFFF" w:val="clear"/>
            <w:tcMar>
              <w:bottom w:w="28" w:type="dxa"/>
            </w:tcMar>
            <w:vAlign w:val="bottom"/>
          </w:tcPr>
          <w:p>
            <w:pPr>
              <w:pStyle w:val="TableContents"/>
              <w:spacing w:before="0" w:after="283"/>
              <w:jc w:val="right"/>
              <w:rPr/>
            </w:pPr>
            <w:r>
              <w:rPr/>
              <w:t xml:space="preserve">​ </w:t>
            </w:r>
          </w:p>
        </w:tc>
        <w:tc>
          <w:tcPr>
            <w:tcW w:w="164" w:type="dxa"/>
            <w:tcBorders/>
            <w:shd w:fill="FFFFFF" w:val="clear"/>
            <w:vAlign w:val="bottom"/>
          </w:tcPr>
          <w:p>
            <w:pPr>
              <w:pStyle w:val="TableContents"/>
              <w:spacing w:before="0" w:after="283"/>
              <w:rPr/>
            </w:pPr>
            <w:r>
              <w:rPr/>
              <w:t>​</w:t>
            </w:r>
          </w:p>
        </w:tc>
        <w:tc>
          <w:tcPr>
            <w:tcW w:w="95" w:type="dxa"/>
            <w:tcBorders>
              <w:bottom w:val="single" w:sz="8" w:space="0" w:color="000000"/>
            </w:tcBorders>
            <w:shd w:fill="FFFFFF" w:val="clear"/>
            <w:tcMar>
              <w:bottom w:w="28" w:type="dxa"/>
            </w:tcMar>
            <w:vAlign w:val="bottom"/>
          </w:tcPr>
          <w:p>
            <w:pPr>
              <w:pStyle w:val="TableContents"/>
              <w:spacing w:before="0" w:after="283"/>
              <w:rPr/>
            </w:pPr>
            <w:r>
              <w:rPr/>
              <w:t xml:space="preserve">​ </w:t>
            </w:r>
          </w:p>
        </w:tc>
        <w:tc>
          <w:tcPr>
            <w:tcW w:w="936" w:type="dxa"/>
            <w:tcBorders>
              <w:bottom w:val="single" w:sz="8" w:space="0" w:color="000000"/>
            </w:tcBorders>
            <w:shd w:fill="FFFFFF" w:val="clear"/>
            <w:tcMar>
              <w:bottom w:w="28" w:type="dxa"/>
            </w:tcMar>
            <w:vAlign w:val="bottom"/>
          </w:tcPr>
          <w:p>
            <w:pPr>
              <w:pStyle w:val="TableContents"/>
              <w:spacing w:before="0" w:after="283"/>
              <w:jc w:val="right"/>
              <w:rPr/>
            </w:pPr>
            <w:r>
              <w:rPr/>
              <w:t xml:space="preserve">​ </w:t>
            </w:r>
          </w:p>
        </w:tc>
        <w:tc>
          <w:tcPr>
            <w:tcW w:w="164" w:type="dxa"/>
            <w:tcBorders/>
            <w:shd w:fill="FFFFFF" w:val="clear"/>
            <w:vAlign w:val="bottom"/>
          </w:tcPr>
          <w:p>
            <w:pPr>
              <w:pStyle w:val="TableContents"/>
              <w:spacing w:before="0" w:after="283"/>
              <w:rPr/>
            </w:pPr>
            <w:r>
              <w:rPr/>
              <w:t>​</w:t>
            </w:r>
          </w:p>
        </w:tc>
        <w:tc>
          <w:tcPr>
            <w:tcW w:w="95" w:type="dxa"/>
            <w:tcBorders>
              <w:bottom w:val="single" w:sz="8" w:space="0" w:color="000000"/>
            </w:tcBorders>
            <w:shd w:fill="FFFFFF" w:val="clear"/>
            <w:tcMar>
              <w:bottom w:w="28" w:type="dxa"/>
            </w:tcMar>
            <w:vAlign w:val="bottom"/>
          </w:tcPr>
          <w:p>
            <w:pPr>
              <w:pStyle w:val="TableContents"/>
              <w:spacing w:before="0" w:after="283"/>
              <w:rPr/>
            </w:pPr>
            <w:r>
              <w:rPr/>
              <w:t xml:space="preserve">​ </w:t>
            </w:r>
          </w:p>
        </w:tc>
        <w:tc>
          <w:tcPr>
            <w:tcW w:w="936" w:type="dxa"/>
            <w:tcBorders>
              <w:bottom w:val="single" w:sz="8" w:space="0" w:color="000000"/>
            </w:tcBorders>
            <w:shd w:fill="FFFFFF" w:val="clear"/>
            <w:tcMar>
              <w:bottom w:w="28" w:type="dxa"/>
            </w:tcMar>
            <w:vAlign w:val="bottom"/>
          </w:tcPr>
          <w:p>
            <w:pPr>
              <w:pStyle w:val="TableContents"/>
              <w:spacing w:before="0" w:after="283"/>
              <w:jc w:val="right"/>
              <w:rPr/>
            </w:pPr>
            <w:r>
              <w:rPr/>
              <w:t xml:space="preserve">​ </w:t>
            </w:r>
          </w:p>
        </w:tc>
        <w:tc>
          <w:tcPr>
            <w:tcW w:w="164" w:type="dxa"/>
            <w:tcBorders/>
            <w:shd w:fill="FFFFFF" w:val="clear"/>
            <w:vAlign w:val="bottom"/>
          </w:tcPr>
          <w:p>
            <w:pPr>
              <w:pStyle w:val="TableContents"/>
              <w:spacing w:before="0" w:after="283"/>
              <w:rPr/>
            </w:pPr>
            <w:r>
              <w:rPr/>
              <w:t>​</w:t>
            </w:r>
          </w:p>
        </w:tc>
        <w:tc>
          <w:tcPr>
            <w:tcW w:w="95" w:type="dxa"/>
            <w:tcBorders>
              <w:bottom w:val="single" w:sz="8" w:space="0" w:color="000000"/>
            </w:tcBorders>
            <w:shd w:fill="FFFFFF" w:val="clear"/>
            <w:tcMar>
              <w:bottom w:w="28" w:type="dxa"/>
            </w:tcMar>
            <w:vAlign w:val="bottom"/>
          </w:tcPr>
          <w:p>
            <w:pPr>
              <w:pStyle w:val="TableContents"/>
              <w:spacing w:before="0" w:after="283"/>
              <w:rPr/>
            </w:pPr>
            <w:r>
              <w:rPr/>
              <w:t xml:space="preserve">​ </w:t>
            </w:r>
          </w:p>
        </w:tc>
        <w:tc>
          <w:tcPr>
            <w:tcW w:w="936" w:type="dxa"/>
            <w:tcBorders>
              <w:bottom w:val="single" w:sz="8" w:space="0" w:color="000000"/>
            </w:tcBorders>
            <w:shd w:fill="FFFFFF" w:val="clear"/>
            <w:tcMar>
              <w:bottom w:w="28" w:type="dxa"/>
            </w:tcMar>
            <w:vAlign w:val="bottom"/>
          </w:tcPr>
          <w:p>
            <w:pPr>
              <w:pStyle w:val="TableContents"/>
              <w:spacing w:before="0" w:after="283"/>
              <w:jc w:val="right"/>
              <w:rPr/>
            </w:pPr>
            <w:r>
              <w:rPr/>
              <w:t xml:space="preserve">​ </w:t>
            </w:r>
          </w:p>
        </w:tc>
        <w:tc>
          <w:tcPr>
            <w:tcW w:w="171" w:type="dxa"/>
            <w:tcBorders/>
            <w:shd w:fill="FFFFFF" w:val="clear"/>
            <w:vAlign w:val="bottom"/>
          </w:tcPr>
          <w:p>
            <w:pPr>
              <w:pStyle w:val="TableContents"/>
              <w:spacing w:before="0" w:after="283"/>
              <w:rPr/>
            </w:pPr>
            <w:r>
              <w:rPr/>
              <w:t>​</w:t>
            </w:r>
          </w:p>
        </w:tc>
      </w:tr>
      <w:tr>
        <w:trPr/>
        <w:tc>
          <w:tcPr>
            <w:tcW w:w="4059" w:type="dxa"/>
            <w:tcBorders/>
            <w:shd w:fill="auto" w:val="clear"/>
            <w:vAlign w:val="bottom"/>
          </w:tcPr>
          <w:p>
            <w:pPr>
              <w:pStyle w:val="TableContents"/>
              <w:spacing w:before="0" w:after="283"/>
              <w:ind w:left="140" w:right="0" w:hanging="140"/>
              <w:rPr>
                <w:rFonts w:ascii="times" w:hAnsi="times"/>
                <w:sz w:val="14"/>
              </w:rPr>
            </w:pPr>
            <w:r>
              <w:rPr>
                <w:rFonts w:ascii="times" w:hAnsi="times"/>
                <w:sz w:val="14"/>
              </w:rPr>
              <w:t>Common units</w:t>
            </w:r>
          </w:p>
        </w:tc>
        <w:tc>
          <w:tcPr>
            <w:tcW w:w="164"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936" w:type="dxa"/>
            <w:tcBorders/>
            <w:shd w:fill="auto" w:val="clear"/>
            <w:vAlign w:val="bottom"/>
          </w:tcPr>
          <w:p>
            <w:pPr>
              <w:pStyle w:val="TableContents"/>
              <w:spacing w:before="0" w:after="283"/>
              <w:jc w:val="right"/>
              <w:rPr>
                <w:rFonts w:ascii="times" w:hAnsi="times"/>
                <w:sz w:val="14"/>
              </w:rPr>
            </w:pPr>
            <w:r>
              <w:rPr>
                <w:rFonts w:ascii="times" w:hAnsi="times"/>
                <w:sz w:val="14"/>
              </w:rPr>
              <w:t>49,886</w:t>
            </w:r>
          </w:p>
        </w:tc>
        <w:tc>
          <w:tcPr>
            <w:tcW w:w="164"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936" w:type="dxa"/>
            <w:tcBorders/>
            <w:shd w:fill="auto" w:val="clear"/>
            <w:vAlign w:val="bottom"/>
          </w:tcPr>
          <w:p>
            <w:pPr>
              <w:pStyle w:val="TableContents"/>
              <w:spacing w:before="0" w:after="283"/>
              <w:jc w:val="right"/>
              <w:rPr>
                <w:rFonts w:ascii="times" w:hAnsi="times"/>
                <w:sz w:val="14"/>
              </w:rPr>
            </w:pPr>
            <w:r>
              <w:rPr>
                <w:rFonts w:ascii="times" w:hAnsi="times"/>
                <w:sz w:val="14"/>
              </w:rPr>
              <w:t>76,347</w:t>
            </w:r>
          </w:p>
        </w:tc>
        <w:tc>
          <w:tcPr>
            <w:tcW w:w="164"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936" w:type="dxa"/>
            <w:tcBorders/>
            <w:shd w:fill="auto" w:val="clear"/>
            <w:vAlign w:val="bottom"/>
          </w:tcPr>
          <w:p>
            <w:pPr>
              <w:pStyle w:val="TableContents"/>
              <w:spacing w:before="0" w:after="283"/>
              <w:jc w:val="right"/>
              <w:rPr>
                <w:rFonts w:ascii="times" w:hAnsi="times"/>
                <w:sz w:val="14"/>
              </w:rPr>
            </w:pPr>
            <w:r>
              <w:rPr>
                <w:rFonts w:ascii="times" w:hAnsi="times"/>
                <w:sz w:val="14"/>
              </w:rPr>
              <w:t>75,879</w:t>
            </w:r>
          </w:p>
        </w:tc>
        <w:tc>
          <w:tcPr>
            <w:tcW w:w="164"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936" w:type="dxa"/>
            <w:tcBorders/>
            <w:shd w:fill="auto" w:val="clear"/>
            <w:vAlign w:val="bottom"/>
          </w:tcPr>
          <w:p>
            <w:pPr>
              <w:pStyle w:val="TableContents"/>
              <w:spacing w:before="0" w:after="283"/>
              <w:jc w:val="right"/>
              <w:rPr>
                <w:rFonts w:ascii="times" w:hAnsi="times"/>
                <w:sz w:val="14"/>
              </w:rPr>
            </w:pPr>
            <w:r>
              <w:rPr>
                <w:rFonts w:ascii="times" w:hAnsi="times"/>
                <w:sz w:val="14"/>
              </w:rPr>
              <w:t>(66,268</w:t>
            </w:r>
          </w:p>
        </w:tc>
        <w:tc>
          <w:tcPr>
            <w:tcW w:w="164" w:type="dxa"/>
            <w:tcBorders/>
            <w:shd w:fill="auto" w:val="clear"/>
            <w:vAlign w:val="bottom"/>
          </w:tcPr>
          <w:p>
            <w:pPr>
              <w:pStyle w:val="TableContents"/>
              <w:spacing w:before="0" w:after="283"/>
              <w:rPr>
                <w:rFonts w:ascii="times" w:hAnsi="times"/>
                <w:sz w:val="14"/>
              </w:rPr>
            </w:pPr>
            <w:r>
              <w:rPr>
                <w:rFonts w:ascii="times" w:hAnsi="times"/>
                <w:sz w:val="14"/>
              </w:rPr>
              <w:t>)</w:t>
            </w:r>
          </w:p>
        </w:tc>
        <w:tc>
          <w:tcPr>
            <w:tcW w:w="95" w:type="dxa"/>
            <w:tcBorders/>
            <w:shd w:fill="auto" w:val="clear"/>
            <w:vAlign w:val="bottom"/>
          </w:tcPr>
          <w:p>
            <w:pPr>
              <w:pStyle w:val="TableContents"/>
              <w:spacing w:before="0" w:after="283"/>
              <w:rPr/>
            </w:pPr>
            <w:r>
              <w:rPr/>
              <w:t> </w:t>
            </w:r>
          </w:p>
        </w:tc>
        <w:tc>
          <w:tcPr>
            <w:tcW w:w="936" w:type="dxa"/>
            <w:tcBorders/>
            <w:shd w:fill="auto" w:val="clear"/>
            <w:vAlign w:val="bottom"/>
          </w:tcPr>
          <w:p>
            <w:pPr>
              <w:pStyle w:val="TableContents"/>
              <w:spacing w:before="0" w:after="283"/>
              <w:jc w:val="right"/>
              <w:rPr>
                <w:rFonts w:ascii="times" w:hAnsi="times"/>
                <w:sz w:val="14"/>
              </w:rPr>
            </w:pPr>
            <w:r>
              <w:rPr>
                <w:rFonts w:ascii="times" w:hAnsi="times"/>
                <w:sz w:val="14"/>
              </w:rPr>
              <w:t>25,970</w:t>
            </w:r>
          </w:p>
        </w:tc>
        <w:tc>
          <w:tcPr>
            <w:tcW w:w="171" w:type="dxa"/>
            <w:tcBorders/>
            <w:shd w:fill="auto" w:val="clear"/>
            <w:vAlign w:val="bottom"/>
          </w:tcPr>
          <w:p>
            <w:pPr>
              <w:pStyle w:val="TableContents"/>
              <w:spacing w:before="0" w:after="283"/>
              <w:rPr/>
            </w:pPr>
            <w:r>
              <w:rPr/>
              <w:t> </w:t>
            </w:r>
          </w:p>
        </w:tc>
      </w:tr>
      <w:tr>
        <w:trPr/>
        <w:tc>
          <w:tcPr>
            <w:tcW w:w="4059" w:type="dxa"/>
            <w:tcBorders/>
            <w:shd w:fill="auto" w:val="clear"/>
            <w:vAlign w:val="bottom"/>
          </w:tcPr>
          <w:p>
            <w:pPr>
              <w:pStyle w:val="TableContents"/>
              <w:spacing w:before="0" w:after="283"/>
              <w:ind w:left="140" w:right="0" w:hanging="140"/>
              <w:rPr>
                <w:rFonts w:ascii="times" w:hAnsi="times"/>
                <w:sz w:val="14"/>
              </w:rPr>
            </w:pPr>
            <w:r>
              <w:rPr>
                <w:rFonts w:ascii="times" w:hAnsi="times"/>
                <w:sz w:val="14"/>
              </w:rPr>
              <w:t>Subordinated units</w:t>
            </w:r>
          </w:p>
        </w:tc>
        <w:tc>
          <w:tcPr>
            <w:tcW w:w="164"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936" w:type="dxa"/>
            <w:tcBorders/>
            <w:shd w:fill="auto" w:val="clear"/>
            <w:vAlign w:val="bottom"/>
          </w:tcPr>
          <w:p>
            <w:pPr>
              <w:pStyle w:val="TableContents"/>
              <w:spacing w:before="0" w:after="283"/>
              <w:jc w:val="right"/>
              <w:rPr>
                <w:rFonts w:ascii="times" w:hAnsi="times"/>
                <w:sz w:val="14"/>
              </w:rPr>
            </w:pPr>
            <w:r>
              <w:rPr>
                <w:rFonts w:ascii="times" w:hAnsi="times"/>
                <w:sz w:val="14"/>
              </w:rPr>
              <w:t>21,049</w:t>
            </w:r>
          </w:p>
        </w:tc>
        <w:tc>
          <w:tcPr>
            <w:tcW w:w="164"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936" w:type="dxa"/>
            <w:tcBorders/>
            <w:shd w:fill="auto" w:val="clear"/>
            <w:vAlign w:val="bottom"/>
          </w:tcPr>
          <w:p>
            <w:pPr>
              <w:pStyle w:val="TableContents"/>
              <w:spacing w:before="0" w:after="283"/>
              <w:jc w:val="right"/>
              <w:rPr>
                <w:rFonts w:ascii="times" w:hAnsi="times"/>
                <w:sz w:val="14"/>
              </w:rPr>
            </w:pPr>
            <w:r>
              <w:rPr>
                <w:rFonts w:ascii="times" w:hAnsi="times"/>
                <w:sz w:val="14"/>
              </w:rPr>
              <w:t>5,085</w:t>
            </w:r>
          </w:p>
        </w:tc>
        <w:tc>
          <w:tcPr>
            <w:tcW w:w="164"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936" w:type="dxa"/>
            <w:tcBorders/>
            <w:shd w:fill="auto" w:val="clear"/>
            <w:vAlign w:val="bottom"/>
          </w:tcPr>
          <w:p>
            <w:pPr>
              <w:pStyle w:val="TableContents"/>
              <w:spacing w:before="0" w:after="283"/>
              <w:jc w:val="right"/>
              <w:rPr>
                <w:rFonts w:ascii="times" w:hAnsi="times"/>
                <w:sz w:val="14"/>
              </w:rPr>
            </w:pPr>
            <w:r>
              <w:rPr>
                <w:rFonts w:ascii="times" w:hAnsi="times"/>
                <w:sz w:val="14"/>
              </w:rPr>
              <w:t>N/A</w:t>
            </w:r>
          </w:p>
        </w:tc>
        <w:tc>
          <w:tcPr>
            <w:tcW w:w="164"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936" w:type="dxa"/>
            <w:tcBorders/>
            <w:shd w:fill="auto" w:val="clear"/>
            <w:vAlign w:val="bottom"/>
          </w:tcPr>
          <w:p>
            <w:pPr>
              <w:pStyle w:val="TableContents"/>
              <w:spacing w:before="0" w:after="283"/>
              <w:jc w:val="right"/>
              <w:rPr>
                <w:rFonts w:ascii="times" w:hAnsi="times"/>
                <w:sz w:val="14"/>
              </w:rPr>
            </w:pPr>
            <w:r>
              <w:rPr>
                <w:rFonts w:ascii="times" w:hAnsi="times"/>
                <w:sz w:val="14"/>
              </w:rPr>
              <w:t>N/A</w:t>
            </w:r>
          </w:p>
        </w:tc>
        <w:tc>
          <w:tcPr>
            <w:tcW w:w="164"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936" w:type="dxa"/>
            <w:tcBorders/>
            <w:shd w:fill="auto" w:val="clear"/>
            <w:vAlign w:val="bottom"/>
          </w:tcPr>
          <w:p>
            <w:pPr>
              <w:pStyle w:val="TableContents"/>
              <w:spacing w:before="0" w:after="283"/>
              <w:jc w:val="right"/>
              <w:rPr>
                <w:rFonts w:ascii="times" w:hAnsi="times"/>
                <w:sz w:val="14"/>
              </w:rPr>
            </w:pPr>
            <w:r>
              <w:rPr>
                <w:rFonts w:ascii="times" w:hAnsi="times"/>
                <w:sz w:val="14"/>
              </w:rPr>
              <w:t>N/A</w:t>
            </w:r>
          </w:p>
        </w:tc>
        <w:tc>
          <w:tcPr>
            <w:tcW w:w="171" w:type="dxa"/>
            <w:tcBorders/>
            <w:shd w:fill="auto" w:val="clear"/>
            <w:vAlign w:val="bottom"/>
          </w:tcPr>
          <w:p>
            <w:pPr>
              <w:pStyle w:val="TableContents"/>
              <w:spacing w:before="0" w:after="283"/>
              <w:rPr/>
            </w:pPr>
            <w:r>
              <w:rPr/>
              <w:t> </w:t>
            </w:r>
          </w:p>
        </w:tc>
      </w:tr>
      <w:tr>
        <w:trPr/>
        <w:tc>
          <w:tcPr>
            <w:tcW w:w="4059" w:type="dxa"/>
            <w:tcBorders/>
            <w:shd w:fill="auto" w:val="clear"/>
            <w:vAlign w:val="bottom"/>
          </w:tcPr>
          <w:p>
            <w:pPr>
              <w:pStyle w:val="TableContents"/>
              <w:spacing w:before="0" w:after="283"/>
              <w:ind w:left="140" w:right="0" w:hanging="140"/>
              <w:rPr>
                <w:rFonts w:ascii="times" w:hAnsi="times"/>
                <w:sz w:val="14"/>
              </w:rPr>
            </w:pPr>
            <w:r>
              <w:rPr>
                <w:rFonts w:ascii="times" w:hAnsi="times"/>
                <w:sz w:val="14"/>
              </w:rPr>
              <w:t>General partner units</w:t>
            </w:r>
          </w:p>
        </w:tc>
        <w:tc>
          <w:tcPr>
            <w:tcW w:w="164"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936" w:type="dxa"/>
            <w:tcBorders/>
            <w:shd w:fill="auto" w:val="clear"/>
            <w:vAlign w:val="bottom"/>
          </w:tcPr>
          <w:p>
            <w:pPr>
              <w:pStyle w:val="TableContents"/>
              <w:spacing w:before="0" w:after="283"/>
              <w:jc w:val="right"/>
              <w:rPr>
                <w:rFonts w:ascii="times" w:hAnsi="times"/>
                <w:sz w:val="14"/>
              </w:rPr>
            </w:pPr>
            <w:r>
              <w:rPr>
                <w:rFonts w:ascii="times" w:hAnsi="times"/>
                <w:sz w:val="14"/>
              </w:rPr>
              <w:t>1,545</w:t>
            </w:r>
          </w:p>
        </w:tc>
        <w:tc>
          <w:tcPr>
            <w:tcW w:w="164"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936" w:type="dxa"/>
            <w:tcBorders/>
            <w:shd w:fill="auto" w:val="clear"/>
            <w:vAlign w:val="bottom"/>
          </w:tcPr>
          <w:p>
            <w:pPr>
              <w:pStyle w:val="TableContents"/>
              <w:spacing w:before="0" w:after="283"/>
              <w:jc w:val="right"/>
              <w:rPr>
                <w:rFonts w:ascii="times" w:hAnsi="times"/>
                <w:sz w:val="14"/>
              </w:rPr>
            </w:pPr>
            <w:r>
              <w:rPr>
                <w:rFonts w:ascii="times" w:hAnsi="times"/>
                <w:sz w:val="14"/>
              </w:rPr>
              <w:t>1,728</w:t>
            </w:r>
          </w:p>
        </w:tc>
        <w:tc>
          <w:tcPr>
            <w:tcW w:w="164"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936" w:type="dxa"/>
            <w:tcBorders/>
            <w:shd w:fill="auto" w:val="clear"/>
            <w:vAlign w:val="bottom"/>
          </w:tcPr>
          <w:p>
            <w:pPr>
              <w:pStyle w:val="TableContents"/>
              <w:spacing w:before="0" w:after="283"/>
              <w:jc w:val="right"/>
              <w:rPr>
                <w:rFonts w:ascii="times" w:hAnsi="times"/>
                <w:sz w:val="14"/>
              </w:rPr>
            </w:pPr>
            <w:r>
              <w:rPr>
                <w:rFonts w:ascii="times" w:hAnsi="times"/>
                <w:sz w:val="14"/>
              </w:rPr>
              <w:t>1,602</w:t>
            </w:r>
          </w:p>
        </w:tc>
        <w:tc>
          <w:tcPr>
            <w:tcW w:w="164"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936" w:type="dxa"/>
            <w:tcBorders/>
            <w:shd w:fill="auto" w:val="clear"/>
            <w:vAlign w:val="bottom"/>
          </w:tcPr>
          <w:p>
            <w:pPr>
              <w:pStyle w:val="TableContents"/>
              <w:spacing w:before="0" w:after="283"/>
              <w:jc w:val="right"/>
              <w:rPr>
                <w:rFonts w:ascii="times" w:hAnsi="times"/>
                <w:sz w:val="14"/>
              </w:rPr>
            </w:pPr>
            <w:r>
              <w:rPr>
                <w:rFonts w:ascii="times" w:hAnsi="times"/>
                <w:sz w:val="14"/>
              </w:rPr>
              <w:t>(1,479</w:t>
            </w:r>
          </w:p>
        </w:tc>
        <w:tc>
          <w:tcPr>
            <w:tcW w:w="164" w:type="dxa"/>
            <w:tcBorders/>
            <w:shd w:fill="auto" w:val="clear"/>
            <w:vAlign w:val="bottom"/>
          </w:tcPr>
          <w:p>
            <w:pPr>
              <w:pStyle w:val="TableContents"/>
              <w:spacing w:before="0" w:after="283"/>
              <w:rPr>
                <w:rFonts w:ascii="times" w:hAnsi="times"/>
                <w:sz w:val="14"/>
              </w:rPr>
            </w:pPr>
            <w:r>
              <w:rPr>
                <w:rFonts w:ascii="times" w:hAnsi="times"/>
                <w:sz w:val="14"/>
              </w:rPr>
              <w:t>)</w:t>
            </w:r>
          </w:p>
        </w:tc>
        <w:tc>
          <w:tcPr>
            <w:tcW w:w="95" w:type="dxa"/>
            <w:tcBorders/>
            <w:shd w:fill="auto" w:val="clear"/>
            <w:vAlign w:val="bottom"/>
          </w:tcPr>
          <w:p>
            <w:pPr>
              <w:pStyle w:val="TableContents"/>
              <w:spacing w:before="0" w:after="283"/>
              <w:rPr/>
            </w:pPr>
            <w:r>
              <w:rPr/>
              <w:t> </w:t>
            </w:r>
          </w:p>
        </w:tc>
        <w:tc>
          <w:tcPr>
            <w:tcW w:w="936" w:type="dxa"/>
            <w:tcBorders/>
            <w:shd w:fill="auto" w:val="clear"/>
            <w:vAlign w:val="bottom"/>
          </w:tcPr>
          <w:p>
            <w:pPr>
              <w:pStyle w:val="TableContents"/>
              <w:spacing w:before="0" w:after="283"/>
              <w:jc w:val="right"/>
              <w:rPr>
                <w:rFonts w:ascii="times" w:hAnsi="times"/>
                <w:sz w:val="14"/>
              </w:rPr>
            </w:pPr>
            <w:r>
              <w:rPr>
                <w:rFonts w:ascii="times" w:hAnsi="times"/>
                <w:sz w:val="14"/>
              </w:rPr>
              <w:t>561</w:t>
            </w:r>
          </w:p>
        </w:tc>
        <w:tc>
          <w:tcPr>
            <w:tcW w:w="171" w:type="dxa"/>
            <w:tcBorders/>
            <w:shd w:fill="auto" w:val="clear"/>
            <w:vAlign w:val="bottom"/>
          </w:tcPr>
          <w:p>
            <w:pPr>
              <w:pStyle w:val="TableContents"/>
              <w:spacing w:before="0" w:after="283"/>
              <w:rPr/>
            </w:pPr>
            <w:r>
              <w:rPr/>
              <w:t> </w:t>
            </w:r>
          </w:p>
        </w:tc>
      </w:tr>
      <w:tr>
        <w:trPr/>
        <w:tc>
          <w:tcPr>
            <w:tcW w:w="4059" w:type="dxa"/>
            <w:tcBorders/>
            <w:shd w:fill="auto" w:val="clear"/>
            <w:vAlign w:val="bottom"/>
          </w:tcPr>
          <w:p>
            <w:pPr>
              <w:pStyle w:val="TableContents"/>
              <w:spacing w:before="0" w:after="283"/>
              <w:ind w:left="140" w:right="0" w:hanging="140"/>
              <w:rPr>
                <w:rFonts w:ascii="times" w:hAnsi="times"/>
                <w:sz w:val="14"/>
              </w:rPr>
            </w:pPr>
            <w:r>
              <w:rPr>
                <w:rFonts w:ascii="times" w:hAnsi="times"/>
                <w:sz w:val="14"/>
              </w:rPr>
              <w:t>Incentive distribution rights</w:t>
            </w:r>
          </w:p>
        </w:tc>
        <w:tc>
          <w:tcPr>
            <w:tcW w:w="164"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936" w:type="dxa"/>
            <w:tcBorders/>
            <w:shd w:fill="auto" w:val="clear"/>
            <w:vAlign w:val="bottom"/>
          </w:tcPr>
          <w:p>
            <w:pPr>
              <w:pStyle w:val="TableContents"/>
              <w:spacing w:before="0" w:after="283"/>
              <w:jc w:val="right"/>
              <w:rPr>
                <w:rFonts w:ascii="times" w:hAnsi="times"/>
                <w:sz w:val="14"/>
              </w:rPr>
            </w:pPr>
            <w:r>
              <w:rPr>
                <w:rFonts w:ascii="times" w:hAnsi="times"/>
                <w:sz w:val="14"/>
              </w:rPr>
              <w:t>4,790</w:t>
            </w:r>
          </w:p>
        </w:tc>
        <w:tc>
          <w:tcPr>
            <w:tcW w:w="164"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936" w:type="dxa"/>
            <w:tcBorders/>
            <w:shd w:fill="auto" w:val="clear"/>
            <w:vAlign w:val="bottom"/>
          </w:tcPr>
          <w:p>
            <w:pPr>
              <w:pStyle w:val="TableContents"/>
              <w:spacing w:before="0" w:after="283"/>
              <w:jc w:val="right"/>
              <w:rPr>
                <w:rFonts w:ascii="times" w:hAnsi="times"/>
                <w:sz w:val="14"/>
              </w:rPr>
            </w:pPr>
            <w:r>
              <w:rPr>
                <w:rFonts w:ascii="times" w:hAnsi="times"/>
                <w:sz w:val="14"/>
              </w:rPr>
              <w:t>3,208</w:t>
            </w:r>
          </w:p>
        </w:tc>
        <w:tc>
          <w:tcPr>
            <w:tcW w:w="164"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936" w:type="dxa"/>
            <w:tcBorders/>
            <w:shd w:fill="auto" w:val="clear"/>
            <w:vAlign w:val="bottom"/>
          </w:tcPr>
          <w:p>
            <w:pPr>
              <w:pStyle w:val="TableContents"/>
              <w:spacing w:before="0" w:after="283"/>
              <w:jc w:val="right"/>
              <w:rPr>
                <w:rFonts w:ascii="times" w:hAnsi="times"/>
                <w:sz w:val="14"/>
              </w:rPr>
            </w:pPr>
            <w:r>
              <w:rPr>
                <w:rFonts w:ascii="times" w:hAnsi="times"/>
                <w:sz w:val="14"/>
              </w:rPr>
              <w:t>2,618</w:t>
            </w:r>
          </w:p>
        </w:tc>
        <w:tc>
          <w:tcPr>
            <w:tcW w:w="164"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936" w:type="dxa"/>
            <w:tcBorders/>
            <w:shd w:fill="auto" w:val="clear"/>
            <w:vAlign w:val="bottom"/>
          </w:tcPr>
          <w:p>
            <w:pPr>
              <w:pStyle w:val="TableContents"/>
              <w:spacing w:before="0" w:after="283"/>
              <w:jc w:val="right"/>
              <w:rPr>
                <w:rFonts w:ascii="times" w:hAnsi="times"/>
                <w:sz w:val="14"/>
              </w:rPr>
            </w:pPr>
            <w:r>
              <w:rPr>
                <w:rFonts w:ascii="times" w:hAnsi="times"/>
                <w:sz w:val="14"/>
              </w:rPr>
              <w:t></w:t>
            </w:r>
          </w:p>
        </w:tc>
        <w:tc>
          <w:tcPr>
            <w:tcW w:w="164"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936" w:type="dxa"/>
            <w:tcBorders/>
            <w:shd w:fill="auto" w:val="clear"/>
            <w:vAlign w:val="bottom"/>
          </w:tcPr>
          <w:p>
            <w:pPr>
              <w:pStyle w:val="TableContents"/>
              <w:spacing w:before="0" w:after="283"/>
              <w:jc w:val="right"/>
              <w:rPr>
                <w:rFonts w:ascii="times" w:hAnsi="times"/>
                <w:sz w:val="14"/>
              </w:rPr>
            </w:pPr>
            <w:r>
              <w:rPr>
                <w:rFonts w:ascii="times" w:hAnsi="times"/>
                <w:sz w:val="14"/>
              </w:rPr>
              <w:t>N/A</w:t>
            </w:r>
          </w:p>
        </w:tc>
        <w:tc>
          <w:tcPr>
            <w:tcW w:w="171" w:type="dxa"/>
            <w:tcBorders/>
            <w:shd w:fill="auto" w:val="clear"/>
            <w:vAlign w:val="bottom"/>
          </w:tcPr>
          <w:p>
            <w:pPr>
              <w:pStyle w:val="TableContents"/>
              <w:spacing w:before="0" w:after="283"/>
              <w:rPr/>
            </w:pPr>
            <w:r>
              <w:rPr/>
              <w:t> </w:t>
            </w:r>
          </w:p>
        </w:tc>
      </w:tr>
      <w:tr>
        <w:trPr/>
        <w:tc>
          <w:tcPr>
            <w:tcW w:w="4059" w:type="dxa"/>
            <w:tcBorders/>
            <w:shd w:fill="auto" w:val="clear"/>
            <w:vAlign w:val="bottom"/>
          </w:tcPr>
          <w:p>
            <w:pPr>
              <w:pStyle w:val="TableContents"/>
              <w:spacing w:before="0" w:after="283"/>
              <w:ind w:left="140" w:right="0" w:hanging="140"/>
              <w:rPr>
                <w:rFonts w:ascii="times" w:hAnsi="times"/>
                <w:b/>
                <w:sz w:val="14"/>
              </w:rPr>
            </w:pPr>
            <w:r>
              <w:rPr>
                <w:rFonts w:ascii="times" w:hAnsi="times"/>
                <w:b/>
                <w:sz w:val="14"/>
              </w:rPr>
              <w:t>Weighted average units outstanding (basic)</w:t>
            </w:r>
          </w:p>
        </w:tc>
        <w:tc>
          <w:tcPr>
            <w:tcW w:w="164"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936" w:type="dxa"/>
            <w:tcBorders/>
            <w:shd w:fill="auto" w:val="clear"/>
            <w:vAlign w:val="bottom"/>
          </w:tcPr>
          <w:p>
            <w:pPr>
              <w:pStyle w:val="TableContents"/>
              <w:spacing w:before="0" w:after="283"/>
              <w:jc w:val="right"/>
              <w:rPr/>
            </w:pPr>
            <w:r>
              <w:rPr/>
              <w:t> </w:t>
            </w:r>
          </w:p>
        </w:tc>
        <w:tc>
          <w:tcPr>
            <w:tcW w:w="164"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936" w:type="dxa"/>
            <w:tcBorders/>
            <w:shd w:fill="auto" w:val="clear"/>
            <w:vAlign w:val="bottom"/>
          </w:tcPr>
          <w:p>
            <w:pPr>
              <w:pStyle w:val="TableContents"/>
              <w:spacing w:before="0" w:after="283"/>
              <w:jc w:val="right"/>
              <w:rPr/>
            </w:pPr>
            <w:r>
              <w:rPr/>
              <w:t> </w:t>
            </w:r>
          </w:p>
        </w:tc>
        <w:tc>
          <w:tcPr>
            <w:tcW w:w="164"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936" w:type="dxa"/>
            <w:tcBorders/>
            <w:shd w:fill="auto" w:val="clear"/>
            <w:vAlign w:val="bottom"/>
          </w:tcPr>
          <w:p>
            <w:pPr>
              <w:pStyle w:val="TableContents"/>
              <w:spacing w:before="0" w:after="283"/>
              <w:jc w:val="right"/>
              <w:rPr/>
            </w:pPr>
            <w:r>
              <w:rPr/>
              <w:t> </w:t>
            </w:r>
          </w:p>
        </w:tc>
        <w:tc>
          <w:tcPr>
            <w:tcW w:w="164"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936" w:type="dxa"/>
            <w:tcBorders/>
            <w:shd w:fill="auto" w:val="clear"/>
            <w:vAlign w:val="bottom"/>
          </w:tcPr>
          <w:p>
            <w:pPr>
              <w:pStyle w:val="TableContents"/>
              <w:spacing w:before="0" w:after="283"/>
              <w:jc w:val="right"/>
              <w:rPr/>
            </w:pPr>
            <w:r>
              <w:rPr/>
              <w:t> </w:t>
            </w:r>
          </w:p>
        </w:tc>
        <w:tc>
          <w:tcPr>
            <w:tcW w:w="164"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936" w:type="dxa"/>
            <w:tcBorders/>
            <w:shd w:fill="auto" w:val="clear"/>
            <w:vAlign w:val="bottom"/>
          </w:tcPr>
          <w:p>
            <w:pPr>
              <w:pStyle w:val="TableContents"/>
              <w:spacing w:before="0" w:after="283"/>
              <w:jc w:val="right"/>
              <w:rPr/>
            </w:pPr>
            <w:r>
              <w:rPr/>
              <w:t> </w:t>
            </w:r>
          </w:p>
        </w:tc>
        <w:tc>
          <w:tcPr>
            <w:tcW w:w="171" w:type="dxa"/>
            <w:tcBorders/>
            <w:shd w:fill="auto" w:val="clear"/>
            <w:vAlign w:val="bottom"/>
          </w:tcPr>
          <w:p>
            <w:pPr>
              <w:pStyle w:val="TableContents"/>
              <w:spacing w:before="0" w:after="283"/>
              <w:rPr/>
            </w:pPr>
            <w:r>
              <w:rPr/>
              <w:t> </w:t>
            </w:r>
          </w:p>
        </w:tc>
      </w:tr>
      <w:tr>
        <w:trPr/>
        <w:tc>
          <w:tcPr>
            <w:tcW w:w="4059" w:type="dxa"/>
            <w:tcBorders/>
            <w:shd w:fill="auto" w:val="clear"/>
            <w:vAlign w:val="bottom"/>
          </w:tcPr>
          <w:p>
            <w:pPr>
              <w:pStyle w:val="TableContents"/>
              <w:spacing w:before="0" w:after="283"/>
              <w:ind w:left="140" w:right="0" w:hanging="140"/>
              <w:rPr>
                <w:rFonts w:ascii="times" w:hAnsi="times"/>
                <w:sz w:val="14"/>
              </w:rPr>
            </w:pPr>
            <w:r>
              <w:rPr>
                <w:rFonts w:ascii="times" w:hAnsi="times"/>
                <w:sz w:val="14"/>
              </w:rPr>
              <w:t>Common units</w:t>
            </w:r>
          </w:p>
        </w:tc>
        <w:tc>
          <w:tcPr>
            <w:tcW w:w="164"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936" w:type="dxa"/>
            <w:tcBorders/>
            <w:shd w:fill="auto" w:val="clear"/>
            <w:vAlign w:val="bottom"/>
          </w:tcPr>
          <w:p>
            <w:pPr>
              <w:pStyle w:val="TableContents"/>
              <w:spacing w:before="0" w:after="283"/>
              <w:jc w:val="right"/>
              <w:rPr>
                <w:rFonts w:ascii="times" w:hAnsi="times"/>
                <w:sz w:val="14"/>
              </w:rPr>
            </w:pPr>
            <w:r>
              <w:rPr>
                <w:rFonts w:ascii="times" w:hAnsi="times"/>
                <w:sz w:val="14"/>
              </w:rPr>
              <w:t>22,934,380</w:t>
            </w:r>
          </w:p>
        </w:tc>
        <w:tc>
          <w:tcPr>
            <w:tcW w:w="164"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936" w:type="dxa"/>
            <w:tcBorders/>
            <w:shd w:fill="auto" w:val="clear"/>
            <w:vAlign w:val="bottom"/>
          </w:tcPr>
          <w:p>
            <w:pPr>
              <w:pStyle w:val="TableContents"/>
              <w:spacing w:before="0" w:after="283"/>
              <w:jc w:val="right"/>
              <w:rPr>
                <w:rFonts w:ascii="times" w:hAnsi="times"/>
                <w:sz w:val="14"/>
              </w:rPr>
            </w:pPr>
            <w:r>
              <w:rPr>
                <w:rFonts w:ascii="times" w:hAnsi="times"/>
                <w:sz w:val="14"/>
              </w:rPr>
              <w:t>36,493,143</w:t>
            </w:r>
          </w:p>
        </w:tc>
        <w:tc>
          <w:tcPr>
            <w:tcW w:w="164"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936" w:type="dxa"/>
            <w:tcBorders/>
            <w:shd w:fill="auto" w:val="clear"/>
            <w:vAlign w:val="bottom"/>
          </w:tcPr>
          <w:p>
            <w:pPr>
              <w:pStyle w:val="TableContents"/>
              <w:spacing w:before="0" w:after="283"/>
              <w:jc w:val="right"/>
              <w:rPr>
                <w:rFonts w:ascii="times" w:hAnsi="times"/>
                <w:sz w:val="14"/>
              </w:rPr>
            </w:pPr>
            <w:r>
              <w:rPr>
                <w:rFonts w:ascii="times" w:hAnsi="times"/>
                <w:sz w:val="14"/>
              </w:rPr>
              <w:t>42,945,432</w:t>
            </w:r>
          </w:p>
        </w:tc>
        <w:tc>
          <w:tcPr>
            <w:tcW w:w="164"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936" w:type="dxa"/>
            <w:tcBorders/>
            <w:shd w:fill="auto" w:val="clear"/>
            <w:vAlign w:val="bottom"/>
          </w:tcPr>
          <w:p>
            <w:pPr>
              <w:pStyle w:val="TableContents"/>
              <w:spacing w:before="0" w:after="283"/>
              <w:jc w:val="right"/>
              <w:rPr>
                <w:rFonts w:ascii="times" w:hAnsi="times"/>
                <w:sz w:val="14"/>
              </w:rPr>
            </w:pPr>
            <w:r>
              <w:rPr>
                <w:rFonts w:ascii="times" w:hAnsi="times"/>
                <w:sz w:val="14"/>
              </w:rPr>
              <w:t>46,272,598</w:t>
            </w:r>
          </w:p>
        </w:tc>
        <w:tc>
          <w:tcPr>
            <w:tcW w:w="164"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936" w:type="dxa"/>
            <w:tcBorders/>
            <w:shd w:fill="auto" w:val="clear"/>
            <w:vAlign w:val="bottom"/>
          </w:tcPr>
          <w:p>
            <w:pPr>
              <w:pStyle w:val="TableContents"/>
              <w:spacing w:before="0" w:after="283"/>
              <w:jc w:val="right"/>
              <w:rPr>
                <w:rFonts w:ascii="times" w:hAnsi="times"/>
                <w:sz w:val="14"/>
              </w:rPr>
            </w:pPr>
            <w:r>
              <w:rPr>
                <w:rFonts w:ascii="times" w:hAnsi="times"/>
                <w:sz w:val="14"/>
              </w:rPr>
              <w:t>47,042,494</w:t>
            </w:r>
          </w:p>
        </w:tc>
        <w:tc>
          <w:tcPr>
            <w:tcW w:w="171" w:type="dxa"/>
            <w:tcBorders/>
            <w:shd w:fill="auto" w:val="clear"/>
            <w:vAlign w:val="bottom"/>
          </w:tcPr>
          <w:p>
            <w:pPr>
              <w:pStyle w:val="TableContents"/>
              <w:spacing w:before="0" w:after="283"/>
              <w:rPr/>
            </w:pPr>
            <w:r>
              <w:rPr/>
              <w:t> </w:t>
            </w:r>
          </w:p>
        </w:tc>
      </w:tr>
      <w:tr>
        <w:trPr/>
        <w:tc>
          <w:tcPr>
            <w:tcW w:w="4059" w:type="dxa"/>
            <w:tcBorders/>
            <w:shd w:fill="auto" w:val="clear"/>
            <w:vAlign w:val="bottom"/>
          </w:tcPr>
          <w:p>
            <w:pPr>
              <w:pStyle w:val="TableContents"/>
              <w:spacing w:before="0" w:after="283"/>
              <w:ind w:left="140" w:right="0" w:hanging="140"/>
              <w:rPr>
                <w:rFonts w:ascii="times" w:hAnsi="times"/>
                <w:sz w:val="14"/>
              </w:rPr>
            </w:pPr>
            <w:r>
              <w:rPr>
                <w:rFonts w:ascii="times" w:hAnsi="times"/>
                <w:sz w:val="14"/>
              </w:rPr>
              <w:t>Subordinated units</w:t>
            </w:r>
            <w:r>
              <w:rPr>
                <w:rFonts w:ascii="times" w:hAnsi="times"/>
                <w:position w:val="5"/>
                <w:sz w:val="11"/>
                <w:sz w:val="14"/>
              </w:rPr>
              <w:t>(3)</w:t>
            </w:r>
          </w:p>
        </w:tc>
        <w:tc>
          <w:tcPr>
            <w:tcW w:w="164"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936" w:type="dxa"/>
            <w:tcBorders/>
            <w:shd w:fill="auto" w:val="clear"/>
            <w:vAlign w:val="bottom"/>
          </w:tcPr>
          <w:p>
            <w:pPr>
              <w:pStyle w:val="TableContents"/>
              <w:spacing w:before="0" w:after="283"/>
              <w:jc w:val="right"/>
              <w:rPr>
                <w:rFonts w:ascii="times" w:hAnsi="times"/>
                <w:sz w:val="14"/>
              </w:rPr>
            </w:pPr>
            <w:r>
              <w:rPr>
                <w:rFonts w:ascii="times" w:hAnsi="times"/>
                <w:sz w:val="14"/>
              </w:rPr>
              <w:t>9,822,358</w:t>
            </w:r>
          </w:p>
        </w:tc>
        <w:tc>
          <w:tcPr>
            <w:tcW w:w="164"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936" w:type="dxa"/>
            <w:tcBorders/>
            <w:shd w:fill="auto" w:val="clear"/>
            <w:vAlign w:val="bottom"/>
          </w:tcPr>
          <w:p>
            <w:pPr>
              <w:pStyle w:val="TableContents"/>
              <w:spacing w:before="0" w:after="283"/>
              <w:jc w:val="right"/>
              <w:rPr>
                <w:rFonts w:ascii="times" w:hAnsi="times"/>
                <w:sz w:val="14"/>
              </w:rPr>
            </w:pPr>
            <w:r>
              <w:rPr>
                <w:rFonts w:ascii="times" w:hAnsi="times"/>
                <w:sz w:val="14"/>
              </w:rPr>
              <w:t>9,822,358</w:t>
            </w:r>
          </w:p>
        </w:tc>
        <w:tc>
          <w:tcPr>
            <w:tcW w:w="164"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936" w:type="dxa"/>
            <w:tcBorders/>
            <w:shd w:fill="auto" w:val="clear"/>
            <w:vAlign w:val="bottom"/>
          </w:tcPr>
          <w:p>
            <w:pPr>
              <w:pStyle w:val="TableContents"/>
              <w:spacing w:before="0" w:after="283"/>
              <w:jc w:val="right"/>
              <w:rPr>
                <w:rFonts w:ascii="times" w:hAnsi="times"/>
                <w:sz w:val="14"/>
              </w:rPr>
            </w:pPr>
            <w:r>
              <w:rPr>
                <w:rFonts w:ascii="times" w:hAnsi="times"/>
                <w:sz w:val="14"/>
              </w:rPr>
              <w:t>N/A</w:t>
            </w:r>
          </w:p>
        </w:tc>
        <w:tc>
          <w:tcPr>
            <w:tcW w:w="164"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936" w:type="dxa"/>
            <w:tcBorders/>
            <w:shd w:fill="auto" w:val="clear"/>
            <w:vAlign w:val="bottom"/>
          </w:tcPr>
          <w:p>
            <w:pPr>
              <w:pStyle w:val="TableContents"/>
              <w:spacing w:before="0" w:after="283"/>
              <w:jc w:val="right"/>
              <w:rPr>
                <w:rFonts w:ascii="times" w:hAnsi="times"/>
                <w:sz w:val="14"/>
              </w:rPr>
            </w:pPr>
            <w:r>
              <w:rPr>
                <w:rFonts w:ascii="times" w:hAnsi="times"/>
                <w:sz w:val="14"/>
              </w:rPr>
              <w:t>N/A</w:t>
            </w:r>
          </w:p>
        </w:tc>
        <w:tc>
          <w:tcPr>
            <w:tcW w:w="164"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936" w:type="dxa"/>
            <w:tcBorders/>
            <w:shd w:fill="auto" w:val="clear"/>
            <w:vAlign w:val="bottom"/>
          </w:tcPr>
          <w:p>
            <w:pPr>
              <w:pStyle w:val="TableContents"/>
              <w:spacing w:before="0" w:after="283"/>
              <w:jc w:val="right"/>
              <w:rPr>
                <w:rFonts w:ascii="times" w:hAnsi="times"/>
                <w:sz w:val="14"/>
              </w:rPr>
            </w:pPr>
            <w:r>
              <w:rPr>
                <w:rFonts w:ascii="times" w:hAnsi="times"/>
                <w:sz w:val="14"/>
              </w:rPr>
              <w:t>N/A</w:t>
            </w:r>
          </w:p>
        </w:tc>
        <w:tc>
          <w:tcPr>
            <w:tcW w:w="171" w:type="dxa"/>
            <w:tcBorders/>
            <w:shd w:fill="auto" w:val="clear"/>
            <w:vAlign w:val="bottom"/>
          </w:tcPr>
          <w:p>
            <w:pPr>
              <w:pStyle w:val="TableContents"/>
              <w:spacing w:before="0" w:after="283"/>
              <w:rPr/>
            </w:pPr>
            <w:r>
              <w:rPr/>
              <w:t> </w:t>
            </w:r>
          </w:p>
        </w:tc>
      </w:tr>
      <w:tr>
        <w:trPr/>
        <w:tc>
          <w:tcPr>
            <w:tcW w:w="4059" w:type="dxa"/>
            <w:tcBorders/>
            <w:shd w:fill="auto" w:val="clear"/>
            <w:vAlign w:val="bottom"/>
          </w:tcPr>
          <w:p>
            <w:pPr>
              <w:pStyle w:val="TableContents"/>
              <w:spacing w:before="0" w:after="283"/>
              <w:ind w:left="140" w:right="0" w:hanging="140"/>
              <w:rPr>
                <w:rFonts w:ascii="times" w:hAnsi="times"/>
                <w:sz w:val="14"/>
              </w:rPr>
            </w:pPr>
            <w:r>
              <w:rPr>
                <w:rFonts w:ascii="times" w:hAnsi="times"/>
                <w:sz w:val="14"/>
              </w:rPr>
              <w:t>General partner units</w:t>
            </w:r>
          </w:p>
        </w:tc>
        <w:tc>
          <w:tcPr>
            <w:tcW w:w="164"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936" w:type="dxa"/>
            <w:tcBorders/>
            <w:shd w:fill="auto" w:val="clear"/>
            <w:vAlign w:val="bottom"/>
          </w:tcPr>
          <w:p>
            <w:pPr>
              <w:pStyle w:val="TableContents"/>
              <w:spacing w:before="0" w:after="283"/>
              <w:jc w:val="right"/>
              <w:rPr>
                <w:rFonts w:ascii="times" w:hAnsi="times"/>
                <w:sz w:val="14"/>
              </w:rPr>
            </w:pPr>
            <w:r>
              <w:rPr>
                <w:rFonts w:ascii="times" w:hAnsi="times"/>
                <w:sz w:val="14"/>
              </w:rPr>
              <w:t>668,505</w:t>
            </w:r>
          </w:p>
        </w:tc>
        <w:tc>
          <w:tcPr>
            <w:tcW w:w="164"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936" w:type="dxa"/>
            <w:tcBorders/>
            <w:shd w:fill="auto" w:val="clear"/>
            <w:vAlign w:val="bottom"/>
          </w:tcPr>
          <w:p>
            <w:pPr>
              <w:pStyle w:val="TableContents"/>
              <w:spacing w:before="0" w:after="283"/>
              <w:jc w:val="right"/>
              <w:rPr>
                <w:rFonts w:ascii="times" w:hAnsi="times"/>
                <w:sz w:val="14"/>
              </w:rPr>
            </w:pPr>
            <w:r>
              <w:rPr>
                <w:rFonts w:ascii="times" w:hAnsi="times"/>
                <w:sz w:val="14"/>
              </w:rPr>
              <w:t>790,819</w:t>
            </w:r>
          </w:p>
        </w:tc>
        <w:tc>
          <w:tcPr>
            <w:tcW w:w="164"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936" w:type="dxa"/>
            <w:tcBorders/>
            <w:shd w:fill="auto" w:val="clear"/>
            <w:vAlign w:val="bottom"/>
          </w:tcPr>
          <w:p>
            <w:pPr>
              <w:pStyle w:val="TableContents"/>
              <w:spacing w:before="0" w:after="283"/>
              <w:jc w:val="right"/>
              <w:rPr>
                <w:rFonts w:ascii="times" w:hAnsi="times"/>
                <w:sz w:val="14"/>
              </w:rPr>
            </w:pPr>
            <w:r>
              <w:rPr>
                <w:rFonts w:ascii="times" w:hAnsi="times"/>
                <w:sz w:val="14"/>
              </w:rPr>
              <w:t>876,255</w:t>
            </w:r>
          </w:p>
        </w:tc>
        <w:tc>
          <w:tcPr>
            <w:tcW w:w="164"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936" w:type="dxa"/>
            <w:tcBorders/>
            <w:shd w:fill="auto" w:val="clear"/>
            <w:vAlign w:val="bottom"/>
          </w:tcPr>
          <w:p>
            <w:pPr>
              <w:pStyle w:val="TableContents"/>
              <w:spacing w:before="0" w:after="283"/>
              <w:jc w:val="right"/>
              <w:rPr>
                <w:rFonts w:ascii="times" w:hAnsi="times"/>
                <w:sz w:val="14"/>
              </w:rPr>
            </w:pPr>
            <w:r>
              <w:rPr>
                <w:rFonts w:ascii="times" w:hAnsi="times"/>
                <w:sz w:val="14"/>
              </w:rPr>
              <w:t>975,531</w:t>
            </w:r>
          </w:p>
        </w:tc>
        <w:tc>
          <w:tcPr>
            <w:tcW w:w="164"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936" w:type="dxa"/>
            <w:tcBorders/>
            <w:shd w:fill="auto" w:val="clear"/>
            <w:vAlign w:val="bottom"/>
          </w:tcPr>
          <w:p>
            <w:pPr>
              <w:pStyle w:val="TableContents"/>
              <w:spacing w:before="0" w:after="283"/>
              <w:jc w:val="right"/>
              <w:rPr>
                <w:rFonts w:ascii="times" w:hAnsi="times"/>
                <w:sz w:val="14"/>
              </w:rPr>
            </w:pPr>
            <w:r>
              <w:rPr>
                <w:rFonts w:ascii="times" w:hAnsi="times"/>
                <w:sz w:val="14"/>
              </w:rPr>
              <w:t>1,021,336</w:t>
            </w:r>
          </w:p>
        </w:tc>
        <w:tc>
          <w:tcPr>
            <w:tcW w:w="171" w:type="dxa"/>
            <w:tcBorders/>
            <w:shd w:fill="auto" w:val="clear"/>
            <w:vAlign w:val="bottom"/>
          </w:tcPr>
          <w:p>
            <w:pPr>
              <w:pStyle w:val="TableContents"/>
              <w:spacing w:before="0" w:after="283"/>
              <w:rPr/>
            </w:pPr>
            <w:r>
              <w:rPr/>
              <w:t> </w:t>
            </w:r>
          </w:p>
        </w:tc>
      </w:tr>
      <w:tr>
        <w:trPr/>
        <w:tc>
          <w:tcPr>
            <w:tcW w:w="4059" w:type="dxa"/>
            <w:tcBorders/>
            <w:shd w:fill="auto" w:val="clear"/>
            <w:vAlign w:val="bottom"/>
          </w:tcPr>
          <w:p>
            <w:pPr>
              <w:pStyle w:val="TableContents"/>
              <w:spacing w:before="0" w:after="283"/>
              <w:ind w:left="140" w:right="0" w:hanging="140"/>
              <w:rPr>
                <w:rFonts w:ascii="times" w:hAnsi="times"/>
                <w:b/>
                <w:sz w:val="14"/>
              </w:rPr>
            </w:pPr>
            <w:r>
              <w:rPr>
                <w:rFonts w:ascii="times" w:hAnsi="times"/>
                <w:b/>
                <w:sz w:val="14"/>
              </w:rPr>
              <w:t>EARNINGS/(LOSS) PER UNIT ATTRIBUTABLE TO THE PARTNERSHIP</w:t>
            </w:r>
            <w:r>
              <w:rPr>
                <w:rFonts w:ascii="times" w:hAnsi="times"/>
                <w:b/>
                <w:position w:val="5"/>
                <w:sz w:val="11"/>
                <w:sz w:val="14"/>
              </w:rPr>
              <w:t>(2)</w:t>
            </w:r>
          </w:p>
        </w:tc>
        <w:tc>
          <w:tcPr>
            <w:tcW w:w="164"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936" w:type="dxa"/>
            <w:tcBorders/>
            <w:shd w:fill="auto" w:val="clear"/>
            <w:vAlign w:val="bottom"/>
          </w:tcPr>
          <w:p>
            <w:pPr>
              <w:pStyle w:val="TableContents"/>
              <w:spacing w:before="0" w:after="283"/>
              <w:jc w:val="right"/>
              <w:rPr/>
            </w:pPr>
            <w:r>
              <w:rPr/>
              <w:t> </w:t>
            </w:r>
          </w:p>
        </w:tc>
        <w:tc>
          <w:tcPr>
            <w:tcW w:w="164"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936" w:type="dxa"/>
            <w:tcBorders/>
            <w:shd w:fill="auto" w:val="clear"/>
            <w:vAlign w:val="bottom"/>
          </w:tcPr>
          <w:p>
            <w:pPr>
              <w:pStyle w:val="TableContents"/>
              <w:spacing w:before="0" w:after="283"/>
              <w:jc w:val="right"/>
              <w:rPr/>
            </w:pPr>
            <w:r>
              <w:rPr/>
              <w:t> </w:t>
            </w:r>
          </w:p>
        </w:tc>
        <w:tc>
          <w:tcPr>
            <w:tcW w:w="164"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936" w:type="dxa"/>
            <w:tcBorders/>
            <w:shd w:fill="auto" w:val="clear"/>
            <w:vAlign w:val="bottom"/>
          </w:tcPr>
          <w:p>
            <w:pPr>
              <w:pStyle w:val="TableContents"/>
              <w:spacing w:before="0" w:after="283"/>
              <w:jc w:val="right"/>
              <w:rPr/>
            </w:pPr>
            <w:r>
              <w:rPr/>
              <w:t> </w:t>
            </w:r>
          </w:p>
        </w:tc>
        <w:tc>
          <w:tcPr>
            <w:tcW w:w="164"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936" w:type="dxa"/>
            <w:tcBorders/>
            <w:shd w:fill="auto" w:val="clear"/>
            <w:vAlign w:val="bottom"/>
          </w:tcPr>
          <w:p>
            <w:pPr>
              <w:pStyle w:val="TableContents"/>
              <w:spacing w:before="0" w:after="283"/>
              <w:jc w:val="right"/>
              <w:rPr/>
            </w:pPr>
            <w:r>
              <w:rPr/>
              <w:t> </w:t>
            </w:r>
          </w:p>
        </w:tc>
        <w:tc>
          <w:tcPr>
            <w:tcW w:w="164"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936" w:type="dxa"/>
            <w:tcBorders/>
            <w:shd w:fill="auto" w:val="clear"/>
            <w:vAlign w:val="bottom"/>
          </w:tcPr>
          <w:p>
            <w:pPr>
              <w:pStyle w:val="TableContents"/>
              <w:spacing w:before="0" w:after="283"/>
              <w:jc w:val="right"/>
              <w:rPr/>
            </w:pPr>
            <w:r>
              <w:rPr/>
              <w:t> </w:t>
            </w:r>
          </w:p>
        </w:tc>
        <w:tc>
          <w:tcPr>
            <w:tcW w:w="171" w:type="dxa"/>
            <w:tcBorders/>
            <w:shd w:fill="auto" w:val="clear"/>
            <w:vAlign w:val="bottom"/>
          </w:tcPr>
          <w:p>
            <w:pPr>
              <w:pStyle w:val="TableContents"/>
              <w:spacing w:before="0" w:after="283"/>
              <w:rPr/>
            </w:pPr>
            <w:r>
              <w:rPr/>
              <w:t> </w:t>
            </w:r>
          </w:p>
        </w:tc>
      </w:tr>
      <w:tr>
        <w:trPr/>
        <w:tc>
          <w:tcPr>
            <w:tcW w:w="4059" w:type="dxa"/>
            <w:tcBorders/>
            <w:shd w:fill="auto" w:val="clear"/>
            <w:vAlign w:val="bottom"/>
          </w:tcPr>
          <w:p>
            <w:pPr>
              <w:pStyle w:val="TableContents"/>
              <w:spacing w:before="0" w:after="283"/>
              <w:ind w:left="140" w:right="0" w:hanging="140"/>
              <w:rPr>
                <w:rFonts w:ascii="times" w:hAnsi="times"/>
                <w:sz w:val="14"/>
              </w:rPr>
            </w:pPr>
            <w:r>
              <w:rPr>
                <w:rFonts w:ascii="times" w:hAnsi="times"/>
                <w:sz w:val="14"/>
              </w:rPr>
              <w:t>Common units (basic)</w:t>
            </w:r>
          </w:p>
        </w:tc>
        <w:tc>
          <w:tcPr>
            <w:tcW w:w="164"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rFonts w:ascii="times" w:hAnsi="times"/>
                <w:sz w:val="14"/>
              </w:rPr>
            </w:pPr>
            <w:r>
              <w:rPr>
                <w:rFonts w:ascii="times" w:hAnsi="times"/>
                <w:sz w:val="14"/>
              </w:rPr>
              <w:t>$</w:t>
            </w:r>
          </w:p>
        </w:tc>
        <w:tc>
          <w:tcPr>
            <w:tcW w:w="936" w:type="dxa"/>
            <w:tcBorders/>
            <w:shd w:fill="auto" w:val="clear"/>
            <w:vAlign w:val="bottom"/>
          </w:tcPr>
          <w:p>
            <w:pPr>
              <w:pStyle w:val="TableContents"/>
              <w:spacing w:before="0" w:after="283"/>
              <w:jc w:val="right"/>
              <w:rPr>
                <w:rFonts w:ascii="times" w:hAnsi="times"/>
                <w:sz w:val="14"/>
              </w:rPr>
            </w:pPr>
            <w:r>
              <w:rPr>
                <w:rFonts w:ascii="times" w:hAnsi="times"/>
                <w:sz w:val="14"/>
              </w:rPr>
              <w:t>2.18</w:t>
            </w:r>
          </w:p>
        </w:tc>
        <w:tc>
          <w:tcPr>
            <w:tcW w:w="164"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rFonts w:ascii="times" w:hAnsi="times"/>
                <w:sz w:val="14"/>
              </w:rPr>
            </w:pPr>
            <w:r>
              <w:rPr>
                <w:rFonts w:ascii="times" w:hAnsi="times"/>
                <w:sz w:val="14"/>
              </w:rPr>
              <w:t>$</w:t>
            </w:r>
          </w:p>
        </w:tc>
        <w:tc>
          <w:tcPr>
            <w:tcW w:w="936" w:type="dxa"/>
            <w:tcBorders/>
            <w:shd w:fill="auto" w:val="clear"/>
            <w:vAlign w:val="bottom"/>
          </w:tcPr>
          <w:p>
            <w:pPr>
              <w:pStyle w:val="TableContents"/>
              <w:spacing w:before="0" w:after="283"/>
              <w:jc w:val="right"/>
              <w:rPr>
                <w:rFonts w:ascii="times" w:hAnsi="times"/>
                <w:sz w:val="14"/>
              </w:rPr>
            </w:pPr>
            <w:r>
              <w:rPr>
                <w:rFonts w:ascii="times" w:hAnsi="times"/>
                <w:sz w:val="14"/>
              </w:rPr>
              <w:t>2.09</w:t>
            </w:r>
          </w:p>
        </w:tc>
        <w:tc>
          <w:tcPr>
            <w:tcW w:w="164"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rFonts w:ascii="times" w:hAnsi="times"/>
                <w:sz w:val="14"/>
              </w:rPr>
            </w:pPr>
            <w:r>
              <w:rPr>
                <w:rFonts w:ascii="times" w:hAnsi="times"/>
                <w:sz w:val="14"/>
              </w:rPr>
              <w:t>$</w:t>
            </w:r>
          </w:p>
        </w:tc>
        <w:tc>
          <w:tcPr>
            <w:tcW w:w="936" w:type="dxa"/>
            <w:tcBorders/>
            <w:shd w:fill="auto" w:val="clear"/>
            <w:vAlign w:val="bottom"/>
          </w:tcPr>
          <w:p>
            <w:pPr>
              <w:pStyle w:val="TableContents"/>
              <w:spacing w:before="0" w:after="283"/>
              <w:jc w:val="right"/>
              <w:rPr>
                <w:rFonts w:ascii="times" w:hAnsi="times"/>
                <w:sz w:val="14"/>
              </w:rPr>
            </w:pPr>
            <w:r>
              <w:rPr>
                <w:rFonts w:ascii="times" w:hAnsi="times"/>
                <w:sz w:val="14"/>
              </w:rPr>
              <w:t>1.77</w:t>
            </w:r>
          </w:p>
        </w:tc>
        <w:tc>
          <w:tcPr>
            <w:tcW w:w="164"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rFonts w:ascii="times" w:hAnsi="times"/>
                <w:sz w:val="14"/>
              </w:rPr>
            </w:pPr>
            <w:r>
              <w:rPr>
                <w:rFonts w:ascii="times" w:hAnsi="times"/>
                <w:sz w:val="14"/>
              </w:rPr>
              <w:t>$</w:t>
            </w:r>
          </w:p>
        </w:tc>
        <w:tc>
          <w:tcPr>
            <w:tcW w:w="936" w:type="dxa"/>
            <w:tcBorders/>
            <w:shd w:fill="auto" w:val="clear"/>
            <w:vAlign w:val="bottom"/>
          </w:tcPr>
          <w:p>
            <w:pPr>
              <w:pStyle w:val="TableContents"/>
              <w:spacing w:before="0" w:after="283"/>
              <w:jc w:val="right"/>
              <w:rPr>
                <w:rFonts w:ascii="times" w:hAnsi="times"/>
                <w:sz w:val="14"/>
              </w:rPr>
            </w:pPr>
            <w:r>
              <w:rPr>
                <w:rFonts w:ascii="times" w:hAnsi="times"/>
                <w:sz w:val="14"/>
              </w:rPr>
              <w:t>(1.43</w:t>
            </w:r>
          </w:p>
        </w:tc>
        <w:tc>
          <w:tcPr>
            <w:tcW w:w="164" w:type="dxa"/>
            <w:tcBorders/>
            <w:shd w:fill="auto" w:val="clear"/>
            <w:vAlign w:val="bottom"/>
          </w:tcPr>
          <w:p>
            <w:pPr>
              <w:pStyle w:val="TableContents"/>
              <w:spacing w:before="0" w:after="283"/>
              <w:rPr>
                <w:rFonts w:ascii="times" w:hAnsi="times"/>
                <w:sz w:val="14"/>
              </w:rPr>
            </w:pPr>
            <w:r>
              <w:rPr>
                <w:rFonts w:ascii="times" w:hAnsi="times"/>
                <w:sz w:val="14"/>
              </w:rPr>
              <w:t>)</w:t>
            </w:r>
          </w:p>
        </w:tc>
        <w:tc>
          <w:tcPr>
            <w:tcW w:w="95" w:type="dxa"/>
            <w:tcBorders/>
            <w:shd w:fill="auto" w:val="clear"/>
            <w:vAlign w:val="bottom"/>
          </w:tcPr>
          <w:p>
            <w:pPr>
              <w:pStyle w:val="TableContents"/>
              <w:spacing w:before="0" w:after="283"/>
              <w:rPr>
                <w:rFonts w:ascii="times" w:hAnsi="times"/>
                <w:sz w:val="14"/>
              </w:rPr>
            </w:pPr>
            <w:r>
              <w:rPr>
                <w:rFonts w:ascii="times" w:hAnsi="times"/>
                <w:sz w:val="14"/>
              </w:rPr>
              <w:t>$</w:t>
            </w:r>
          </w:p>
        </w:tc>
        <w:tc>
          <w:tcPr>
            <w:tcW w:w="936" w:type="dxa"/>
            <w:tcBorders/>
            <w:shd w:fill="auto" w:val="clear"/>
            <w:vAlign w:val="bottom"/>
          </w:tcPr>
          <w:p>
            <w:pPr>
              <w:pStyle w:val="TableContents"/>
              <w:spacing w:before="0" w:after="283"/>
              <w:jc w:val="right"/>
              <w:rPr>
                <w:rFonts w:ascii="times" w:hAnsi="times"/>
                <w:sz w:val="14"/>
              </w:rPr>
            </w:pPr>
            <w:r>
              <w:rPr>
                <w:rFonts w:ascii="times" w:hAnsi="times"/>
                <w:sz w:val="14"/>
              </w:rPr>
              <w:t>0.55</w:t>
            </w:r>
          </w:p>
        </w:tc>
        <w:tc>
          <w:tcPr>
            <w:tcW w:w="171" w:type="dxa"/>
            <w:tcBorders/>
            <w:shd w:fill="auto" w:val="clear"/>
            <w:vAlign w:val="bottom"/>
          </w:tcPr>
          <w:p>
            <w:pPr>
              <w:pStyle w:val="TableContents"/>
              <w:spacing w:before="0" w:after="283"/>
              <w:rPr/>
            </w:pPr>
            <w:r>
              <w:rPr/>
              <w:t> </w:t>
            </w:r>
          </w:p>
        </w:tc>
      </w:tr>
      <w:tr>
        <w:trPr/>
        <w:tc>
          <w:tcPr>
            <w:tcW w:w="4059" w:type="dxa"/>
            <w:tcBorders/>
            <w:shd w:fill="auto" w:val="clear"/>
            <w:vAlign w:val="bottom"/>
          </w:tcPr>
          <w:p>
            <w:pPr>
              <w:pStyle w:val="TableContents"/>
              <w:spacing w:before="0" w:after="283"/>
              <w:ind w:left="140" w:right="0" w:hanging="140"/>
              <w:rPr>
                <w:rFonts w:ascii="times" w:hAnsi="times"/>
                <w:sz w:val="14"/>
              </w:rPr>
            </w:pPr>
            <w:r>
              <w:rPr>
                <w:rFonts w:ascii="times" w:hAnsi="times"/>
                <w:sz w:val="14"/>
              </w:rPr>
              <w:t>Subordinated units</w:t>
            </w:r>
            <w:r>
              <w:rPr>
                <w:rFonts w:ascii="times" w:hAnsi="times"/>
                <w:position w:val="5"/>
                <w:sz w:val="11"/>
                <w:sz w:val="14"/>
              </w:rPr>
              <w:t>(3)</w:t>
            </w:r>
          </w:p>
        </w:tc>
        <w:tc>
          <w:tcPr>
            <w:tcW w:w="164"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rFonts w:ascii="times" w:hAnsi="times"/>
                <w:sz w:val="14"/>
              </w:rPr>
            </w:pPr>
            <w:r>
              <w:rPr>
                <w:rFonts w:ascii="times" w:hAnsi="times"/>
                <w:sz w:val="14"/>
              </w:rPr>
              <w:t>$</w:t>
            </w:r>
          </w:p>
        </w:tc>
        <w:tc>
          <w:tcPr>
            <w:tcW w:w="936" w:type="dxa"/>
            <w:tcBorders/>
            <w:shd w:fill="auto" w:val="clear"/>
            <w:vAlign w:val="bottom"/>
          </w:tcPr>
          <w:p>
            <w:pPr>
              <w:pStyle w:val="TableContents"/>
              <w:spacing w:before="0" w:after="283"/>
              <w:jc w:val="right"/>
              <w:rPr>
                <w:rFonts w:ascii="times" w:hAnsi="times"/>
                <w:sz w:val="14"/>
              </w:rPr>
            </w:pPr>
            <w:r>
              <w:rPr>
                <w:rFonts w:ascii="times" w:hAnsi="times"/>
                <w:sz w:val="14"/>
              </w:rPr>
              <w:t>2.14</w:t>
            </w:r>
          </w:p>
        </w:tc>
        <w:tc>
          <w:tcPr>
            <w:tcW w:w="164"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rFonts w:ascii="times" w:hAnsi="times"/>
                <w:sz w:val="14"/>
              </w:rPr>
            </w:pPr>
            <w:r>
              <w:rPr>
                <w:rFonts w:ascii="times" w:hAnsi="times"/>
                <w:sz w:val="14"/>
              </w:rPr>
              <w:t>$</w:t>
            </w:r>
          </w:p>
        </w:tc>
        <w:tc>
          <w:tcPr>
            <w:tcW w:w="936" w:type="dxa"/>
            <w:tcBorders/>
            <w:shd w:fill="auto" w:val="clear"/>
            <w:vAlign w:val="bottom"/>
          </w:tcPr>
          <w:p>
            <w:pPr>
              <w:pStyle w:val="TableContents"/>
              <w:spacing w:before="0" w:after="283"/>
              <w:jc w:val="right"/>
              <w:rPr>
                <w:rFonts w:ascii="times" w:hAnsi="times"/>
                <w:sz w:val="14"/>
              </w:rPr>
            </w:pPr>
            <w:r>
              <w:rPr>
                <w:rFonts w:ascii="times" w:hAnsi="times"/>
                <w:sz w:val="14"/>
              </w:rPr>
              <w:t>0.52</w:t>
            </w:r>
          </w:p>
        </w:tc>
        <w:tc>
          <w:tcPr>
            <w:tcW w:w="164"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936" w:type="dxa"/>
            <w:tcBorders/>
            <w:shd w:fill="auto" w:val="clear"/>
            <w:vAlign w:val="bottom"/>
          </w:tcPr>
          <w:p>
            <w:pPr>
              <w:pStyle w:val="TableContents"/>
              <w:spacing w:before="0" w:after="283"/>
              <w:jc w:val="right"/>
              <w:rPr>
                <w:rFonts w:ascii="times" w:hAnsi="times"/>
                <w:sz w:val="14"/>
              </w:rPr>
            </w:pPr>
            <w:r>
              <w:rPr>
                <w:rFonts w:ascii="times" w:hAnsi="times"/>
                <w:sz w:val="14"/>
              </w:rPr>
              <w:t>N/A</w:t>
            </w:r>
          </w:p>
        </w:tc>
        <w:tc>
          <w:tcPr>
            <w:tcW w:w="164"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936" w:type="dxa"/>
            <w:tcBorders/>
            <w:shd w:fill="auto" w:val="clear"/>
            <w:vAlign w:val="bottom"/>
          </w:tcPr>
          <w:p>
            <w:pPr>
              <w:pStyle w:val="TableContents"/>
              <w:spacing w:before="0" w:after="283"/>
              <w:jc w:val="right"/>
              <w:rPr>
                <w:rFonts w:ascii="times" w:hAnsi="times"/>
                <w:sz w:val="14"/>
              </w:rPr>
            </w:pPr>
            <w:r>
              <w:rPr>
                <w:rFonts w:ascii="times" w:hAnsi="times"/>
                <w:sz w:val="14"/>
              </w:rPr>
              <w:t>N/A</w:t>
            </w:r>
          </w:p>
        </w:tc>
        <w:tc>
          <w:tcPr>
            <w:tcW w:w="164"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936" w:type="dxa"/>
            <w:tcBorders/>
            <w:shd w:fill="auto" w:val="clear"/>
            <w:vAlign w:val="bottom"/>
          </w:tcPr>
          <w:p>
            <w:pPr>
              <w:pStyle w:val="TableContents"/>
              <w:spacing w:before="0" w:after="283"/>
              <w:jc w:val="right"/>
              <w:rPr>
                <w:rFonts w:ascii="times" w:hAnsi="times"/>
                <w:sz w:val="14"/>
              </w:rPr>
            </w:pPr>
            <w:r>
              <w:rPr>
                <w:rFonts w:ascii="times" w:hAnsi="times"/>
                <w:sz w:val="14"/>
              </w:rPr>
              <w:t>N/A</w:t>
            </w:r>
          </w:p>
        </w:tc>
        <w:tc>
          <w:tcPr>
            <w:tcW w:w="171" w:type="dxa"/>
            <w:tcBorders/>
            <w:shd w:fill="auto" w:val="clear"/>
            <w:vAlign w:val="bottom"/>
          </w:tcPr>
          <w:p>
            <w:pPr>
              <w:pStyle w:val="TableContents"/>
              <w:spacing w:before="0" w:after="283"/>
              <w:rPr/>
            </w:pPr>
            <w:r>
              <w:rPr/>
              <w:t> </w:t>
            </w:r>
          </w:p>
        </w:tc>
      </w:tr>
      <w:tr>
        <w:trPr/>
        <w:tc>
          <w:tcPr>
            <w:tcW w:w="4059" w:type="dxa"/>
            <w:tcBorders/>
            <w:shd w:fill="auto" w:val="clear"/>
            <w:vAlign w:val="bottom"/>
          </w:tcPr>
          <w:p>
            <w:pPr>
              <w:pStyle w:val="TableContents"/>
              <w:spacing w:before="0" w:after="283"/>
              <w:ind w:left="140" w:right="0" w:hanging="140"/>
              <w:rPr>
                <w:rFonts w:ascii="times" w:hAnsi="times"/>
                <w:sz w:val="14"/>
              </w:rPr>
            </w:pPr>
            <w:r>
              <w:rPr>
                <w:rFonts w:ascii="times" w:hAnsi="times"/>
                <w:sz w:val="14"/>
              </w:rPr>
              <w:t>General partner units</w:t>
            </w:r>
          </w:p>
        </w:tc>
        <w:tc>
          <w:tcPr>
            <w:tcW w:w="164"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rFonts w:ascii="times" w:hAnsi="times"/>
                <w:sz w:val="14"/>
              </w:rPr>
            </w:pPr>
            <w:r>
              <w:rPr>
                <w:rFonts w:ascii="times" w:hAnsi="times"/>
                <w:sz w:val="14"/>
              </w:rPr>
              <w:t>$</w:t>
            </w:r>
          </w:p>
        </w:tc>
        <w:tc>
          <w:tcPr>
            <w:tcW w:w="936" w:type="dxa"/>
            <w:tcBorders/>
            <w:shd w:fill="auto" w:val="clear"/>
            <w:vAlign w:val="bottom"/>
          </w:tcPr>
          <w:p>
            <w:pPr>
              <w:pStyle w:val="TableContents"/>
              <w:spacing w:before="0" w:after="283"/>
              <w:jc w:val="right"/>
              <w:rPr>
                <w:rFonts w:ascii="times" w:hAnsi="times"/>
                <w:sz w:val="14"/>
              </w:rPr>
            </w:pPr>
            <w:r>
              <w:rPr>
                <w:rFonts w:ascii="times" w:hAnsi="times"/>
                <w:sz w:val="14"/>
              </w:rPr>
              <w:t>2.31</w:t>
            </w:r>
          </w:p>
        </w:tc>
        <w:tc>
          <w:tcPr>
            <w:tcW w:w="164"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rFonts w:ascii="times" w:hAnsi="times"/>
                <w:sz w:val="14"/>
              </w:rPr>
            </w:pPr>
            <w:r>
              <w:rPr>
                <w:rFonts w:ascii="times" w:hAnsi="times"/>
                <w:sz w:val="14"/>
              </w:rPr>
              <w:t>$</w:t>
            </w:r>
          </w:p>
        </w:tc>
        <w:tc>
          <w:tcPr>
            <w:tcW w:w="936" w:type="dxa"/>
            <w:tcBorders/>
            <w:shd w:fill="auto" w:val="clear"/>
            <w:vAlign w:val="bottom"/>
          </w:tcPr>
          <w:p>
            <w:pPr>
              <w:pStyle w:val="TableContents"/>
              <w:spacing w:before="0" w:after="283"/>
              <w:jc w:val="right"/>
              <w:rPr>
                <w:rFonts w:ascii="times" w:hAnsi="times"/>
                <w:sz w:val="14"/>
              </w:rPr>
            </w:pPr>
            <w:r>
              <w:rPr>
                <w:rFonts w:ascii="times" w:hAnsi="times"/>
                <w:sz w:val="14"/>
              </w:rPr>
              <w:t>2.18</w:t>
            </w:r>
          </w:p>
        </w:tc>
        <w:tc>
          <w:tcPr>
            <w:tcW w:w="164"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rFonts w:ascii="times" w:hAnsi="times"/>
                <w:sz w:val="14"/>
              </w:rPr>
            </w:pPr>
            <w:r>
              <w:rPr>
                <w:rFonts w:ascii="times" w:hAnsi="times"/>
                <w:sz w:val="14"/>
              </w:rPr>
              <w:t>$</w:t>
            </w:r>
          </w:p>
        </w:tc>
        <w:tc>
          <w:tcPr>
            <w:tcW w:w="936" w:type="dxa"/>
            <w:tcBorders/>
            <w:shd w:fill="auto" w:val="clear"/>
            <w:vAlign w:val="bottom"/>
          </w:tcPr>
          <w:p>
            <w:pPr>
              <w:pStyle w:val="TableContents"/>
              <w:spacing w:before="0" w:after="283"/>
              <w:jc w:val="right"/>
              <w:rPr>
                <w:rFonts w:ascii="times" w:hAnsi="times"/>
                <w:sz w:val="14"/>
              </w:rPr>
            </w:pPr>
            <w:r>
              <w:rPr>
                <w:rFonts w:ascii="times" w:hAnsi="times"/>
                <w:sz w:val="14"/>
              </w:rPr>
              <w:t>1.83</w:t>
            </w:r>
          </w:p>
        </w:tc>
        <w:tc>
          <w:tcPr>
            <w:tcW w:w="164"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rFonts w:ascii="times" w:hAnsi="times"/>
                <w:sz w:val="14"/>
              </w:rPr>
            </w:pPr>
            <w:r>
              <w:rPr>
                <w:rFonts w:ascii="times" w:hAnsi="times"/>
                <w:sz w:val="14"/>
              </w:rPr>
              <w:t>$</w:t>
            </w:r>
          </w:p>
        </w:tc>
        <w:tc>
          <w:tcPr>
            <w:tcW w:w="936" w:type="dxa"/>
            <w:tcBorders/>
            <w:shd w:fill="auto" w:val="clear"/>
            <w:vAlign w:val="bottom"/>
          </w:tcPr>
          <w:p>
            <w:pPr>
              <w:pStyle w:val="TableContents"/>
              <w:spacing w:before="0" w:after="283"/>
              <w:jc w:val="right"/>
              <w:rPr>
                <w:rFonts w:ascii="times" w:hAnsi="times"/>
                <w:sz w:val="14"/>
              </w:rPr>
            </w:pPr>
            <w:r>
              <w:rPr>
                <w:rFonts w:ascii="times" w:hAnsi="times"/>
                <w:sz w:val="14"/>
              </w:rPr>
              <w:t>(1.52</w:t>
            </w:r>
          </w:p>
        </w:tc>
        <w:tc>
          <w:tcPr>
            <w:tcW w:w="164" w:type="dxa"/>
            <w:tcBorders/>
            <w:shd w:fill="auto" w:val="clear"/>
            <w:vAlign w:val="bottom"/>
          </w:tcPr>
          <w:p>
            <w:pPr>
              <w:pStyle w:val="TableContents"/>
              <w:spacing w:before="0" w:after="283"/>
              <w:rPr>
                <w:rFonts w:ascii="times" w:hAnsi="times"/>
                <w:sz w:val="14"/>
              </w:rPr>
            </w:pPr>
            <w:r>
              <w:rPr>
                <w:rFonts w:ascii="times" w:hAnsi="times"/>
                <w:sz w:val="14"/>
              </w:rPr>
              <w:t>)</w:t>
            </w:r>
          </w:p>
        </w:tc>
        <w:tc>
          <w:tcPr>
            <w:tcW w:w="95" w:type="dxa"/>
            <w:tcBorders/>
            <w:shd w:fill="auto" w:val="clear"/>
            <w:vAlign w:val="bottom"/>
          </w:tcPr>
          <w:p>
            <w:pPr>
              <w:pStyle w:val="TableContents"/>
              <w:spacing w:before="0" w:after="283"/>
              <w:rPr>
                <w:rFonts w:ascii="times" w:hAnsi="times"/>
                <w:sz w:val="14"/>
              </w:rPr>
            </w:pPr>
            <w:r>
              <w:rPr>
                <w:rFonts w:ascii="times" w:hAnsi="times"/>
                <w:sz w:val="14"/>
              </w:rPr>
              <w:t>$</w:t>
            </w:r>
          </w:p>
        </w:tc>
        <w:tc>
          <w:tcPr>
            <w:tcW w:w="936" w:type="dxa"/>
            <w:tcBorders/>
            <w:shd w:fill="auto" w:val="clear"/>
            <w:vAlign w:val="bottom"/>
          </w:tcPr>
          <w:p>
            <w:pPr>
              <w:pStyle w:val="TableContents"/>
              <w:spacing w:before="0" w:after="283"/>
              <w:jc w:val="right"/>
              <w:rPr>
                <w:rFonts w:ascii="times" w:hAnsi="times"/>
                <w:sz w:val="14"/>
              </w:rPr>
            </w:pPr>
            <w:r>
              <w:rPr>
                <w:rFonts w:ascii="times" w:hAnsi="times"/>
                <w:sz w:val="14"/>
              </w:rPr>
              <w:t>0.55</w:t>
            </w:r>
          </w:p>
        </w:tc>
        <w:tc>
          <w:tcPr>
            <w:tcW w:w="171" w:type="dxa"/>
            <w:tcBorders/>
            <w:shd w:fill="auto" w:val="clear"/>
            <w:vAlign w:val="bottom"/>
          </w:tcPr>
          <w:p>
            <w:pPr>
              <w:pStyle w:val="TableContents"/>
              <w:spacing w:before="0" w:after="283"/>
              <w:rPr/>
            </w:pPr>
            <w:r>
              <w:rPr/>
              <w:t> </w:t>
            </w:r>
          </w:p>
        </w:tc>
      </w:tr>
    </w:tbl>
    <w:p>
      <w:pPr>
        <w:pStyle w:val="TextBody"/>
        <w:jc w:val="center"/>
        <w:rPr>
          <w:rFonts w:ascii="times" w:hAnsi="times"/>
          <w:sz w:val="20"/>
        </w:rPr>
      </w:pPr>
      <w:r>
        <w:rPr>
          <w:rFonts w:ascii="times" w:hAnsi="times"/>
          <w:sz w:val="20"/>
        </w:rPr>
        <w:t>S-20</w:t>
      </w:r>
    </w:p>
    <w:p>
      <w:pPr>
        <w:pStyle w:val="HorizontalLine"/>
        <w:pBdr>
          <w:bottom w:val="single" w:sz="20" w:space="0" w:color="808080"/>
        </w:pBdr>
        <w:rPr/>
      </w:pPr>
      <w:r>
        <w:rPr/>
      </w:r>
      <w:r>
        <w:br w:type="page"/>
      </w:r>
    </w:p>
    <w:p>
      <w:pPr>
        <w:pStyle w:val="TextBody"/>
        <w:rPr/>
      </w:pPr>
      <w:hyperlink w:anchor="bE43504A_main_toc">
        <w:bookmarkStart w:id="61" w:name="page_bo43504_1_21"/>
        <w:bookmarkEnd w:id="61"/>
        <w:r>
          <w:rPr>
            <w:rStyle w:val="InternetLink"/>
            <w:rFonts w:ascii="times" w:hAnsi="times"/>
            <w:sz w:val="20"/>
          </w:rPr>
          <w:t>Table of Contents</w:t>
        </w:r>
      </w:hyperlink>
    </w:p>
    <w:p>
      <w:pPr>
        <w:pStyle w:val="TextBody"/>
        <w:rPr>
          <w:bdr w:val="single" w:sz="8" w:space="12" w:color="000000"/>
        </w:rPr>
      </w:pPr>
      <w:r>
        <w:rPr>
          <w:bdr w:val="single" w:sz="8" w:space="12" w:color="000000"/>
        </w:rPr>
        <w:t> </w:t>
      </w:r>
    </w:p>
    <w:tbl>
      <w:tblPr>
        <w:tblW w:w="5000" w:type="pct"/>
        <w:jc w:val="center"/>
        <w:tblInd w:w="0" w:type="dxa"/>
        <w:tblCellMar>
          <w:top w:w="0" w:type="dxa"/>
          <w:left w:w="0" w:type="dxa"/>
          <w:bottom w:w="0" w:type="dxa"/>
          <w:right w:w="0" w:type="dxa"/>
        </w:tblCellMar>
      </w:tblPr>
      <w:tblGrid>
        <w:gridCol w:w="4178"/>
        <w:gridCol w:w="157"/>
        <w:gridCol w:w="95"/>
        <w:gridCol w:w="919"/>
        <w:gridCol w:w="158"/>
        <w:gridCol w:w="95"/>
        <w:gridCol w:w="919"/>
        <w:gridCol w:w="158"/>
        <w:gridCol w:w="95"/>
        <w:gridCol w:w="919"/>
        <w:gridCol w:w="158"/>
        <w:gridCol w:w="95"/>
        <w:gridCol w:w="919"/>
        <w:gridCol w:w="157"/>
        <w:gridCol w:w="95"/>
        <w:gridCol w:w="919"/>
        <w:gridCol w:w="169"/>
      </w:tblGrid>
      <w:tr>
        <w:trPr/>
        <w:tc>
          <w:tcPr>
            <w:tcW w:w="4178"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c>
          <w:tcPr>
            <w:tcW w:w="95" w:type="dxa"/>
            <w:tcBorders/>
            <w:shd w:fill="auto" w:val="clear"/>
            <w:vAlign w:val="center"/>
          </w:tcPr>
          <w:p>
            <w:pPr>
              <w:pStyle w:val="TableContents"/>
              <w:spacing w:before="0" w:after="283"/>
              <w:rPr>
                <w:sz w:val="4"/>
                <w:szCs w:val="4"/>
              </w:rPr>
            </w:pPr>
            <w:r>
              <w:rPr>
                <w:sz w:val="4"/>
                <w:szCs w:val="4"/>
              </w:rPr>
            </w:r>
          </w:p>
        </w:tc>
        <w:tc>
          <w:tcPr>
            <w:tcW w:w="91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c>
          <w:tcPr>
            <w:tcW w:w="95" w:type="dxa"/>
            <w:tcBorders/>
            <w:shd w:fill="auto" w:val="clear"/>
            <w:vAlign w:val="center"/>
          </w:tcPr>
          <w:p>
            <w:pPr>
              <w:pStyle w:val="TableContents"/>
              <w:spacing w:before="0" w:after="283"/>
              <w:rPr>
                <w:sz w:val="4"/>
                <w:szCs w:val="4"/>
              </w:rPr>
            </w:pPr>
            <w:r>
              <w:rPr>
                <w:sz w:val="4"/>
                <w:szCs w:val="4"/>
              </w:rPr>
            </w:r>
          </w:p>
        </w:tc>
        <w:tc>
          <w:tcPr>
            <w:tcW w:w="91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c>
          <w:tcPr>
            <w:tcW w:w="95" w:type="dxa"/>
            <w:tcBorders/>
            <w:shd w:fill="auto" w:val="clear"/>
            <w:vAlign w:val="center"/>
          </w:tcPr>
          <w:p>
            <w:pPr>
              <w:pStyle w:val="TableContents"/>
              <w:spacing w:before="0" w:after="283"/>
              <w:rPr>
                <w:sz w:val="4"/>
                <w:szCs w:val="4"/>
              </w:rPr>
            </w:pPr>
            <w:r>
              <w:rPr>
                <w:sz w:val="4"/>
                <w:szCs w:val="4"/>
              </w:rPr>
            </w:r>
          </w:p>
        </w:tc>
        <w:tc>
          <w:tcPr>
            <w:tcW w:w="91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c>
          <w:tcPr>
            <w:tcW w:w="95" w:type="dxa"/>
            <w:tcBorders/>
            <w:shd w:fill="auto" w:val="clear"/>
            <w:vAlign w:val="center"/>
          </w:tcPr>
          <w:p>
            <w:pPr>
              <w:pStyle w:val="TableContents"/>
              <w:spacing w:before="0" w:after="283"/>
              <w:rPr>
                <w:sz w:val="4"/>
                <w:szCs w:val="4"/>
              </w:rPr>
            </w:pPr>
            <w:r>
              <w:rPr>
                <w:sz w:val="4"/>
                <w:szCs w:val="4"/>
              </w:rPr>
            </w:r>
          </w:p>
        </w:tc>
        <w:tc>
          <w:tcPr>
            <w:tcW w:w="919"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c>
          <w:tcPr>
            <w:tcW w:w="95" w:type="dxa"/>
            <w:tcBorders/>
            <w:shd w:fill="auto" w:val="clear"/>
            <w:vAlign w:val="center"/>
          </w:tcPr>
          <w:p>
            <w:pPr>
              <w:pStyle w:val="TableContents"/>
              <w:spacing w:before="0" w:after="283"/>
              <w:rPr>
                <w:sz w:val="4"/>
                <w:szCs w:val="4"/>
              </w:rPr>
            </w:pPr>
            <w:r>
              <w:rPr>
                <w:sz w:val="4"/>
                <w:szCs w:val="4"/>
              </w:rPr>
            </w:r>
          </w:p>
        </w:tc>
        <w:tc>
          <w:tcPr>
            <w:tcW w:w="919" w:type="dxa"/>
            <w:tcBorders/>
            <w:shd w:fill="auto" w:val="clear"/>
            <w:vAlign w:val="center"/>
          </w:tcPr>
          <w:p>
            <w:pPr>
              <w:pStyle w:val="TableContents"/>
              <w:spacing w:before="0" w:after="283"/>
              <w:rPr>
                <w:sz w:val="4"/>
                <w:szCs w:val="4"/>
              </w:rPr>
            </w:pPr>
            <w:r>
              <w:rPr>
                <w:sz w:val="4"/>
                <w:szCs w:val="4"/>
              </w:rPr>
            </w:r>
          </w:p>
        </w:tc>
        <w:tc>
          <w:tcPr>
            <w:tcW w:w="169" w:type="dxa"/>
            <w:tcBorders/>
            <w:shd w:fill="auto" w:val="clear"/>
            <w:vAlign w:val="center"/>
          </w:tcPr>
          <w:p>
            <w:pPr>
              <w:pStyle w:val="TableContents"/>
              <w:spacing w:before="0" w:after="283"/>
              <w:rPr>
                <w:sz w:val="4"/>
                <w:szCs w:val="4"/>
              </w:rPr>
            </w:pPr>
            <w:r>
              <w:rPr>
                <w:sz w:val="4"/>
                <w:szCs w:val="4"/>
              </w:rPr>
            </w:r>
          </w:p>
        </w:tc>
      </w:tr>
      <w:tr>
        <w:trPr/>
        <w:tc>
          <w:tcPr>
            <w:tcW w:w="4178" w:type="dxa"/>
            <w:tcBorders/>
            <w:shd w:fill="auto" w:val="clear"/>
            <w:vAlign w:val="bottom"/>
          </w:tcPr>
          <w:p>
            <w:pPr>
              <w:pStyle w:val="TableHeading"/>
              <w:spacing w:before="0" w:after="283"/>
              <w:jc w:val="left"/>
              <w:rPr/>
            </w:pPr>
            <w:r>
              <w:rPr/>
              <w:t> </w:t>
            </w:r>
          </w:p>
        </w:tc>
        <w:tc>
          <w:tcPr>
            <w:tcW w:w="157" w:type="dxa"/>
            <w:tcBorders/>
            <w:shd w:fill="auto" w:val="clear"/>
            <w:vAlign w:val="bottom"/>
          </w:tcPr>
          <w:p>
            <w:pPr>
              <w:pStyle w:val="TableHeading"/>
              <w:suppressLineNumbers/>
              <w:spacing w:before="0" w:after="283"/>
              <w:jc w:val="center"/>
              <w:rPr/>
            </w:pPr>
            <w:r>
              <w:rPr/>
              <w:t> </w:t>
            </w:r>
          </w:p>
        </w:tc>
        <w:tc>
          <w:tcPr>
            <w:tcW w:w="5701" w:type="dxa"/>
            <w:gridSpan w:val="14"/>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Year Ended December 31, </w:t>
            </w:r>
          </w:p>
        </w:tc>
        <w:tc>
          <w:tcPr>
            <w:tcW w:w="169" w:type="dxa"/>
            <w:tcBorders/>
            <w:shd w:fill="auto" w:val="clear"/>
            <w:vAlign w:val="bottom"/>
          </w:tcPr>
          <w:p>
            <w:pPr>
              <w:pStyle w:val="TableHeading"/>
              <w:suppressLineNumbers/>
              <w:spacing w:before="0" w:after="283"/>
              <w:jc w:val="center"/>
              <w:rPr/>
            </w:pPr>
            <w:r>
              <w:rPr/>
              <w:t> </w:t>
            </w:r>
          </w:p>
        </w:tc>
      </w:tr>
      <w:tr>
        <w:trPr/>
        <w:tc>
          <w:tcPr>
            <w:tcW w:w="4178" w:type="dxa"/>
            <w:tcBorders/>
            <w:shd w:fill="auto" w:val="clear"/>
            <w:vAlign w:val="bottom"/>
          </w:tcPr>
          <w:p>
            <w:pPr>
              <w:pStyle w:val="TableHeading"/>
              <w:spacing w:before="0" w:after="283"/>
              <w:jc w:val="left"/>
              <w:rPr/>
            </w:pPr>
            <w:r>
              <w:rPr/>
              <w:t> </w:t>
            </w:r>
          </w:p>
        </w:tc>
        <w:tc>
          <w:tcPr>
            <w:tcW w:w="157" w:type="dxa"/>
            <w:tcBorders/>
            <w:shd w:fill="auto" w:val="clear"/>
            <w:vAlign w:val="bottom"/>
          </w:tcPr>
          <w:p>
            <w:pPr>
              <w:pStyle w:val="TableHeading"/>
              <w:suppressLineNumbers/>
              <w:spacing w:before="0" w:after="283"/>
              <w:jc w:val="center"/>
              <w:rPr/>
            </w:pPr>
            <w:r>
              <w:rPr/>
              <w:t> </w:t>
            </w:r>
          </w:p>
        </w:tc>
        <w:tc>
          <w:tcPr>
            <w:tcW w:w="1014" w:type="dxa"/>
            <w:gridSpan w:val="2"/>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2016 </w:t>
            </w:r>
          </w:p>
        </w:tc>
        <w:tc>
          <w:tcPr>
            <w:tcW w:w="158" w:type="dxa"/>
            <w:tcBorders/>
            <w:shd w:fill="auto" w:val="clear"/>
            <w:vAlign w:val="bottom"/>
          </w:tcPr>
          <w:p>
            <w:pPr>
              <w:pStyle w:val="TableHeading"/>
              <w:suppressLineNumbers/>
              <w:spacing w:before="0" w:after="283"/>
              <w:jc w:val="center"/>
              <w:rPr/>
            </w:pPr>
            <w:r>
              <w:rPr/>
              <w:t> </w:t>
            </w:r>
          </w:p>
        </w:tc>
        <w:tc>
          <w:tcPr>
            <w:tcW w:w="1014" w:type="dxa"/>
            <w:gridSpan w:val="2"/>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2017 </w:t>
            </w:r>
          </w:p>
        </w:tc>
        <w:tc>
          <w:tcPr>
            <w:tcW w:w="158" w:type="dxa"/>
            <w:tcBorders/>
            <w:shd w:fill="auto" w:val="clear"/>
            <w:vAlign w:val="bottom"/>
          </w:tcPr>
          <w:p>
            <w:pPr>
              <w:pStyle w:val="TableHeading"/>
              <w:suppressLineNumbers/>
              <w:spacing w:before="0" w:after="283"/>
              <w:jc w:val="center"/>
              <w:rPr/>
            </w:pPr>
            <w:r>
              <w:rPr/>
              <w:t> </w:t>
            </w:r>
          </w:p>
        </w:tc>
        <w:tc>
          <w:tcPr>
            <w:tcW w:w="1014" w:type="dxa"/>
            <w:gridSpan w:val="2"/>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2018 </w:t>
            </w:r>
          </w:p>
        </w:tc>
        <w:tc>
          <w:tcPr>
            <w:tcW w:w="158" w:type="dxa"/>
            <w:tcBorders/>
            <w:shd w:fill="auto" w:val="clear"/>
            <w:vAlign w:val="bottom"/>
          </w:tcPr>
          <w:p>
            <w:pPr>
              <w:pStyle w:val="TableHeading"/>
              <w:suppressLineNumbers/>
              <w:spacing w:before="0" w:after="283"/>
              <w:jc w:val="center"/>
              <w:rPr/>
            </w:pPr>
            <w:r>
              <w:rPr/>
              <w:t> </w:t>
            </w:r>
          </w:p>
        </w:tc>
        <w:tc>
          <w:tcPr>
            <w:tcW w:w="1014" w:type="dxa"/>
            <w:gridSpan w:val="2"/>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2019 </w:t>
            </w:r>
          </w:p>
        </w:tc>
        <w:tc>
          <w:tcPr>
            <w:tcW w:w="157" w:type="dxa"/>
            <w:tcBorders/>
            <w:shd w:fill="auto" w:val="clear"/>
            <w:vAlign w:val="bottom"/>
          </w:tcPr>
          <w:p>
            <w:pPr>
              <w:pStyle w:val="TableHeading"/>
              <w:suppressLineNumbers/>
              <w:spacing w:before="0" w:after="283"/>
              <w:jc w:val="center"/>
              <w:rPr/>
            </w:pPr>
            <w:r>
              <w:rPr/>
              <w:t> </w:t>
            </w:r>
          </w:p>
        </w:tc>
        <w:tc>
          <w:tcPr>
            <w:tcW w:w="1014" w:type="dxa"/>
            <w:gridSpan w:val="2"/>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2020 </w:t>
            </w:r>
          </w:p>
        </w:tc>
        <w:tc>
          <w:tcPr>
            <w:tcW w:w="169" w:type="dxa"/>
            <w:tcBorders/>
            <w:shd w:fill="auto" w:val="clear"/>
            <w:vAlign w:val="bottom"/>
          </w:tcPr>
          <w:p>
            <w:pPr>
              <w:pStyle w:val="TableHeading"/>
              <w:suppressLineNumbers/>
              <w:spacing w:before="0" w:after="283"/>
              <w:jc w:val="center"/>
              <w:rPr/>
            </w:pPr>
            <w:r>
              <w:rPr/>
              <w:t> </w:t>
            </w:r>
          </w:p>
        </w:tc>
      </w:tr>
      <w:tr>
        <w:trPr/>
        <w:tc>
          <w:tcPr>
            <w:tcW w:w="4178" w:type="dxa"/>
            <w:tcBorders/>
            <w:shd w:fill="auto" w:val="clear"/>
            <w:vAlign w:val="bottom"/>
          </w:tcPr>
          <w:p>
            <w:pPr>
              <w:pStyle w:val="TableHeading"/>
              <w:spacing w:before="0" w:after="283"/>
              <w:jc w:val="left"/>
              <w:rPr/>
            </w:pPr>
            <w:r>
              <w:rPr/>
              <w:t> </w:t>
            </w:r>
          </w:p>
        </w:tc>
        <w:tc>
          <w:tcPr>
            <w:tcW w:w="157" w:type="dxa"/>
            <w:tcBorders/>
            <w:shd w:fill="auto" w:val="clear"/>
            <w:vAlign w:val="bottom"/>
          </w:tcPr>
          <w:p>
            <w:pPr>
              <w:pStyle w:val="TableHeading"/>
              <w:suppressLineNumbers/>
              <w:spacing w:before="0" w:after="283"/>
              <w:jc w:val="center"/>
              <w:rPr/>
            </w:pPr>
            <w:r>
              <w:rPr/>
              <w:t> </w:t>
            </w:r>
          </w:p>
        </w:tc>
        <w:tc>
          <w:tcPr>
            <w:tcW w:w="5701" w:type="dxa"/>
            <w:gridSpan w:val="14"/>
            <w:tcBorders/>
            <w:shd w:fill="auto" w:val="clear"/>
            <w:vAlign w:val="bottom"/>
          </w:tcPr>
          <w:p>
            <w:pPr>
              <w:pStyle w:val="TableHeading"/>
              <w:spacing w:before="0" w:after="283"/>
              <w:jc w:val="center"/>
              <w:rPr>
                <w:rFonts w:ascii="times" w:hAnsi="times"/>
                <w:b/>
                <w:sz w:val="14"/>
              </w:rPr>
            </w:pPr>
            <w:r>
              <w:rPr>
                <w:rFonts w:ascii="times" w:hAnsi="times"/>
                <w:b/>
                <w:sz w:val="14"/>
              </w:rPr>
              <w:t>(in thousands of U.S. dollars, except per unit data)</w:t>
            </w:r>
          </w:p>
        </w:tc>
        <w:tc>
          <w:tcPr>
            <w:tcW w:w="169" w:type="dxa"/>
            <w:tcBorders/>
            <w:shd w:fill="auto" w:val="clear"/>
            <w:vAlign w:val="bottom"/>
          </w:tcPr>
          <w:p>
            <w:pPr>
              <w:pStyle w:val="TableHeading"/>
              <w:suppressLineNumbers/>
              <w:spacing w:before="0" w:after="283"/>
              <w:jc w:val="center"/>
              <w:rPr/>
            </w:pPr>
            <w:r>
              <w:rPr/>
              <w:t> </w:t>
            </w:r>
          </w:p>
        </w:tc>
      </w:tr>
      <w:tr>
        <w:trPr/>
        <w:tc>
          <w:tcPr>
            <w:tcW w:w="4178" w:type="dxa"/>
            <w:tcBorders/>
            <w:shd w:fill="auto" w:val="clear"/>
            <w:vAlign w:val="bottom"/>
          </w:tcPr>
          <w:p>
            <w:pPr>
              <w:pStyle w:val="TableContents"/>
              <w:spacing w:before="0" w:after="283"/>
              <w:ind w:left="140" w:right="0" w:hanging="140"/>
              <w:rPr>
                <w:rFonts w:ascii="times" w:hAnsi="times"/>
                <w:b/>
                <w:sz w:val="14"/>
              </w:rPr>
            </w:pPr>
            <w:r>
              <w:rPr>
                <w:rFonts w:ascii="times" w:hAnsi="times"/>
                <w:b/>
                <w:sz w:val="14"/>
              </w:rPr>
              <w:t>Profit/(loss) for the year</w:t>
            </w:r>
          </w:p>
        </w:tc>
        <w:tc>
          <w:tcPr>
            <w:tcW w:w="157"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rFonts w:ascii="times" w:hAnsi="times"/>
                <w:b/>
                <w:sz w:val="14"/>
              </w:rPr>
            </w:pPr>
            <w:r>
              <w:rPr>
                <w:rFonts w:ascii="times" w:hAnsi="times"/>
                <w:b/>
                <w:sz w:val="14"/>
              </w:rPr>
              <w:t>$</w:t>
            </w:r>
          </w:p>
        </w:tc>
        <w:tc>
          <w:tcPr>
            <w:tcW w:w="919" w:type="dxa"/>
            <w:tcBorders/>
            <w:shd w:fill="auto" w:val="clear"/>
            <w:vAlign w:val="bottom"/>
          </w:tcPr>
          <w:p>
            <w:pPr>
              <w:pStyle w:val="TableContents"/>
              <w:spacing w:before="0" w:after="283"/>
              <w:jc w:val="right"/>
              <w:rPr>
                <w:rFonts w:ascii="times" w:hAnsi="times"/>
                <w:b/>
                <w:sz w:val="14"/>
              </w:rPr>
            </w:pPr>
            <w:r>
              <w:rPr>
                <w:rFonts w:ascii="times" w:hAnsi="times"/>
                <w:b/>
                <w:sz w:val="14"/>
              </w:rPr>
              <w:t>106,387</w:t>
            </w:r>
          </w:p>
        </w:tc>
        <w:tc>
          <w:tcPr>
            <w:tcW w:w="158"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rFonts w:ascii="times" w:hAnsi="times"/>
                <w:b/>
                <w:sz w:val="14"/>
              </w:rPr>
            </w:pPr>
            <w:r>
              <w:rPr>
                <w:rFonts w:ascii="times" w:hAnsi="times"/>
                <w:b/>
                <w:sz w:val="14"/>
              </w:rPr>
              <w:t>$</w:t>
            </w:r>
          </w:p>
        </w:tc>
        <w:tc>
          <w:tcPr>
            <w:tcW w:w="919" w:type="dxa"/>
            <w:tcBorders/>
            <w:shd w:fill="auto" w:val="clear"/>
            <w:vAlign w:val="bottom"/>
          </w:tcPr>
          <w:p>
            <w:pPr>
              <w:pStyle w:val="TableContents"/>
              <w:spacing w:before="0" w:after="283"/>
              <w:jc w:val="right"/>
              <w:rPr>
                <w:rFonts w:ascii="times" w:hAnsi="times"/>
                <w:b/>
                <w:sz w:val="14"/>
              </w:rPr>
            </w:pPr>
            <w:r>
              <w:rPr>
                <w:rFonts w:ascii="times" w:hAnsi="times"/>
                <w:b/>
                <w:sz w:val="14"/>
              </w:rPr>
              <w:t>148,098</w:t>
            </w:r>
          </w:p>
        </w:tc>
        <w:tc>
          <w:tcPr>
            <w:tcW w:w="158"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rFonts w:ascii="times" w:hAnsi="times"/>
                <w:b/>
                <w:sz w:val="14"/>
              </w:rPr>
            </w:pPr>
            <w:r>
              <w:rPr>
                <w:rFonts w:ascii="times" w:hAnsi="times"/>
                <w:b/>
                <w:sz w:val="14"/>
              </w:rPr>
              <w:t>$</w:t>
            </w:r>
          </w:p>
        </w:tc>
        <w:tc>
          <w:tcPr>
            <w:tcW w:w="919" w:type="dxa"/>
            <w:tcBorders/>
            <w:shd w:fill="auto" w:val="clear"/>
            <w:vAlign w:val="bottom"/>
          </w:tcPr>
          <w:p>
            <w:pPr>
              <w:pStyle w:val="TableContents"/>
              <w:spacing w:before="0" w:after="283"/>
              <w:jc w:val="right"/>
              <w:rPr>
                <w:rFonts w:ascii="times" w:hAnsi="times"/>
                <w:b/>
                <w:sz w:val="14"/>
              </w:rPr>
            </w:pPr>
            <w:r>
              <w:rPr>
                <w:rFonts w:ascii="times" w:hAnsi="times"/>
                <w:b/>
                <w:sz w:val="14"/>
              </w:rPr>
              <w:t>128,046</w:t>
            </w:r>
          </w:p>
        </w:tc>
        <w:tc>
          <w:tcPr>
            <w:tcW w:w="158"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rFonts w:ascii="times" w:hAnsi="times"/>
                <w:b/>
                <w:sz w:val="14"/>
              </w:rPr>
            </w:pPr>
            <w:r>
              <w:rPr>
                <w:rFonts w:ascii="times" w:hAnsi="times"/>
                <w:b/>
                <w:sz w:val="14"/>
              </w:rPr>
              <w:t>$</w:t>
            </w:r>
          </w:p>
        </w:tc>
        <w:tc>
          <w:tcPr>
            <w:tcW w:w="919" w:type="dxa"/>
            <w:tcBorders/>
            <w:shd w:fill="auto" w:val="clear"/>
            <w:vAlign w:val="bottom"/>
          </w:tcPr>
          <w:p>
            <w:pPr>
              <w:pStyle w:val="TableContents"/>
              <w:spacing w:before="0" w:after="283"/>
              <w:jc w:val="right"/>
              <w:rPr>
                <w:rFonts w:ascii="times" w:hAnsi="times"/>
                <w:b/>
                <w:sz w:val="14"/>
              </w:rPr>
            </w:pPr>
            <w:r>
              <w:rPr>
                <w:rFonts w:ascii="times" w:hAnsi="times"/>
                <w:b/>
                <w:sz w:val="14"/>
              </w:rPr>
              <w:t>(34,769</w:t>
            </w:r>
          </w:p>
        </w:tc>
        <w:tc>
          <w:tcPr>
            <w:tcW w:w="157" w:type="dxa"/>
            <w:tcBorders/>
            <w:shd w:fill="auto" w:val="clear"/>
            <w:vAlign w:val="bottom"/>
          </w:tcPr>
          <w:p>
            <w:pPr>
              <w:pStyle w:val="TableContents"/>
              <w:spacing w:before="0" w:after="283"/>
              <w:rPr>
                <w:rFonts w:ascii="times" w:hAnsi="times"/>
                <w:b/>
                <w:sz w:val="14"/>
              </w:rPr>
            </w:pPr>
            <w:r>
              <w:rPr>
                <w:rFonts w:ascii="times" w:hAnsi="times"/>
                <w:b/>
                <w:sz w:val="14"/>
              </w:rPr>
              <w:t>)</w:t>
            </w:r>
          </w:p>
        </w:tc>
        <w:tc>
          <w:tcPr>
            <w:tcW w:w="95" w:type="dxa"/>
            <w:tcBorders/>
            <w:shd w:fill="auto" w:val="clear"/>
            <w:vAlign w:val="bottom"/>
          </w:tcPr>
          <w:p>
            <w:pPr>
              <w:pStyle w:val="TableContents"/>
              <w:spacing w:before="0" w:after="283"/>
              <w:rPr>
                <w:rFonts w:ascii="times" w:hAnsi="times"/>
                <w:b/>
                <w:sz w:val="14"/>
              </w:rPr>
            </w:pPr>
            <w:r>
              <w:rPr>
                <w:rFonts w:ascii="times" w:hAnsi="times"/>
                <w:b/>
                <w:sz w:val="14"/>
              </w:rPr>
              <w:t>$</w:t>
            </w:r>
          </w:p>
        </w:tc>
        <w:tc>
          <w:tcPr>
            <w:tcW w:w="919" w:type="dxa"/>
            <w:tcBorders/>
            <w:shd w:fill="auto" w:val="clear"/>
            <w:vAlign w:val="bottom"/>
          </w:tcPr>
          <w:p>
            <w:pPr>
              <w:pStyle w:val="TableContents"/>
              <w:spacing w:before="0" w:after="283"/>
              <w:jc w:val="right"/>
              <w:rPr>
                <w:rFonts w:ascii="times" w:hAnsi="times"/>
                <w:b/>
                <w:sz w:val="14"/>
              </w:rPr>
            </w:pPr>
            <w:r>
              <w:rPr>
                <w:rFonts w:ascii="times" w:hAnsi="times"/>
                <w:b/>
                <w:sz w:val="14"/>
              </w:rPr>
              <w:t>56,859</w:t>
            </w:r>
          </w:p>
        </w:tc>
        <w:tc>
          <w:tcPr>
            <w:tcW w:w="169" w:type="dxa"/>
            <w:tcBorders/>
            <w:shd w:fill="auto" w:val="clear"/>
            <w:vAlign w:val="bottom"/>
          </w:tcPr>
          <w:p>
            <w:pPr>
              <w:pStyle w:val="TableContents"/>
              <w:spacing w:before="0" w:after="283"/>
              <w:rPr/>
            </w:pPr>
            <w:r>
              <w:rPr/>
              <w:t> </w:t>
            </w:r>
          </w:p>
        </w:tc>
      </w:tr>
      <w:tr>
        <w:trPr/>
        <w:tc>
          <w:tcPr>
            <w:tcW w:w="4178" w:type="dxa"/>
            <w:tcBorders/>
            <w:shd w:fill="auto" w:val="clear"/>
            <w:vAlign w:val="bottom"/>
          </w:tcPr>
          <w:p>
            <w:pPr>
              <w:pStyle w:val="TableContents"/>
              <w:spacing w:before="0" w:after="283"/>
              <w:ind w:left="140" w:right="0" w:hanging="140"/>
              <w:rPr>
                <w:rFonts w:ascii="times" w:hAnsi="times"/>
                <w:sz w:val="14"/>
              </w:rPr>
            </w:pPr>
            <w:r>
              <w:rPr>
                <w:rFonts w:ascii="times" w:hAnsi="times"/>
                <w:sz w:val="14"/>
              </w:rPr>
              <w:t>Less:</w:t>
            </w:r>
          </w:p>
        </w:tc>
        <w:tc>
          <w:tcPr>
            <w:tcW w:w="157"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919" w:type="dxa"/>
            <w:tcBorders/>
            <w:shd w:fill="auto" w:val="clear"/>
            <w:vAlign w:val="bottom"/>
          </w:tcPr>
          <w:p>
            <w:pPr>
              <w:pStyle w:val="TableContents"/>
              <w:spacing w:before="0" w:after="283"/>
              <w:jc w:val="right"/>
              <w:rPr/>
            </w:pPr>
            <w:r>
              <w:rPr/>
              <w:t> </w:t>
            </w:r>
          </w:p>
        </w:tc>
        <w:tc>
          <w:tcPr>
            <w:tcW w:w="158"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919" w:type="dxa"/>
            <w:tcBorders/>
            <w:shd w:fill="auto" w:val="clear"/>
            <w:vAlign w:val="bottom"/>
          </w:tcPr>
          <w:p>
            <w:pPr>
              <w:pStyle w:val="TableContents"/>
              <w:spacing w:before="0" w:after="283"/>
              <w:jc w:val="right"/>
              <w:rPr/>
            </w:pPr>
            <w:r>
              <w:rPr/>
              <w:t> </w:t>
            </w:r>
          </w:p>
        </w:tc>
        <w:tc>
          <w:tcPr>
            <w:tcW w:w="158"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919" w:type="dxa"/>
            <w:tcBorders/>
            <w:shd w:fill="auto" w:val="clear"/>
            <w:vAlign w:val="bottom"/>
          </w:tcPr>
          <w:p>
            <w:pPr>
              <w:pStyle w:val="TableContents"/>
              <w:spacing w:before="0" w:after="283"/>
              <w:jc w:val="right"/>
              <w:rPr/>
            </w:pPr>
            <w:r>
              <w:rPr/>
              <w:t> </w:t>
            </w:r>
          </w:p>
        </w:tc>
        <w:tc>
          <w:tcPr>
            <w:tcW w:w="158"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919" w:type="dxa"/>
            <w:tcBorders/>
            <w:shd w:fill="auto" w:val="clear"/>
            <w:vAlign w:val="bottom"/>
          </w:tcPr>
          <w:p>
            <w:pPr>
              <w:pStyle w:val="TableContents"/>
              <w:spacing w:before="0" w:after="283"/>
              <w:jc w:val="right"/>
              <w:rPr/>
            </w:pPr>
            <w:r>
              <w:rPr/>
              <w:t> </w:t>
            </w:r>
          </w:p>
        </w:tc>
        <w:tc>
          <w:tcPr>
            <w:tcW w:w="157"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919" w:type="dxa"/>
            <w:tcBorders/>
            <w:shd w:fill="auto" w:val="clear"/>
            <w:vAlign w:val="bottom"/>
          </w:tcPr>
          <w:p>
            <w:pPr>
              <w:pStyle w:val="TableContents"/>
              <w:spacing w:before="0" w:after="283"/>
              <w:jc w:val="right"/>
              <w:rPr/>
            </w:pPr>
            <w:r>
              <w:rPr/>
              <w:t> </w:t>
            </w:r>
          </w:p>
        </w:tc>
        <w:tc>
          <w:tcPr>
            <w:tcW w:w="169" w:type="dxa"/>
            <w:tcBorders/>
            <w:shd w:fill="auto" w:val="clear"/>
            <w:vAlign w:val="bottom"/>
          </w:tcPr>
          <w:p>
            <w:pPr>
              <w:pStyle w:val="TableContents"/>
              <w:spacing w:before="0" w:after="283"/>
              <w:rPr/>
            </w:pPr>
            <w:r>
              <w:rPr/>
              <w:t> </w:t>
            </w:r>
          </w:p>
        </w:tc>
      </w:tr>
      <w:tr>
        <w:trPr/>
        <w:tc>
          <w:tcPr>
            <w:tcW w:w="4178" w:type="dxa"/>
            <w:tcBorders/>
            <w:shd w:fill="auto" w:val="clear"/>
            <w:vAlign w:val="bottom"/>
          </w:tcPr>
          <w:p>
            <w:pPr>
              <w:pStyle w:val="TableContents"/>
              <w:spacing w:before="0" w:after="283"/>
              <w:ind w:left="140" w:right="0" w:hanging="140"/>
              <w:rPr>
                <w:rFonts w:ascii="times" w:hAnsi="times"/>
                <w:sz w:val="14"/>
              </w:rPr>
            </w:pPr>
            <w:r>
              <w:rPr>
                <w:rFonts w:ascii="times" w:hAnsi="times"/>
                <w:sz w:val="14"/>
              </w:rPr>
              <w:t>Profit attributable to GasLog's operations</w:t>
            </w:r>
            <w:r>
              <w:rPr>
                <w:rFonts w:ascii="times" w:hAnsi="times"/>
                <w:position w:val="5"/>
                <w:sz w:val="11"/>
                <w:sz w:val="14"/>
              </w:rPr>
              <w:t>(1)</w:t>
            </w:r>
          </w:p>
        </w:tc>
        <w:tc>
          <w:tcPr>
            <w:tcW w:w="157"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rFonts w:ascii="times" w:hAnsi="times"/>
                <w:sz w:val="14"/>
              </w:rPr>
            </w:pPr>
            <w:r>
              <w:rPr>
                <w:rFonts w:ascii="times" w:hAnsi="times"/>
                <w:sz w:val="14"/>
              </w:rPr>
              <w:t>$</w:t>
            </w:r>
          </w:p>
        </w:tc>
        <w:tc>
          <w:tcPr>
            <w:tcW w:w="919" w:type="dxa"/>
            <w:tcBorders/>
            <w:shd w:fill="auto" w:val="clear"/>
            <w:vAlign w:val="bottom"/>
          </w:tcPr>
          <w:p>
            <w:pPr>
              <w:pStyle w:val="TableContents"/>
              <w:spacing w:before="0" w:after="283"/>
              <w:jc w:val="right"/>
              <w:rPr>
                <w:rFonts w:ascii="times" w:hAnsi="times"/>
                <w:sz w:val="14"/>
              </w:rPr>
            </w:pPr>
            <w:r>
              <w:rPr>
                <w:rFonts w:ascii="times" w:hAnsi="times"/>
                <w:sz w:val="14"/>
              </w:rPr>
              <w:t>(29,117</w:t>
            </w:r>
          </w:p>
        </w:tc>
        <w:tc>
          <w:tcPr>
            <w:tcW w:w="158" w:type="dxa"/>
            <w:tcBorders/>
            <w:shd w:fill="auto" w:val="clear"/>
            <w:vAlign w:val="bottom"/>
          </w:tcPr>
          <w:p>
            <w:pPr>
              <w:pStyle w:val="TableContents"/>
              <w:spacing w:before="0" w:after="283"/>
              <w:rPr>
                <w:rFonts w:ascii="times" w:hAnsi="times"/>
                <w:sz w:val="14"/>
              </w:rPr>
            </w:pPr>
            <w:r>
              <w:rPr>
                <w:rFonts w:ascii="times" w:hAnsi="times"/>
                <w:sz w:val="14"/>
              </w:rPr>
              <w:t>)</w:t>
            </w:r>
          </w:p>
        </w:tc>
        <w:tc>
          <w:tcPr>
            <w:tcW w:w="95" w:type="dxa"/>
            <w:tcBorders/>
            <w:shd w:fill="auto" w:val="clear"/>
            <w:vAlign w:val="bottom"/>
          </w:tcPr>
          <w:p>
            <w:pPr>
              <w:pStyle w:val="TableContents"/>
              <w:spacing w:before="0" w:after="283"/>
              <w:rPr>
                <w:rFonts w:ascii="times" w:hAnsi="times"/>
                <w:sz w:val="14"/>
              </w:rPr>
            </w:pPr>
            <w:r>
              <w:rPr>
                <w:rFonts w:ascii="times" w:hAnsi="times"/>
                <w:sz w:val="14"/>
              </w:rPr>
              <w:t>$</w:t>
            </w:r>
          </w:p>
        </w:tc>
        <w:tc>
          <w:tcPr>
            <w:tcW w:w="919" w:type="dxa"/>
            <w:tcBorders/>
            <w:shd w:fill="auto" w:val="clear"/>
            <w:vAlign w:val="bottom"/>
          </w:tcPr>
          <w:p>
            <w:pPr>
              <w:pStyle w:val="TableContents"/>
              <w:spacing w:before="0" w:after="283"/>
              <w:jc w:val="right"/>
              <w:rPr>
                <w:rFonts w:ascii="times" w:hAnsi="times"/>
                <w:sz w:val="14"/>
              </w:rPr>
            </w:pPr>
            <w:r>
              <w:rPr>
                <w:rFonts w:ascii="times" w:hAnsi="times"/>
                <w:sz w:val="14"/>
              </w:rPr>
              <w:t>(53,981</w:t>
            </w:r>
          </w:p>
        </w:tc>
        <w:tc>
          <w:tcPr>
            <w:tcW w:w="158" w:type="dxa"/>
            <w:tcBorders/>
            <w:shd w:fill="auto" w:val="clear"/>
            <w:vAlign w:val="bottom"/>
          </w:tcPr>
          <w:p>
            <w:pPr>
              <w:pStyle w:val="TableContents"/>
              <w:spacing w:before="0" w:after="283"/>
              <w:rPr>
                <w:rFonts w:ascii="times" w:hAnsi="times"/>
                <w:sz w:val="14"/>
              </w:rPr>
            </w:pPr>
            <w:r>
              <w:rPr>
                <w:rFonts w:ascii="times" w:hAnsi="times"/>
                <w:sz w:val="14"/>
              </w:rPr>
              <w:t>)</w:t>
            </w:r>
          </w:p>
        </w:tc>
        <w:tc>
          <w:tcPr>
            <w:tcW w:w="95" w:type="dxa"/>
            <w:tcBorders/>
            <w:shd w:fill="auto" w:val="clear"/>
            <w:vAlign w:val="bottom"/>
          </w:tcPr>
          <w:p>
            <w:pPr>
              <w:pStyle w:val="TableContents"/>
              <w:spacing w:before="0" w:after="283"/>
              <w:rPr>
                <w:rFonts w:ascii="times" w:hAnsi="times"/>
                <w:sz w:val="14"/>
              </w:rPr>
            </w:pPr>
            <w:r>
              <w:rPr>
                <w:rFonts w:ascii="times" w:hAnsi="times"/>
                <w:sz w:val="14"/>
              </w:rPr>
              <w:t>$</w:t>
            </w:r>
          </w:p>
        </w:tc>
        <w:tc>
          <w:tcPr>
            <w:tcW w:w="919" w:type="dxa"/>
            <w:tcBorders/>
            <w:shd w:fill="auto" w:val="clear"/>
            <w:vAlign w:val="bottom"/>
          </w:tcPr>
          <w:p>
            <w:pPr>
              <w:pStyle w:val="TableContents"/>
              <w:spacing w:before="0" w:after="283"/>
              <w:jc w:val="right"/>
              <w:rPr>
                <w:rFonts w:ascii="times" w:hAnsi="times"/>
                <w:sz w:val="14"/>
              </w:rPr>
            </w:pPr>
            <w:r>
              <w:rPr>
                <w:rFonts w:ascii="times" w:hAnsi="times"/>
                <w:sz w:val="14"/>
              </w:rPr>
              <w:t>(25,449</w:t>
            </w:r>
          </w:p>
        </w:tc>
        <w:tc>
          <w:tcPr>
            <w:tcW w:w="158" w:type="dxa"/>
            <w:tcBorders/>
            <w:shd w:fill="auto" w:val="clear"/>
            <w:vAlign w:val="bottom"/>
          </w:tcPr>
          <w:p>
            <w:pPr>
              <w:pStyle w:val="TableContents"/>
              <w:spacing w:before="0" w:after="283"/>
              <w:rPr>
                <w:rFonts w:ascii="times" w:hAnsi="times"/>
                <w:sz w:val="14"/>
              </w:rPr>
            </w:pPr>
            <w:r>
              <w:rPr>
                <w:rFonts w:ascii="times" w:hAnsi="times"/>
                <w:sz w:val="14"/>
              </w:rPr>
              <w:t>)</w:t>
            </w:r>
          </w:p>
        </w:tc>
        <w:tc>
          <w:tcPr>
            <w:tcW w:w="95" w:type="dxa"/>
            <w:tcBorders/>
            <w:shd w:fill="auto" w:val="clear"/>
            <w:vAlign w:val="bottom"/>
          </w:tcPr>
          <w:p>
            <w:pPr>
              <w:pStyle w:val="TableContents"/>
              <w:spacing w:before="0" w:after="283"/>
              <w:rPr>
                <w:rFonts w:ascii="times" w:hAnsi="times"/>
                <w:sz w:val="14"/>
              </w:rPr>
            </w:pPr>
            <w:r>
              <w:rPr>
                <w:rFonts w:ascii="times" w:hAnsi="times"/>
                <w:sz w:val="14"/>
              </w:rPr>
              <w:t>$</w:t>
            </w:r>
          </w:p>
        </w:tc>
        <w:tc>
          <w:tcPr>
            <w:tcW w:w="919" w:type="dxa"/>
            <w:tcBorders/>
            <w:shd w:fill="auto" w:val="clear"/>
            <w:vAlign w:val="bottom"/>
          </w:tcPr>
          <w:p>
            <w:pPr>
              <w:pStyle w:val="TableContents"/>
              <w:spacing w:before="0" w:after="283"/>
              <w:jc w:val="right"/>
              <w:rPr>
                <w:rFonts w:ascii="times" w:hAnsi="times"/>
                <w:sz w:val="14"/>
              </w:rPr>
            </w:pPr>
            <w:r>
              <w:rPr>
                <w:rFonts w:ascii="times" w:hAnsi="times"/>
                <w:sz w:val="14"/>
              </w:rPr>
              <w:t>(2,650</w:t>
            </w:r>
          </w:p>
        </w:tc>
        <w:tc>
          <w:tcPr>
            <w:tcW w:w="157" w:type="dxa"/>
            <w:tcBorders/>
            <w:shd w:fill="auto" w:val="clear"/>
            <w:vAlign w:val="bottom"/>
          </w:tcPr>
          <w:p>
            <w:pPr>
              <w:pStyle w:val="TableContents"/>
              <w:spacing w:before="0" w:after="283"/>
              <w:rPr>
                <w:rFonts w:ascii="times" w:hAnsi="times"/>
                <w:sz w:val="14"/>
              </w:rPr>
            </w:pPr>
            <w:r>
              <w:rPr>
                <w:rFonts w:ascii="times" w:hAnsi="times"/>
                <w:sz w:val="14"/>
              </w:rPr>
              <w:t>)</w:t>
            </w:r>
          </w:p>
        </w:tc>
        <w:tc>
          <w:tcPr>
            <w:tcW w:w="95" w:type="dxa"/>
            <w:tcBorders/>
            <w:shd w:fill="auto" w:val="clear"/>
            <w:vAlign w:val="bottom"/>
          </w:tcPr>
          <w:p>
            <w:pPr>
              <w:pStyle w:val="TableContents"/>
              <w:spacing w:before="0" w:after="283"/>
              <w:rPr/>
            </w:pPr>
            <w:r>
              <w:rPr/>
              <w:t> </w:t>
            </w:r>
          </w:p>
        </w:tc>
        <w:tc>
          <w:tcPr>
            <w:tcW w:w="919" w:type="dxa"/>
            <w:tcBorders/>
            <w:shd w:fill="auto" w:val="clear"/>
            <w:vAlign w:val="bottom"/>
          </w:tcPr>
          <w:p>
            <w:pPr>
              <w:pStyle w:val="TableContents"/>
              <w:spacing w:before="0" w:after="283"/>
              <w:jc w:val="right"/>
              <w:rPr>
                <w:rFonts w:ascii="times" w:hAnsi="times"/>
                <w:sz w:val="14"/>
              </w:rPr>
            </w:pPr>
            <w:r>
              <w:rPr>
                <w:rFonts w:ascii="times" w:hAnsi="times"/>
                <w:sz w:val="14"/>
              </w:rPr>
              <w:t xml:space="preserve"> </w:t>
            </w:r>
          </w:p>
        </w:tc>
        <w:tc>
          <w:tcPr>
            <w:tcW w:w="169" w:type="dxa"/>
            <w:tcBorders/>
            <w:shd w:fill="auto" w:val="clear"/>
            <w:vAlign w:val="bottom"/>
          </w:tcPr>
          <w:p>
            <w:pPr>
              <w:pStyle w:val="TableContents"/>
              <w:spacing w:before="0" w:after="283"/>
              <w:rPr/>
            </w:pPr>
            <w:r>
              <w:rPr/>
              <w:t> </w:t>
            </w:r>
          </w:p>
        </w:tc>
      </w:tr>
      <w:tr>
        <w:trPr/>
        <w:tc>
          <w:tcPr>
            <w:tcW w:w="4178" w:type="dxa"/>
            <w:tcBorders/>
            <w:shd w:fill="FFFFFF" w:val="clear"/>
            <w:vAlign w:val="bottom"/>
          </w:tcPr>
          <w:p>
            <w:pPr>
              <w:pStyle w:val="TableContents"/>
              <w:spacing w:before="0" w:after="283"/>
              <w:rPr/>
            </w:pPr>
            <w:r>
              <w:rPr/>
              <w:t>​</w:t>
            </w:r>
          </w:p>
        </w:tc>
        <w:tc>
          <w:tcPr>
            <w:tcW w:w="157" w:type="dxa"/>
            <w:tcBorders/>
            <w:shd w:fill="FFFFFF" w:val="clear"/>
            <w:vAlign w:val="bottom"/>
          </w:tcPr>
          <w:p>
            <w:pPr>
              <w:pStyle w:val="TableContents"/>
              <w:spacing w:before="0" w:after="283"/>
              <w:rPr/>
            </w:pPr>
            <w:r>
              <w:rPr/>
              <w:t>​</w:t>
            </w:r>
          </w:p>
        </w:tc>
        <w:tc>
          <w:tcPr>
            <w:tcW w:w="95" w:type="dxa"/>
            <w:tcBorders>
              <w:bottom w:val="single" w:sz="8" w:space="0" w:color="000000"/>
            </w:tcBorders>
            <w:shd w:fill="FFFFFF" w:val="clear"/>
            <w:tcMar>
              <w:bottom w:w="28" w:type="dxa"/>
            </w:tcMar>
            <w:vAlign w:val="bottom"/>
          </w:tcPr>
          <w:p>
            <w:pPr>
              <w:pStyle w:val="TableContents"/>
              <w:spacing w:before="0" w:after="283"/>
              <w:rPr/>
            </w:pPr>
            <w:r>
              <w:rPr/>
              <w:t xml:space="preserve">​ </w:t>
            </w:r>
          </w:p>
        </w:tc>
        <w:tc>
          <w:tcPr>
            <w:tcW w:w="919" w:type="dxa"/>
            <w:tcBorders>
              <w:bottom w:val="single" w:sz="8" w:space="0" w:color="000000"/>
            </w:tcBorders>
            <w:shd w:fill="FFFFFF" w:val="clear"/>
            <w:tcMar>
              <w:bottom w:w="28" w:type="dxa"/>
            </w:tcMar>
            <w:vAlign w:val="bottom"/>
          </w:tcPr>
          <w:p>
            <w:pPr>
              <w:pStyle w:val="TableContents"/>
              <w:spacing w:before="0" w:after="283"/>
              <w:jc w:val="right"/>
              <w:rPr/>
            </w:pPr>
            <w:r>
              <w:rPr/>
              <w:t xml:space="preserve">​ </w:t>
            </w:r>
          </w:p>
        </w:tc>
        <w:tc>
          <w:tcPr>
            <w:tcW w:w="158" w:type="dxa"/>
            <w:tcBorders/>
            <w:shd w:fill="FFFFFF" w:val="clear"/>
            <w:vAlign w:val="bottom"/>
          </w:tcPr>
          <w:p>
            <w:pPr>
              <w:pStyle w:val="TableContents"/>
              <w:spacing w:before="0" w:after="283"/>
              <w:rPr/>
            </w:pPr>
            <w:r>
              <w:rPr/>
              <w:t>​</w:t>
            </w:r>
          </w:p>
        </w:tc>
        <w:tc>
          <w:tcPr>
            <w:tcW w:w="95" w:type="dxa"/>
            <w:tcBorders>
              <w:bottom w:val="single" w:sz="8" w:space="0" w:color="000000"/>
            </w:tcBorders>
            <w:shd w:fill="FFFFFF" w:val="clear"/>
            <w:tcMar>
              <w:bottom w:w="28" w:type="dxa"/>
            </w:tcMar>
            <w:vAlign w:val="bottom"/>
          </w:tcPr>
          <w:p>
            <w:pPr>
              <w:pStyle w:val="TableContents"/>
              <w:spacing w:before="0" w:after="283"/>
              <w:rPr/>
            </w:pPr>
            <w:r>
              <w:rPr/>
              <w:t xml:space="preserve">​ </w:t>
            </w:r>
          </w:p>
        </w:tc>
        <w:tc>
          <w:tcPr>
            <w:tcW w:w="919" w:type="dxa"/>
            <w:tcBorders>
              <w:bottom w:val="single" w:sz="8" w:space="0" w:color="000000"/>
            </w:tcBorders>
            <w:shd w:fill="FFFFFF" w:val="clear"/>
            <w:tcMar>
              <w:bottom w:w="28" w:type="dxa"/>
            </w:tcMar>
            <w:vAlign w:val="bottom"/>
          </w:tcPr>
          <w:p>
            <w:pPr>
              <w:pStyle w:val="TableContents"/>
              <w:spacing w:before="0" w:after="283"/>
              <w:jc w:val="right"/>
              <w:rPr/>
            </w:pPr>
            <w:r>
              <w:rPr/>
              <w:t xml:space="preserve">​ </w:t>
            </w:r>
          </w:p>
        </w:tc>
        <w:tc>
          <w:tcPr>
            <w:tcW w:w="158" w:type="dxa"/>
            <w:tcBorders/>
            <w:shd w:fill="FFFFFF" w:val="clear"/>
            <w:vAlign w:val="bottom"/>
          </w:tcPr>
          <w:p>
            <w:pPr>
              <w:pStyle w:val="TableContents"/>
              <w:spacing w:before="0" w:after="283"/>
              <w:rPr/>
            </w:pPr>
            <w:r>
              <w:rPr/>
              <w:t>​</w:t>
            </w:r>
          </w:p>
        </w:tc>
        <w:tc>
          <w:tcPr>
            <w:tcW w:w="95" w:type="dxa"/>
            <w:tcBorders>
              <w:bottom w:val="single" w:sz="8" w:space="0" w:color="000000"/>
            </w:tcBorders>
            <w:shd w:fill="FFFFFF" w:val="clear"/>
            <w:tcMar>
              <w:bottom w:w="28" w:type="dxa"/>
            </w:tcMar>
            <w:vAlign w:val="bottom"/>
          </w:tcPr>
          <w:p>
            <w:pPr>
              <w:pStyle w:val="TableContents"/>
              <w:spacing w:before="0" w:after="283"/>
              <w:rPr/>
            </w:pPr>
            <w:r>
              <w:rPr/>
              <w:t xml:space="preserve">​ </w:t>
            </w:r>
          </w:p>
        </w:tc>
        <w:tc>
          <w:tcPr>
            <w:tcW w:w="919" w:type="dxa"/>
            <w:tcBorders>
              <w:bottom w:val="single" w:sz="8" w:space="0" w:color="000000"/>
            </w:tcBorders>
            <w:shd w:fill="FFFFFF" w:val="clear"/>
            <w:tcMar>
              <w:bottom w:w="28" w:type="dxa"/>
            </w:tcMar>
            <w:vAlign w:val="bottom"/>
          </w:tcPr>
          <w:p>
            <w:pPr>
              <w:pStyle w:val="TableContents"/>
              <w:spacing w:before="0" w:after="283"/>
              <w:jc w:val="right"/>
              <w:rPr/>
            </w:pPr>
            <w:r>
              <w:rPr/>
              <w:t xml:space="preserve">​ </w:t>
            </w:r>
          </w:p>
        </w:tc>
        <w:tc>
          <w:tcPr>
            <w:tcW w:w="158" w:type="dxa"/>
            <w:tcBorders/>
            <w:shd w:fill="FFFFFF" w:val="clear"/>
            <w:vAlign w:val="bottom"/>
          </w:tcPr>
          <w:p>
            <w:pPr>
              <w:pStyle w:val="TableContents"/>
              <w:spacing w:before="0" w:after="283"/>
              <w:rPr/>
            </w:pPr>
            <w:r>
              <w:rPr/>
              <w:t>​</w:t>
            </w:r>
          </w:p>
        </w:tc>
        <w:tc>
          <w:tcPr>
            <w:tcW w:w="95" w:type="dxa"/>
            <w:tcBorders>
              <w:bottom w:val="single" w:sz="8" w:space="0" w:color="000000"/>
            </w:tcBorders>
            <w:shd w:fill="FFFFFF" w:val="clear"/>
            <w:tcMar>
              <w:bottom w:w="28" w:type="dxa"/>
            </w:tcMar>
            <w:vAlign w:val="bottom"/>
          </w:tcPr>
          <w:p>
            <w:pPr>
              <w:pStyle w:val="TableContents"/>
              <w:spacing w:before="0" w:after="283"/>
              <w:rPr/>
            </w:pPr>
            <w:r>
              <w:rPr/>
              <w:t xml:space="preserve">​ </w:t>
            </w:r>
          </w:p>
        </w:tc>
        <w:tc>
          <w:tcPr>
            <w:tcW w:w="919" w:type="dxa"/>
            <w:tcBorders>
              <w:bottom w:val="single" w:sz="8" w:space="0" w:color="000000"/>
            </w:tcBorders>
            <w:shd w:fill="FFFFFF" w:val="clear"/>
            <w:tcMar>
              <w:bottom w:w="28" w:type="dxa"/>
            </w:tcMar>
            <w:vAlign w:val="bottom"/>
          </w:tcPr>
          <w:p>
            <w:pPr>
              <w:pStyle w:val="TableContents"/>
              <w:spacing w:before="0" w:after="283"/>
              <w:jc w:val="right"/>
              <w:rPr/>
            </w:pPr>
            <w:r>
              <w:rPr/>
              <w:t xml:space="preserve">​ </w:t>
            </w:r>
          </w:p>
        </w:tc>
        <w:tc>
          <w:tcPr>
            <w:tcW w:w="157" w:type="dxa"/>
            <w:tcBorders/>
            <w:shd w:fill="FFFFFF" w:val="clear"/>
            <w:vAlign w:val="bottom"/>
          </w:tcPr>
          <w:p>
            <w:pPr>
              <w:pStyle w:val="TableContents"/>
              <w:spacing w:before="0" w:after="283"/>
              <w:rPr/>
            </w:pPr>
            <w:r>
              <w:rPr/>
              <w:t>​</w:t>
            </w:r>
          </w:p>
        </w:tc>
        <w:tc>
          <w:tcPr>
            <w:tcW w:w="95" w:type="dxa"/>
            <w:tcBorders>
              <w:bottom w:val="single" w:sz="8" w:space="0" w:color="000000"/>
            </w:tcBorders>
            <w:shd w:fill="FFFFFF" w:val="clear"/>
            <w:tcMar>
              <w:bottom w:w="28" w:type="dxa"/>
            </w:tcMar>
            <w:vAlign w:val="bottom"/>
          </w:tcPr>
          <w:p>
            <w:pPr>
              <w:pStyle w:val="TableContents"/>
              <w:spacing w:before="0" w:after="283"/>
              <w:rPr/>
            </w:pPr>
            <w:r>
              <w:rPr/>
              <w:t xml:space="preserve">​ </w:t>
            </w:r>
          </w:p>
        </w:tc>
        <w:tc>
          <w:tcPr>
            <w:tcW w:w="919" w:type="dxa"/>
            <w:tcBorders>
              <w:bottom w:val="single" w:sz="8" w:space="0" w:color="000000"/>
            </w:tcBorders>
            <w:shd w:fill="FFFFFF" w:val="clear"/>
            <w:tcMar>
              <w:bottom w:w="28" w:type="dxa"/>
            </w:tcMar>
            <w:vAlign w:val="bottom"/>
          </w:tcPr>
          <w:p>
            <w:pPr>
              <w:pStyle w:val="TableContents"/>
              <w:spacing w:before="0" w:after="283"/>
              <w:jc w:val="right"/>
              <w:rPr/>
            </w:pPr>
            <w:r>
              <w:rPr/>
              <w:t xml:space="preserve">​ </w:t>
            </w:r>
          </w:p>
        </w:tc>
        <w:tc>
          <w:tcPr>
            <w:tcW w:w="169" w:type="dxa"/>
            <w:tcBorders/>
            <w:shd w:fill="FFFFFF" w:val="clear"/>
            <w:vAlign w:val="bottom"/>
          </w:tcPr>
          <w:p>
            <w:pPr>
              <w:pStyle w:val="TableContents"/>
              <w:spacing w:before="0" w:after="283"/>
              <w:rPr/>
            </w:pPr>
            <w:r>
              <w:rPr/>
              <w:t>​</w:t>
            </w:r>
          </w:p>
        </w:tc>
      </w:tr>
      <w:tr>
        <w:trPr/>
        <w:tc>
          <w:tcPr>
            <w:tcW w:w="4178" w:type="dxa"/>
            <w:tcBorders/>
            <w:shd w:fill="auto" w:val="clear"/>
            <w:vAlign w:val="bottom"/>
          </w:tcPr>
          <w:p>
            <w:pPr>
              <w:pStyle w:val="TableContents"/>
              <w:spacing w:before="0" w:after="283"/>
              <w:ind w:left="140" w:right="0" w:hanging="140"/>
              <w:rPr>
                <w:rFonts w:ascii="times" w:hAnsi="times"/>
                <w:b/>
                <w:sz w:val="14"/>
              </w:rPr>
            </w:pPr>
            <w:r>
              <w:rPr>
                <w:rFonts w:ascii="times" w:hAnsi="times"/>
                <w:b/>
                <w:sz w:val="14"/>
              </w:rPr>
              <w:t>Partnership's profit/(loss)</w:t>
            </w:r>
            <w:r>
              <w:rPr>
                <w:rFonts w:ascii="times" w:hAnsi="times"/>
                <w:b/>
                <w:position w:val="5"/>
                <w:sz w:val="11"/>
                <w:sz w:val="14"/>
              </w:rPr>
              <w:t>(1)</w:t>
            </w:r>
          </w:p>
        </w:tc>
        <w:tc>
          <w:tcPr>
            <w:tcW w:w="157"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rFonts w:ascii="times" w:hAnsi="times"/>
                <w:b/>
                <w:sz w:val="14"/>
              </w:rPr>
            </w:pPr>
            <w:r>
              <w:rPr>
                <w:rFonts w:ascii="times" w:hAnsi="times"/>
                <w:b/>
                <w:sz w:val="14"/>
              </w:rPr>
              <w:t>$</w:t>
            </w:r>
          </w:p>
        </w:tc>
        <w:tc>
          <w:tcPr>
            <w:tcW w:w="919" w:type="dxa"/>
            <w:tcBorders/>
            <w:shd w:fill="auto" w:val="clear"/>
            <w:vAlign w:val="bottom"/>
          </w:tcPr>
          <w:p>
            <w:pPr>
              <w:pStyle w:val="TableContents"/>
              <w:spacing w:before="0" w:after="283"/>
              <w:jc w:val="right"/>
              <w:rPr>
                <w:rFonts w:ascii="times" w:hAnsi="times"/>
                <w:b/>
                <w:sz w:val="14"/>
              </w:rPr>
            </w:pPr>
            <w:r>
              <w:rPr>
                <w:rFonts w:ascii="times" w:hAnsi="times"/>
                <w:b/>
                <w:sz w:val="14"/>
              </w:rPr>
              <w:t>77,270</w:t>
            </w:r>
          </w:p>
        </w:tc>
        <w:tc>
          <w:tcPr>
            <w:tcW w:w="158"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rFonts w:ascii="times" w:hAnsi="times"/>
                <w:b/>
                <w:sz w:val="14"/>
              </w:rPr>
            </w:pPr>
            <w:r>
              <w:rPr>
                <w:rFonts w:ascii="times" w:hAnsi="times"/>
                <w:b/>
                <w:sz w:val="14"/>
              </w:rPr>
              <w:t>$</w:t>
            </w:r>
          </w:p>
        </w:tc>
        <w:tc>
          <w:tcPr>
            <w:tcW w:w="919" w:type="dxa"/>
            <w:tcBorders/>
            <w:shd w:fill="auto" w:val="clear"/>
            <w:vAlign w:val="bottom"/>
          </w:tcPr>
          <w:p>
            <w:pPr>
              <w:pStyle w:val="TableContents"/>
              <w:spacing w:before="0" w:after="283"/>
              <w:jc w:val="right"/>
              <w:rPr>
                <w:rFonts w:ascii="times" w:hAnsi="times"/>
                <w:b/>
                <w:sz w:val="14"/>
              </w:rPr>
            </w:pPr>
            <w:r>
              <w:rPr>
                <w:rFonts w:ascii="times" w:hAnsi="times"/>
                <w:b/>
                <w:sz w:val="14"/>
              </w:rPr>
              <w:t>94,117</w:t>
            </w:r>
          </w:p>
        </w:tc>
        <w:tc>
          <w:tcPr>
            <w:tcW w:w="158"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rFonts w:ascii="times" w:hAnsi="times"/>
                <w:b/>
                <w:sz w:val="14"/>
              </w:rPr>
            </w:pPr>
            <w:r>
              <w:rPr>
                <w:rFonts w:ascii="times" w:hAnsi="times"/>
                <w:b/>
                <w:sz w:val="14"/>
              </w:rPr>
              <w:t>$</w:t>
            </w:r>
          </w:p>
        </w:tc>
        <w:tc>
          <w:tcPr>
            <w:tcW w:w="919" w:type="dxa"/>
            <w:tcBorders/>
            <w:shd w:fill="auto" w:val="clear"/>
            <w:vAlign w:val="bottom"/>
          </w:tcPr>
          <w:p>
            <w:pPr>
              <w:pStyle w:val="TableContents"/>
              <w:spacing w:before="0" w:after="283"/>
              <w:jc w:val="right"/>
              <w:rPr>
                <w:rFonts w:ascii="times" w:hAnsi="times"/>
                <w:b/>
                <w:sz w:val="14"/>
              </w:rPr>
            </w:pPr>
            <w:r>
              <w:rPr>
                <w:rFonts w:ascii="times" w:hAnsi="times"/>
                <w:b/>
                <w:sz w:val="14"/>
              </w:rPr>
              <w:t>102,597</w:t>
            </w:r>
          </w:p>
        </w:tc>
        <w:tc>
          <w:tcPr>
            <w:tcW w:w="158"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rFonts w:ascii="times" w:hAnsi="times"/>
                <w:b/>
                <w:sz w:val="14"/>
              </w:rPr>
            </w:pPr>
            <w:r>
              <w:rPr>
                <w:rFonts w:ascii="times" w:hAnsi="times"/>
                <w:b/>
                <w:sz w:val="14"/>
              </w:rPr>
              <w:t>$</w:t>
            </w:r>
          </w:p>
        </w:tc>
        <w:tc>
          <w:tcPr>
            <w:tcW w:w="919" w:type="dxa"/>
            <w:tcBorders/>
            <w:shd w:fill="auto" w:val="clear"/>
            <w:vAlign w:val="bottom"/>
          </w:tcPr>
          <w:p>
            <w:pPr>
              <w:pStyle w:val="TableContents"/>
              <w:spacing w:before="0" w:after="283"/>
              <w:jc w:val="right"/>
              <w:rPr>
                <w:rFonts w:ascii="times" w:hAnsi="times"/>
                <w:b/>
                <w:sz w:val="14"/>
              </w:rPr>
            </w:pPr>
            <w:r>
              <w:rPr>
                <w:rFonts w:ascii="times" w:hAnsi="times"/>
                <w:b/>
                <w:sz w:val="14"/>
              </w:rPr>
              <w:t>(37,419</w:t>
            </w:r>
          </w:p>
        </w:tc>
        <w:tc>
          <w:tcPr>
            <w:tcW w:w="157" w:type="dxa"/>
            <w:tcBorders/>
            <w:shd w:fill="auto" w:val="clear"/>
            <w:vAlign w:val="bottom"/>
          </w:tcPr>
          <w:p>
            <w:pPr>
              <w:pStyle w:val="TableContents"/>
              <w:spacing w:before="0" w:after="283"/>
              <w:rPr>
                <w:rFonts w:ascii="times" w:hAnsi="times"/>
                <w:b/>
                <w:sz w:val="14"/>
              </w:rPr>
            </w:pPr>
            <w:r>
              <w:rPr>
                <w:rFonts w:ascii="times" w:hAnsi="times"/>
                <w:b/>
                <w:sz w:val="14"/>
              </w:rPr>
              <w:t>)</w:t>
            </w:r>
          </w:p>
        </w:tc>
        <w:tc>
          <w:tcPr>
            <w:tcW w:w="95" w:type="dxa"/>
            <w:tcBorders/>
            <w:shd w:fill="auto" w:val="clear"/>
            <w:vAlign w:val="bottom"/>
          </w:tcPr>
          <w:p>
            <w:pPr>
              <w:pStyle w:val="TableContents"/>
              <w:spacing w:before="0" w:after="283"/>
              <w:rPr>
                <w:rFonts w:ascii="times" w:hAnsi="times"/>
                <w:b/>
                <w:sz w:val="14"/>
              </w:rPr>
            </w:pPr>
            <w:r>
              <w:rPr>
                <w:rFonts w:ascii="times" w:hAnsi="times"/>
                <w:b/>
                <w:sz w:val="14"/>
              </w:rPr>
              <w:t>$</w:t>
            </w:r>
          </w:p>
        </w:tc>
        <w:tc>
          <w:tcPr>
            <w:tcW w:w="919" w:type="dxa"/>
            <w:tcBorders/>
            <w:shd w:fill="auto" w:val="clear"/>
            <w:vAlign w:val="bottom"/>
          </w:tcPr>
          <w:p>
            <w:pPr>
              <w:pStyle w:val="TableContents"/>
              <w:spacing w:before="0" w:after="283"/>
              <w:jc w:val="right"/>
              <w:rPr>
                <w:rFonts w:ascii="times" w:hAnsi="times"/>
                <w:b/>
                <w:sz w:val="14"/>
              </w:rPr>
            </w:pPr>
            <w:r>
              <w:rPr>
                <w:rFonts w:ascii="times" w:hAnsi="times"/>
                <w:b/>
                <w:sz w:val="14"/>
              </w:rPr>
              <w:t>56,859</w:t>
            </w:r>
          </w:p>
        </w:tc>
        <w:tc>
          <w:tcPr>
            <w:tcW w:w="169" w:type="dxa"/>
            <w:tcBorders/>
            <w:shd w:fill="auto" w:val="clear"/>
            <w:vAlign w:val="bottom"/>
          </w:tcPr>
          <w:p>
            <w:pPr>
              <w:pStyle w:val="TableContents"/>
              <w:spacing w:before="0" w:after="283"/>
              <w:rPr/>
            </w:pPr>
            <w:r>
              <w:rPr/>
              <w:t> </w:t>
            </w:r>
          </w:p>
        </w:tc>
      </w:tr>
      <w:tr>
        <w:trPr/>
        <w:tc>
          <w:tcPr>
            <w:tcW w:w="4178" w:type="dxa"/>
            <w:tcBorders/>
            <w:shd w:fill="FFFFFF" w:val="clear"/>
            <w:vAlign w:val="bottom"/>
          </w:tcPr>
          <w:p>
            <w:pPr>
              <w:pStyle w:val="TableContents"/>
              <w:spacing w:before="0" w:after="283"/>
              <w:rPr/>
            </w:pPr>
            <w:r>
              <w:rPr/>
              <w:t>​</w:t>
            </w:r>
          </w:p>
        </w:tc>
        <w:tc>
          <w:tcPr>
            <w:tcW w:w="157" w:type="dxa"/>
            <w:tcBorders/>
            <w:shd w:fill="FFFFFF" w:val="clear"/>
            <w:vAlign w:val="bottom"/>
          </w:tcPr>
          <w:p>
            <w:pPr>
              <w:pStyle w:val="TableContents"/>
              <w:spacing w:before="0" w:after="283"/>
              <w:rPr/>
            </w:pPr>
            <w:r>
              <w:rPr/>
              <w:t>​</w:t>
            </w:r>
          </w:p>
        </w:tc>
        <w:tc>
          <w:tcPr>
            <w:tcW w:w="95" w:type="dxa"/>
            <w:tcBorders>
              <w:bottom w:val="single" w:sz="8" w:space="0" w:color="000000"/>
            </w:tcBorders>
            <w:shd w:fill="FFFFFF" w:val="clear"/>
            <w:tcMar>
              <w:bottom w:w="28" w:type="dxa"/>
            </w:tcMar>
            <w:vAlign w:val="bottom"/>
          </w:tcPr>
          <w:p>
            <w:pPr>
              <w:pStyle w:val="TableContents"/>
              <w:spacing w:before="0" w:after="283"/>
              <w:rPr/>
            </w:pPr>
            <w:r>
              <w:rPr/>
              <w:t xml:space="preserve">​ </w:t>
            </w:r>
          </w:p>
        </w:tc>
        <w:tc>
          <w:tcPr>
            <w:tcW w:w="919" w:type="dxa"/>
            <w:tcBorders>
              <w:bottom w:val="single" w:sz="8" w:space="0" w:color="000000"/>
            </w:tcBorders>
            <w:shd w:fill="FFFFFF" w:val="clear"/>
            <w:tcMar>
              <w:bottom w:w="28" w:type="dxa"/>
            </w:tcMar>
            <w:vAlign w:val="bottom"/>
          </w:tcPr>
          <w:p>
            <w:pPr>
              <w:pStyle w:val="TableContents"/>
              <w:spacing w:before="0" w:after="283"/>
              <w:jc w:val="right"/>
              <w:rPr/>
            </w:pPr>
            <w:r>
              <w:rPr/>
              <w:t xml:space="preserve">​ </w:t>
            </w:r>
          </w:p>
        </w:tc>
        <w:tc>
          <w:tcPr>
            <w:tcW w:w="158" w:type="dxa"/>
            <w:tcBorders/>
            <w:shd w:fill="FFFFFF" w:val="clear"/>
            <w:vAlign w:val="bottom"/>
          </w:tcPr>
          <w:p>
            <w:pPr>
              <w:pStyle w:val="TableContents"/>
              <w:spacing w:before="0" w:after="283"/>
              <w:rPr/>
            </w:pPr>
            <w:r>
              <w:rPr/>
              <w:t>​</w:t>
            </w:r>
          </w:p>
        </w:tc>
        <w:tc>
          <w:tcPr>
            <w:tcW w:w="95" w:type="dxa"/>
            <w:tcBorders>
              <w:bottom w:val="single" w:sz="8" w:space="0" w:color="000000"/>
            </w:tcBorders>
            <w:shd w:fill="FFFFFF" w:val="clear"/>
            <w:tcMar>
              <w:bottom w:w="28" w:type="dxa"/>
            </w:tcMar>
            <w:vAlign w:val="bottom"/>
          </w:tcPr>
          <w:p>
            <w:pPr>
              <w:pStyle w:val="TableContents"/>
              <w:spacing w:before="0" w:after="283"/>
              <w:rPr/>
            </w:pPr>
            <w:r>
              <w:rPr/>
              <w:t xml:space="preserve">​ </w:t>
            </w:r>
          </w:p>
        </w:tc>
        <w:tc>
          <w:tcPr>
            <w:tcW w:w="919" w:type="dxa"/>
            <w:tcBorders>
              <w:bottom w:val="single" w:sz="8" w:space="0" w:color="000000"/>
            </w:tcBorders>
            <w:shd w:fill="FFFFFF" w:val="clear"/>
            <w:tcMar>
              <w:bottom w:w="28" w:type="dxa"/>
            </w:tcMar>
            <w:vAlign w:val="bottom"/>
          </w:tcPr>
          <w:p>
            <w:pPr>
              <w:pStyle w:val="TableContents"/>
              <w:spacing w:before="0" w:after="283"/>
              <w:jc w:val="right"/>
              <w:rPr/>
            </w:pPr>
            <w:r>
              <w:rPr/>
              <w:t xml:space="preserve">​ </w:t>
            </w:r>
          </w:p>
        </w:tc>
        <w:tc>
          <w:tcPr>
            <w:tcW w:w="158" w:type="dxa"/>
            <w:tcBorders/>
            <w:shd w:fill="FFFFFF" w:val="clear"/>
            <w:vAlign w:val="bottom"/>
          </w:tcPr>
          <w:p>
            <w:pPr>
              <w:pStyle w:val="TableContents"/>
              <w:spacing w:before="0" w:after="283"/>
              <w:rPr/>
            </w:pPr>
            <w:r>
              <w:rPr/>
              <w:t>​</w:t>
            </w:r>
          </w:p>
        </w:tc>
        <w:tc>
          <w:tcPr>
            <w:tcW w:w="95" w:type="dxa"/>
            <w:tcBorders>
              <w:bottom w:val="single" w:sz="8" w:space="0" w:color="000000"/>
            </w:tcBorders>
            <w:shd w:fill="FFFFFF" w:val="clear"/>
            <w:tcMar>
              <w:bottom w:w="28" w:type="dxa"/>
            </w:tcMar>
            <w:vAlign w:val="bottom"/>
          </w:tcPr>
          <w:p>
            <w:pPr>
              <w:pStyle w:val="TableContents"/>
              <w:spacing w:before="0" w:after="283"/>
              <w:rPr/>
            </w:pPr>
            <w:r>
              <w:rPr/>
              <w:t xml:space="preserve">​ </w:t>
            </w:r>
          </w:p>
        </w:tc>
        <w:tc>
          <w:tcPr>
            <w:tcW w:w="919" w:type="dxa"/>
            <w:tcBorders>
              <w:bottom w:val="single" w:sz="8" w:space="0" w:color="000000"/>
            </w:tcBorders>
            <w:shd w:fill="FFFFFF" w:val="clear"/>
            <w:tcMar>
              <w:bottom w:w="28" w:type="dxa"/>
            </w:tcMar>
            <w:vAlign w:val="bottom"/>
          </w:tcPr>
          <w:p>
            <w:pPr>
              <w:pStyle w:val="TableContents"/>
              <w:spacing w:before="0" w:after="283"/>
              <w:jc w:val="right"/>
              <w:rPr/>
            </w:pPr>
            <w:r>
              <w:rPr/>
              <w:t xml:space="preserve">​ </w:t>
            </w:r>
          </w:p>
        </w:tc>
        <w:tc>
          <w:tcPr>
            <w:tcW w:w="158" w:type="dxa"/>
            <w:tcBorders/>
            <w:shd w:fill="FFFFFF" w:val="clear"/>
            <w:vAlign w:val="bottom"/>
          </w:tcPr>
          <w:p>
            <w:pPr>
              <w:pStyle w:val="TableContents"/>
              <w:spacing w:before="0" w:after="283"/>
              <w:rPr/>
            </w:pPr>
            <w:r>
              <w:rPr/>
              <w:t>​</w:t>
            </w:r>
          </w:p>
        </w:tc>
        <w:tc>
          <w:tcPr>
            <w:tcW w:w="95" w:type="dxa"/>
            <w:tcBorders>
              <w:bottom w:val="single" w:sz="8" w:space="0" w:color="000000"/>
            </w:tcBorders>
            <w:shd w:fill="FFFFFF" w:val="clear"/>
            <w:tcMar>
              <w:bottom w:w="28" w:type="dxa"/>
            </w:tcMar>
            <w:vAlign w:val="bottom"/>
          </w:tcPr>
          <w:p>
            <w:pPr>
              <w:pStyle w:val="TableContents"/>
              <w:spacing w:before="0" w:after="283"/>
              <w:rPr/>
            </w:pPr>
            <w:r>
              <w:rPr/>
              <w:t xml:space="preserve">​ </w:t>
            </w:r>
          </w:p>
        </w:tc>
        <w:tc>
          <w:tcPr>
            <w:tcW w:w="919" w:type="dxa"/>
            <w:tcBorders>
              <w:bottom w:val="single" w:sz="8" w:space="0" w:color="000000"/>
            </w:tcBorders>
            <w:shd w:fill="FFFFFF" w:val="clear"/>
            <w:tcMar>
              <w:bottom w:w="28" w:type="dxa"/>
            </w:tcMar>
            <w:vAlign w:val="bottom"/>
          </w:tcPr>
          <w:p>
            <w:pPr>
              <w:pStyle w:val="TableContents"/>
              <w:spacing w:before="0" w:after="283"/>
              <w:jc w:val="right"/>
              <w:rPr/>
            </w:pPr>
            <w:r>
              <w:rPr/>
              <w:t xml:space="preserve">​ </w:t>
            </w:r>
          </w:p>
        </w:tc>
        <w:tc>
          <w:tcPr>
            <w:tcW w:w="157" w:type="dxa"/>
            <w:tcBorders/>
            <w:shd w:fill="FFFFFF" w:val="clear"/>
            <w:vAlign w:val="bottom"/>
          </w:tcPr>
          <w:p>
            <w:pPr>
              <w:pStyle w:val="TableContents"/>
              <w:spacing w:before="0" w:after="283"/>
              <w:rPr/>
            </w:pPr>
            <w:r>
              <w:rPr/>
              <w:t>​</w:t>
            </w:r>
          </w:p>
        </w:tc>
        <w:tc>
          <w:tcPr>
            <w:tcW w:w="95" w:type="dxa"/>
            <w:tcBorders>
              <w:bottom w:val="single" w:sz="8" w:space="0" w:color="000000"/>
            </w:tcBorders>
            <w:shd w:fill="FFFFFF" w:val="clear"/>
            <w:tcMar>
              <w:bottom w:w="28" w:type="dxa"/>
            </w:tcMar>
            <w:vAlign w:val="bottom"/>
          </w:tcPr>
          <w:p>
            <w:pPr>
              <w:pStyle w:val="TableContents"/>
              <w:spacing w:before="0" w:after="283"/>
              <w:rPr/>
            </w:pPr>
            <w:r>
              <w:rPr/>
              <w:t xml:space="preserve">​ </w:t>
            </w:r>
          </w:p>
        </w:tc>
        <w:tc>
          <w:tcPr>
            <w:tcW w:w="919" w:type="dxa"/>
            <w:tcBorders>
              <w:bottom w:val="single" w:sz="8" w:space="0" w:color="000000"/>
            </w:tcBorders>
            <w:shd w:fill="FFFFFF" w:val="clear"/>
            <w:tcMar>
              <w:bottom w:w="28" w:type="dxa"/>
            </w:tcMar>
            <w:vAlign w:val="bottom"/>
          </w:tcPr>
          <w:p>
            <w:pPr>
              <w:pStyle w:val="TableContents"/>
              <w:spacing w:before="0" w:after="283"/>
              <w:jc w:val="right"/>
              <w:rPr/>
            </w:pPr>
            <w:r>
              <w:rPr/>
              <w:t xml:space="preserve">​ </w:t>
            </w:r>
          </w:p>
        </w:tc>
        <w:tc>
          <w:tcPr>
            <w:tcW w:w="169" w:type="dxa"/>
            <w:tcBorders/>
            <w:shd w:fill="FFFFFF" w:val="clear"/>
            <w:vAlign w:val="bottom"/>
          </w:tcPr>
          <w:p>
            <w:pPr>
              <w:pStyle w:val="TableContents"/>
              <w:spacing w:before="0" w:after="283"/>
              <w:rPr/>
            </w:pPr>
            <w:r>
              <w:rPr/>
              <w:t>​</w:t>
            </w:r>
          </w:p>
        </w:tc>
      </w:tr>
      <w:tr>
        <w:trPr/>
        <w:tc>
          <w:tcPr>
            <w:tcW w:w="4178" w:type="dxa"/>
            <w:tcBorders/>
            <w:shd w:fill="auto" w:val="clear"/>
            <w:vAlign w:val="bottom"/>
          </w:tcPr>
          <w:p>
            <w:pPr>
              <w:pStyle w:val="TableContents"/>
              <w:spacing w:before="0" w:after="283"/>
              <w:ind w:left="140" w:right="0" w:hanging="140"/>
              <w:rPr>
                <w:rFonts w:ascii="times" w:hAnsi="times"/>
                <w:sz w:val="14"/>
              </w:rPr>
            </w:pPr>
            <w:r>
              <w:rPr>
                <w:rFonts w:ascii="times" w:hAnsi="times"/>
                <w:sz w:val="14"/>
              </w:rPr>
              <w:t>Adjustment for:</w:t>
            </w:r>
          </w:p>
        </w:tc>
        <w:tc>
          <w:tcPr>
            <w:tcW w:w="157"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919" w:type="dxa"/>
            <w:tcBorders/>
            <w:shd w:fill="auto" w:val="clear"/>
            <w:vAlign w:val="bottom"/>
          </w:tcPr>
          <w:p>
            <w:pPr>
              <w:pStyle w:val="TableContents"/>
              <w:spacing w:before="0" w:after="283"/>
              <w:jc w:val="right"/>
              <w:rPr/>
            </w:pPr>
            <w:r>
              <w:rPr/>
              <w:t> </w:t>
            </w:r>
          </w:p>
        </w:tc>
        <w:tc>
          <w:tcPr>
            <w:tcW w:w="158"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919" w:type="dxa"/>
            <w:tcBorders/>
            <w:shd w:fill="auto" w:val="clear"/>
            <w:vAlign w:val="bottom"/>
          </w:tcPr>
          <w:p>
            <w:pPr>
              <w:pStyle w:val="TableContents"/>
              <w:spacing w:before="0" w:after="283"/>
              <w:jc w:val="right"/>
              <w:rPr/>
            </w:pPr>
            <w:r>
              <w:rPr/>
              <w:t> </w:t>
            </w:r>
          </w:p>
        </w:tc>
        <w:tc>
          <w:tcPr>
            <w:tcW w:w="158"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919" w:type="dxa"/>
            <w:tcBorders/>
            <w:shd w:fill="auto" w:val="clear"/>
            <w:vAlign w:val="bottom"/>
          </w:tcPr>
          <w:p>
            <w:pPr>
              <w:pStyle w:val="TableContents"/>
              <w:spacing w:before="0" w:after="283"/>
              <w:jc w:val="right"/>
              <w:rPr/>
            </w:pPr>
            <w:r>
              <w:rPr/>
              <w:t> </w:t>
            </w:r>
          </w:p>
        </w:tc>
        <w:tc>
          <w:tcPr>
            <w:tcW w:w="158"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919" w:type="dxa"/>
            <w:tcBorders/>
            <w:shd w:fill="auto" w:val="clear"/>
            <w:vAlign w:val="bottom"/>
          </w:tcPr>
          <w:p>
            <w:pPr>
              <w:pStyle w:val="TableContents"/>
              <w:spacing w:before="0" w:after="283"/>
              <w:jc w:val="right"/>
              <w:rPr/>
            </w:pPr>
            <w:r>
              <w:rPr/>
              <w:t> </w:t>
            </w:r>
          </w:p>
        </w:tc>
        <w:tc>
          <w:tcPr>
            <w:tcW w:w="157"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919" w:type="dxa"/>
            <w:tcBorders/>
            <w:shd w:fill="auto" w:val="clear"/>
            <w:vAlign w:val="bottom"/>
          </w:tcPr>
          <w:p>
            <w:pPr>
              <w:pStyle w:val="TableContents"/>
              <w:spacing w:before="0" w:after="283"/>
              <w:jc w:val="right"/>
              <w:rPr/>
            </w:pPr>
            <w:r>
              <w:rPr/>
              <w:t> </w:t>
            </w:r>
          </w:p>
        </w:tc>
        <w:tc>
          <w:tcPr>
            <w:tcW w:w="169" w:type="dxa"/>
            <w:tcBorders/>
            <w:shd w:fill="auto" w:val="clear"/>
            <w:vAlign w:val="bottom"/>
          </w:tcPr>
          <w:p>
            <w:pPr>
              <w:pStyle w:val="TableContents"/>
              <w:spacing w:before="0" w:after="283"/>
              <w:rPr/>
            </w:pPr>
            <w:r>
              <w:rPr/>
              <w:t> </w:t>
            </w:r>
          </w:p>
        </w:tc>
      </w:tr>
      <w:tr>
        <w:trPr/>
        <w:tc>
          <w:tcPr>
            <w:tcW w:w="4178" w:type="dxa"/>
            <w:tcBorders/>
            <w:shd w:fill="auto" w:val="clear"/>
            <w:vAlign w:val="bottom"/>
          </w:tcPr>
          <w:p>
            <w:pPr>
              <w:pStyle w:val="TableContents"/>
              <w:spacing w:before="0" w:after="283"/>
              <w:ind w:left="140" w:right="0" w:hanging="140"/>
              <w:rPr>
                <w:rFonts w:ascii="times" w:hAnsi="times"/>
                <w:sz w:val="14"/>
              </w:rPr>
            </w:pPr>
            <w:r>
              <w:rPr>
                <w:rFonts w:ascii="times" w:hAnsi="times"/>
                <w:sz w:val="14"/>
              </w:rPr>
              <w:t>Paid and accrued preference unit distributions</w:t>
            </w:r>
          </w:p>
        </w:tc>
        <w:tc>
          <w:tcPr>
            <w:tcW w:w="157"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919" w:type="dxa"/>
            <w:tcBorders/>
            <w:shd w:fill="auto" w:val="clear"/>
            <w:vAlign w:val="bottom"/>
          </w:tcPr>
          <w:p>
            <w:pPr>
              <w:pStyle w:val="TableContents"/>
              <w:spacing w:before="0" w:after="283"/>
              <w:jc w:val="right"/>
              <w:rPr>
                <w:rFonts w:ascii="times" w:hAnsi="times"/>
                <w:sz w:val="14"/>
              </w:rPr>
            </w:pPr>
            <w:r>
              <w:rPr>
                <w:rFonts w:ascii="times" w:hAnsi="times"/>
                <w:sz w:val="14"/>
              </w:rPr>
              <w:t></w:t>
            </w:r>
          </w:p>
        </w:tc>
        <w:tc>
          <w:tcPr>
            <w:tcW w:w="158"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919" w:type="dxa"/>
            <w:tcBorders/>
            <w:shd w:fill="auto" w:val="clear"/>
            <w:vAlign w:val="bottom"/>
          </w:tcPr>
          <w:p>
            <w:pPr>
              <w:pStyle w:val="TableContents"/>
              <w:spacing w:before="0" w:after="283"/>
              <w:jc w:val="right"/>
              <w:rPr>
                <w:rFonts w:ascii="times" w:hAnsi="times"/>
                <w:sz w:val="14"/>
              </w:rPr>
            </w:pPr>
            <w:r>
              <w:rPr>
                <w:rFonts w:ascii="times" w:hAnsi="times"/>
                <w:sz w:val="14"/>
              </w:rPr>
              <w:t>(7,749</w:t>
            </w:r>
          </w:p>
        </w:tc>
        <w:tc>
          <w:tcPr>
            <w:tcW w:w="158" w:type="dxa"/>
            <w:tcBorders/>
            <w:shd w:fill="auto" w:val="clear"/>
            <w:vAlign w:val="bottom"/>
          </w:tcPr>
          <w:p>
            <w:pPr>
              <w:pStyle w:val="TableContents"/>
              <w:spacing w:before="0" w:after="283"/>
              <w:rPr>
                <w:rFonts w:ascii="times" w:hAnsi="times"/>
                <w:sz w:val="14"/>
              </w:rPr>
            </w:pPr>
            <w:r>
              <w:rPr>
                <w:rFonts w:ascii="times" w:hAnsi="times"/>
                <w:sz w:val="14"/>
              </w:rPr>
              <w:t>)</w:t>
            </w:r>
          </w:p>
        </w:tc>
        <w:tc>
          <w:tcPr>
            <w:tcW w:w="95" w:type="dxa"/>
            <w:tcBorders/>
            <w:shd w:fill="auto" w:val="clear"/>
            <w:vAlign w:val="bottom"/>
          </w:tcPr>
          <w:p>
            <w:pPr>
              <w:pStyle w:val="TableContents"/>
              <w:spacing w:before="0" w:after="283"/>
              <w:rPr/>
            </w:pPr>
            <w:r>
              <w:rPr/>
              <w:t> </w:t>
            </w:r>
          </w:p>
        </w:tc>
        <w:tc>
          <w:tcPr>
            <w:tcW w:w="919" w:type="dxa"/>
            <w:tcBorders/>
            <w:shd w:fill="auto" w:val="clear"/>
            <w:vAlign w:val="bottom"/>
          </w:tcPr>
          <w:p>
            <w:pPr>
              <w:pStyle w:val="TableContents"/>
              <w:spacing w:before="0" w:after="283"/>
              <w:jc w:val="right"/>
              <w:rPr>
                <w:rFonts w:ascii="times" w:hAnsi="times"/>
                <w:sz w:val="14"/>
              </w:rPr>
            </w:pPr>
            <w:r>
              <w:rPr>
                <w:rFonts w:ascii="times" w:hAnsi="times"/>
                <w:sz w:val="14"/>
              </w:rPr>
              <w:t>(22,498</w:t>
            </w:r>
          </w:p>
        </w:tc>
        <w:tc>
          <w:tcPr>
            <w:tcW w:w="158" w:type="dxa"/>
            <w:tcBorders/>
            <w:shd w:fill="auto" w:val="clear"/>
            <w:vAlign w:val="bottom"/>
          </w:tcPr>
          <w:p>
            <w:pPr>
              <w:pStyle w:val="TableContents"/>
              <w:spacing w:before="0" w:after="283"/>
              <w:rPr>
                <w:rFonts w:ascii="times" w:hAnsi="times"/>
                <w:sz w:val="14"/>
              </w:rPr>
            </w:pPr>
            <w:r>
              <w:rPr>
                <w:rFonts w:ascii="times" w:hAnsi="times"/>
                <w:sz w:val="14"/>
              </w:rPr>
              <w:t>)</w:t>
            </w:r>
          </w:p>
        </w:tc>
        <w:tc>
          <w:tcPr>
            <w:tcW w:w="95" w:type="dxa"/>
            <w:tcBorders/>
            <w:shd w:fill="auto" w:val="clear"/>
            <w:vAlign w:val="bottom"/>
          </w:tcPr>
          <w:p>
            <w:pPr>
              <w:pStyle w:val="TableContents"/>
              <w:spacing w:before="0" w:after="283"/>
              <w:rPr/>
            </w:pPr>
            <w:r>
              <w:rPr/>
              <w:t> </w:t>
            </w:r>
          </w:p>
        </w:tc>
        <w:tc>
          <w:tcPr>
            <w:tcW w:w="919" w:type="dxa"/>
            <w:tcBorders/>
            <w:shd w:fill="auto" w:val="clear"/>
            <w:vAlign w:val="bottom"/>
          </w:tcPr>
          <w:p>
            <w:pPr>
              <w:pStyle w:val="TableContents"/>
              <w:spacing w:before="0" w:after="283"/>
              <w:jc w:val="right"/>
              <w:rPr>
                <w:rFonts w:ascii="times" w:hAnsi="times"/>
                <w:sz w:val="14"/>
              </w:rPr>
            </w:pPr>
            <w:r>
              <w:rPr>
                <w:rFonts w:ascii="times" w:hAnsi="times"/>
                <w:sz w:val="14"/>
              </w:rPr>
              <w:t>(30,328</w:t>
            </w:r>
          </w:p>
        </w:tc>
        <w:tc>
          <w:tcPr>
            <w:tcW w:w="157" w:type="dxa"/>
            <w:tcBorders/>
            <w:shd w:fill="auto" w:val="clear"/>
            <w:vAlign w:val="bottom"/>
          </w:tcPr>
          <w:p>
            <w:pPr>
              <w:pStyle w:val="TableContents"/>
              <w:spacing w:before="0" w:after="283"/>
              <w:rPr>
                <w:rFonts w:ascii="times" w:hAnsi="times"/>
                <w:sz w:val="14"/>
              </w:rPr>
            </w:pPr>
            <w:r>
              <w:rPr>
                <w:rFonts w:ascii="times" w:hAnsi="times"/>
                <w:sz w:val="14"/>
              </w:rPr>
              <w:t>)</w:t>
            </w:r>
          </w:p>
        </w:tc>
        <w:tc>
          <w:tcPr>
            <w:tcW w:w="95" w:type="dxa"/>
            <w:tcBorders/>
            <w:shd w:fill="auto" w:val="clear"/>
            <w:vAlign w:val="bottom"/>
          </w:tcPr>
          <w:p>
            <w:pPr>
              <w:pStyle w:val="TableContents"/>
              <w:spacing w:before="0" w:after="283"/>
              <w:rPr/>
            </w:pPr>
            <w:r>
              <w:rPr/>
              <w:t> </w:t>
            </w:r>
          </w:p>
        </w:tc>
        <w:tc>
          <w:tcPr>
            <w:tcW w:w="919" w:type="dxa"/>
            <w:tcBorders/>
            <w:shd w:fill="auto" w:val="clear"/>
            <w:vAlign w:val="bottom"/>
          </w:tcPr>
          <w:p>
            <w:pPr>
              <w:pStyle w:val="TableContents"/>
              <w:spacing w:before="0" w:after="283"/>
              <w:jc w:val="right"/>
              <w:rPr>
                <w:rFonts w:ascii="times" w:hAnsi="times"/>
                <w:sz w:val="14"/>
              </w:rPr>
            </w:pPr>
            <w:r>
              <w:rPr>
                <w:rFonts w:ascii="times" w:hAnsi="times"/>
                <w:sz w:val="14"/>
              </w:rPr>
              <w:t>(30,328</w:t>
            </w:r>
          </w:p>
        </w:tc>
        <w:tc>
          <w:tcPr>
            <w:tcW w:w="169" w:type="dxa"/>
            <w:tcBorders/>
            <w:shd w:fill="auto" w:val="clear"/>
            <w:vAlign w:val="bottom"/>
          </w:tcPr>
          <w:p>
            <w:pPr>
              <w:pStyle w:val="TableContents"/>
              <w:spacing w:before="0" w:after="283"/>
              <w:rPr>
                <w:rFonts w:ascii="times" w:hAnsi="times"/>
                <w:sz w:val="14"/>
              </w:rPr>
            </w:pPr>
            <w:r>
              <w:rPr>
                <w:rFonts w:ascii="times" w:hAnsi="times"/>
                <w:sz w:val="14"/>
              </w:rPr>
              <w:t xml:space="preserve">) </w:t>
            </w:r>
          </w:p>
        </w:tc>
      </w:tr>
      <w:tr>
        <w:trPr/>
        <w:tc>
          <w:tcPr>
            <w:tcW w:w="4178" w:type="dxa"/>
            <w:tcBorders/>
            <w:shd w:fill="FFFFFF" w:val="clear"/>
            <w:vAlign w:val="bottom"/>
          </w:tcPr>
          <w:p>
            <w:pPr>
              <w:pStyle w:val="TableContents"/>
              <w:spacing w:before="0" w:after="283"/>
              <w:rPr/>
            </w:pPr>
            <w:r>
              <w:rPr/>
              <w:t>​</w:t>
            </w:r>
          </w:p>
        </w:tc>
        <w:tc>
          <w:tcPr>
            <w:tcW w:w="157" w:type="dxa"/>
            <w:tcBorders/>
            <w:shd w:fill="FFFFFF" w:val="clear"/>
            <w:vAlign w:val="bottom"/>
          </w:tcPr>
          <w:p>
            <w:pPr>
              <w:pStyle w:val="TableContents"/>
              <w:spacing w:before="0" w:after="283"/>
              <w:rPr/>
            </w:pPr>
            <w:r>
              <w:rPr/>
              <w:t>​</w:t>
            </w:r>
          </w:p>
        </w:tc>
        <w:tc>
          <w:tcPr>
            <w:tcW w:w="95" w:type="dxa"/>
            <w:tcBorders>
              <w:bottom w:val="single" w:sz="8" w:space="0" w:color="000000"/>
            </w:tcBorders>
            <w:shd w:fill="FFFFFF" w:val="clear"/>
            <w:tcMar>
              <w:bottom w:w="28" w:type="dxa"/>
            </w:tcMar>
            <w:vAlign w:val="bottom"/>
          </w:tcPr>
          <w:p>
            <w:pPr>
              <w:pStyle w:val="TableContents"/>
              <w:spacing w:before="0" w:after="283"/>
              <w:rPr/>
            </w:pPr>
            <w:r>
              <w:rPr/>
              <w:t xml:space="preserve">​ </w:t>
            </w:r>
          </w:p>
        </w:tc>
        <w:tc>
          <w:tcPr>
            <w:tcW w:w="919" w:type="dxa"/>
            <w:tcBorders>
              <w:bottom w:val="single" w:sz="8" w:space="0" w:color="000000"/>
            </w:tcBorders>
            <w:shd w:fill="FFFFFF" w:val="clear"/>
            <w:tcMar>
              <w:bottom w:w="28" w:type="dxa"/>
            </w:tcMar>
            <w:vAlign w:val="bottom"/>
          </w:tcPr>
          <w:p>
            <w:pPr>
              <w:pStyle w:val="TableContents"/>
              <w:spacing w:before="0" w:after="283"/>
              <w:jc w:val="right"/>
              <w:rPr/>
            </w:pPr>
            <w:r>
              <w:rPr/>
              <w:t xml:space="preserve">​ </w:t>
            </w:r>
          </w:p>
        </w:tc>
        <w:tc>
          <w:tcPr>
            <w:tcW w:w="158" w:type="dxa"/>
            <w:tcBorders/>
            <w:shd w:fill="FFFFFF" w:val="clear"/>
            <w:vAlign w:val="bottom"/>
          </w:tcPr>
          <w:p>
            <w:pPr>
              <w:pStyle w:val="TableContents"/>
              <w:spacing w:before="0" w:after="283"/>
              <w:rPr/>
            </w:pPr>
            <w:r>
              <w:rPr/>
              <w:t>​</w:t>
            </w:r>
          </w:p>
        </w:tc>
        <w:tc>
          <w:tcPr>
            <w:tcW w:w="95" w:type="dxa"/>
            <w:tcBorders>
              <w:bottom w:val="single" w:sz="8" w:space="0" w:color="000000"/>
            </w:tcBorders>
            <w:shd w:fill="FFFFFF" w:val="clear"/>
            <w:tcMar>
              <w:bottom w:w="28" w:type="dxa"/>
            </w:tcMar>
            <w:vAlign w:val="bottom"/>
          </w:tcPr>
          <w:p>
            <w:pPr>
              <w:pStyle w:val="TableContents"/>
              <w:spacing w:before="0" w:after="283"/>
              <w:rPr/>
            </w:pPr>
            <w:r>
              <w:rPr/>
              <w:t xml:space="preserve">​ </w:t>
            </w:r>
          </w:p>
        </w:tc>
        <w:tc>
          <w:tcPr>
            <w:tcW w:w="919" w:type="dxa"/>
            <w:tcBorders>
              <w:bottom w:val="single" w:sz="8" w:space="0" w:color="000000"/>
            </w:tcBorders>
            <w:shd w:fill="FFFFFF" w:val="clear"/>
            <w:tcMar>
              <w:bottom w:w="28" w:type="dxa"/>
            </w:tcMar>
            <w:vAlign w:val="bottom"/>
          </w:tcPr>
          <w:p>
            <w:pPr>
              <w:pStyle w:val="TableContents"/>
              <w:spacing w:before="0" w:after="283"/>
              <w:jc w:val="right"/>
              <w:rPr/>
            </w:pPr>
            <w:r>
              <w:rPr/>
              <w:t xml:space="preserve">​ </w:t>
            </w:r>
          </w:p>
        </w:tc>
        <w:tc>
          <w:tcPr>
            <w:tcW w:w="158" w:type="dxa"/>
            <w:tcBorders/>
            <w:shd w:fill="FFFFFF" w:val="clear"/>
            <w:vAlign w:val="bottom"/>
          </w:tcPr>
          <w:p>
            <w:pPr>
              <w:pStyle w:val="TableContents"/>
              <w:spacing w:before="0" w:after="283"/>
              <w:rPr/>
            </w:pPr>
            <w:r>
              <w:rPr/>
              <w:t>​</w:t>
            </w:r>
          </w:p>
        </w:tc>
        <w:tc>
          <w:tcPr>
            <w:tcW w:w="95" w:type="dxa"/>
            <w:tcBorders>
              <w:bottom w:val="single" w:sz="8" w:space="0" w:color="000000"/>
            </w:tcBorders>
            <w:shd w:fill="FFFFFF" w:val="clear"/>
            <w:tcMar>
              <w:bottom w:w="28" w:type="dxa"/>
            </w:tcMar>
            <w:vAlign w:val="bottom"/>
          </w:tcPr>
          <w:p>
            <w:pPr>
              <w:pStyle w:val="TableContents"/>
              <w:spacing w:before="0" w:after="283"/>
              <w:rPr/>
            </w:pPr>
            <w:r>
              <w:rPr/>
              <w:t xml:space="preserve">​ </w:t>
            </w:r>
          </w:p>
        </w:tc>
        <w:tc>
          <w:tcPr>
            <w:tcW w:w="919" w:type="dxa"/>
            <w:tcBorders>
              <w:bottom w:val="single" w:sz="8" w:space="0" w:color="000000"/>
            </w:tcBorders>
            <w:shd w:fill="FFFFFF" w:val="clear"/>
            <w:tcMar>
              <w:bottom w:w="28" w:type="dxa"/>
            </w:tcMar>
            <w:vAlign w:val="bottom"/>
          </w:tcPr>
          <w:p>
            <w:pPr>
              <w:pStyle w:val="TableContents"/>
              <w:spacing w:before="0" w:after="283"/>
              <w:jc w:val="right"/>
              <w:rPr/>
            </w:pPr>
            <w:r>
              <w:rPr/>
              <w:t xml:space="preserve">​ </w:t>
            </w:r>
          </w:p>
        </w:tc>
        <w:tc>
          <w:tcPr>
            <w:tcW w:w="158" w:type="dxa"/>
            <w:tcBorders/>
            <w:shd w:fill="FFFFFF" w:val="clear"/>
            <w:vAlign w:val="bottom"/>
          </w:tcPr>
          <w:p>
            <w:pPr>
              <w:pStyle w:val="TableContents"/>
              <w:spacing w:before="0" w:after="283"/>
              <w:rPr/>
            </w:pPr>
            <w:r>
              <w:rPr/>
              <w:t>​</w:t>
            </w:r>
          </w:p>
        </w:tc>
        <w:tc>
          <w:tcPr>
            <w:tcW w:w="95" w:type="dxa"/>
            <w:tcBorders>
              <w:bottom w:val="single" w:sz="8" w:space="0" w:color="000000"/>
            </w:tcBorders>
            <w:shd w:fill="FFFFFF" w:val="clear"/>
            <w:tcMar>
              <w:bottom w:w="28" w:type="dxa"/>
            </w:tcMar>
            <w:vAlign w:val="bottom"/>
          </w:tcPr>
          <w:p>
            <w:pPr>
              <w:pStyle w:val="TableContents"/>
              <w:spacing w:before="0" w:after="283"/>
              <w:rPr/>
            </w:pPr>
            <w:r>
              <w:rPr/>
              <w:t xml:space="preserve">​ </w:t>
            </w:r>
          </w:p>
        </w:tc>
        <w:tc>
          <w:tcPr>
            <w:tcW w:w="919" w:type="dxa"/>
            <w:tcBorders>
              <w:bottom w:val="single" w:sz="8" w:space="0" w:color="000000"/>
            </w:tcBorders>
            <w:shd w:fill="FFFFFF" w:val="clear"/>
            <w:tcMar>
              <w:bottom w:w="28" w:type="dxa"/>
            </w:tcMar>
            <w:vAlign w:val="bottom"/>
          </w:tcPr>
          <w:p>
            <w:pPr>
              <w:pStyle w:val="TableContents"/>
              <w:spacing w:before="0" w:after="283"/>
              <w:jc w:val="right"/>
              <w:rPr/>
            </w:pPr>
            <w:r>
              <w:rPr/>
              <w:t xml:space="preserve">​ </w:t>
            </w:r>
          </w:p>
        </w:tc>
        <w:tc>
          <w:tcPr>
            <w:tcW w:w="157" w:type="dxa"/>
            <w:tcBorders/>
            <w:shd w:fill="FFFFFF" w:val="clear"/>
            <w:vAlign w:val="bottom"/>
          </w:tcPr>
          <w:p>
            <w:pPr>
              <w:pStyle w:val="TableContents"/>
              <w:spacing w:before="0" w:after="283"/>
              <w:rPr/>
            </w:pPr>
            <w:r>
              <w:rPr/>
              <w:t>​</w:t>
            </w:r>
          </w:p>
        </w:tc>
        <w:tc>
          <w:tcPr>
            <w:tcW w:w="95" w:type="dxa"/>
            <w:tcBorders>
              <w:bottom w:val="single" w:sz="8" w:space="0" w:color="000000"/>
            </w:tcBorders>
            <w:shd w:fill="FFFFFF" w:val="clear"/>
            <w:tcMar>
              <w:bottom w:w="28" w:type="dxa"/>
            </w:tcMar>
            <w:vAlign w:val="bottom"/>
          </w:tcPr>
          <w:p>
            <w:pPr>
              <w:pStyle w:val="TableContents"/>
              <w:spacing w:before="0" w:after="283"/>
              <w:rPr/>
            </w:pPr>
            <w:r>
              <w:rPr/>
              <w:t xml:space="preserve">​ </w:t>
            </w:r>
          </w:p>
        </w:tc>
        <w:tc>
          <w:tcPr>
            <w:tcW w:w="919" w:type="dxa"/>
            <w:tcBorders>
              <w:bottom w:val="single" w:sz="8" w:space="0" w:color="000000"/>
            </w:tcBorders>
            <w:shd w:fill="FFFFFF" w:val="clear"/>
            <w:tcMar>
              <w:bottom w:w="28" w:type="dxa"/>
            </w:tcMar>
            <w:vAlign w:val="bottom"/>
          </w:tcPr>
          <w:p>
            <w:pPr>
              <w:pStyle w:val="TableContents"/>
              <w:spacing w:before="0" w:after="283"/>
              <w:jc w:val="right"/>
              <w:rPr/>
            </w:pPr>
            <w:r>
              <w:rPr/>
              <w:t xml:space="preserve">​ </w:t>
            </w:r>
          </w:p>
        </w:tc>
        <w:tc>
          <w:tcPr>
            <w:tcW w:w="169" w:type="dxa"/>
            <w:tcBorders/>
            <w:shd w:fill="FFFFFF" w:val="clear"/>
            <w:vAlign w:val="bottom"/>
          </w:tcPr>
          <w:p>
            <w:pPr>
              <w:pStyle w:val="TableContents"/>
              <w:spacing w:before="0" w:after="283"/>
              <w:rPr/>
            </w:pPr>
            <w:r>
              <w:rPr/>
              <w:t>​</w:t>
            </w:r>
          </w:p>
        </w:tc>
      </w:tr>
      <w:tr>
        <w:trPr/>
        <w:tc>
          <w:tcPr>
            <w:tcW w:w="4178" w:type="dxa"/>
            <w:tcBorders/>
            <w:shd w:fill="auto" w:val="clear"/>
            <w:vAlign w:val="bottom"/>
          </w:tcPr>
          <w:p>
            <w:pPr>
              <w:pStyle w:val="TableContents"/>
              <w:spacing w:before="0" w:after="283"/>
              <w:ind w:left="140" w:right="0" w:hanging="140"/>
              <w:rPr>
                <w:rFonts w:ascii="times" w:hAnsi="times"/>
                <w:b/>
                <w:sz w:val="14"/>
              </w:rPr>
            </w:pPr>
            <w:r>
              <w:rPr>
                <w:rFonts w:ascii="times" w:hAnsi="times"/>
                <w:b/>
                <w:sz w:val="14"/>
              </w:rPr>
              <w:t>Partnership's profit/(loss) used in EPU calculation</w:t>
            </w:r>
          </w:p>
        </w:tc>
        <w:tc>
          <w:tcPr>
            <w:tcW w:w="157"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rFonts w:ascii="times" w:hAnsi="times"/>
                <w:b/>
                <w:sz w:val="14"/>
              </w:rPr>
            </w:pPr>
            <w:r>
              <w:rPr>
                <w:rFonts w:ascii="times" w:hAnsi="times"/>
                <w:b/>
                <w:sz w:val="14"/>
              </w:rPr>
              <w:t>$</w:t>
            </w:r>
          </w:p>
        </w:tc>
        <w:tc>
          <w:tcPr>
            <w:tcW w:w="919" w:type="dxa"/>
            <w:tcBorders/>
            <w:shd w:fill="auto" w:val="clear"/>
            <w:vAlign w:val="bottom"/>
          </w:tcPr>
          <w:p>
            <w:pPr>
              <w:pStyle w:val="TableContents"/>
              <w:spacing w:before="0" w:after="283"/>
              <w:jc w:val="right"/>
              <w:rPr>
                <w:rFonts w:ascii="times" w:hAnsi="times"/>
                <w:b/>
                <w:sz w:val="14"/>
              </w:rPr>
            </w:pPr>
            <w:r>
              <w:rPr>
                <w:rFonts w:ascii="times" w:hAnsi="times"/>
                <w:b/>
                <w:sz w:val="14"/>
              </w:rPr>
              <w:t>77,270</w:t>
            </w:r>
          </w:p>
        </w:tc>
        <w:tc>
          <w:tcPr>
            <w:tcW w:w="158"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rFonts w:ascii="times" w:hAnsi="times"/>
                <w:b/>
                <w:sz w:val="14"/>
              </w:rPr>
            </w:pPr>
            <w:r>
              <w:rPr>
                <w:rFonts w:ascii="times" w:hAnsi="times"/>
                <w:b/>
                <w:sz w:val="14"/>
              </w:rPr>
              <w:t>$</w:t>
            </w:r>
          </w:p>
        </w:tc>
        <w:tc>
          <w:tcPr>
            <w:tcW w:w="919" w:type="dxa"/>
            <w:tcBorders/>
            <w:shd w:fill="auto" w:val="clear"/>
            <w:vAlign w:val="bottom"/>
          </w:tcPr>
          <w:p>
            <w:pPr>
              <w:pStyle w:val="TableContents"/>
              <w:spacing w:before="0" w:after="283"/>
              <w:jc w:val="right"/>
              <w:rPr>
                <w:rFonts w:ascii="times" w:hAnsi="times"/>
                <w:b/>
                <w:sz w:val="14"/>
              </w:rPr>
            </w:pPr>
            <w:r>
              <w:rPr>
                <w:rFonts w:ascii="times" w:hAnsi="times"/>
                <w:b/>
                <w:sz w:val="14"/>
              </w:rPr>
              <w:t>86,368</w:t>
            </w:r>
          </w:p>
        </w:tc>
        <w:tc>
          <w:tcPr>
            <w:tcW w:w="158"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rFonts w:ascii="times" w:hAnsi="times"/>
                <w:b/>
                <w:sz w:val="14"/>
              </w:rPr>
            </w:pPr>
            <w:r>
              <w:rPr>
                <w:rFonts w:ascii="times" w:hAnsi="times"/>
                <w:b/>
                <w:sz w:val="14"/>
              </w:rPr>
              <w:t>$</w:t>
            </w:r>
          </w:p>
        </w:tc>
        <w:tc>
          <w:tcPr>
            <w:tcW w:w="919" w:type="dxa"/>
            <w:tcBorders/>
            <w:shd w:fill="auto" w:val="clear"/>
            <w:vAlign w:val="bottom"/>
          </w:tcPr>
          <w:p>
            <w:pPr>
              <w:pStyle w:val="TableContents"/>
              <w:spacing w:before="0" w:after="283"/>
              <w:jc w:val="right"/>
              <w:rPr>
                <w:rFonts w:ascii="times" w:hAnsi="times"/>
                <w:b/>
                <w:sz w:val="14"/>
              </w:rPr>
            </w:pPr>
            <w:r>
              <w:rPr>
                <w:rFonts w:ascii="times" w:hAnsi="times"/>
                <w:b/>
                <w:sz w:val="14"/>
              </w:rPr>
              <w:t>80,099</w:t>
            </w:r>
          </w:p>
        </w:tc>
        <w:tc>
          <w:tcPr>
            <w:tcW w:w="158"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rFonts w:ascii="times" w:hAnsi="times"/>
                <w:b/>
                <w:sz w:val="14"/>
              </w:rPr>
            </w:pPr>
            <w:r>
              <w:rPr>
                <w:rFonts w:ascii="times" w:hAnsi="times"/>
                <w:b/>
                <w:sz w:val="14"/>
              </w:rPr>
              <w:t>$</w:t>
            </w:r>
          </w:p>
        </w:tc>
        <w:tc>
          <w:tcPr>
            <w:tcW w:w="919" w:type="dxa"/>
            <w:tcBorders/>
            <w:shd w:fill="auto" w:val="clear"/>
            <w:vAlign w:val="bottom"/>
          </w:tcPr>
          <w:p>
            <w:pPr>
              <w:pStyle w:val="TableContents"/>
              <w:spacing w:before="0" w:after="283"/>
              <w:jc w:val="right"/>
              <w:rPr>
                <w:rFonts w:ascii="times" w:hAnsi="times"/>
                <w:b/>
                <w:sz w:val="14"/>
              </w:rPr>
            </w:pPr>
            <w:r>
              <w:rPr>
                <w:rFonts w:ascii="times" w:hAnsi="times"/>
                <w:b/>
                <w:sz w:val="14"/>
              </w:rPr>
              <w:t>(67,747</w:t>
            </w:r>
          </w:p>
        </w:tc>
        <w:tc>
          <w:tcPr>
            <w:tcW w:w="157" w:type="dxa"/>
            <w:tcBorders/>
            <w:shd w:fill="auto" w:val="clear"/>
            <w:vAlign w:val="bottom"/>
          </w:tcPr>
          <w:p>
            <w:pPr>
              <w:pStyle w:val="TableContents"/>
              <w:spacing w:before="0" w:after="283"/>
              <w:rPr>
                <w:rFonts w:ascii="times" w:hAnsi="times"/>
                <w:b/>
                <w:sz w:val="14"/>
              </w:rPr>
            </w:pPr>
            <w:r>
              <w:rPr>
                <w:rFonts w:ascii="times" w:hAnsi="times"/>
                <w:b/>
                <w:sz w:val="14"/>
              </w:rPr>
              <w:t>)</w:t>
            </w:r>
          </w:p>
        </w:tc>
        <w:tc>
          <w:tcPr>
            <w:tcW w:w="95" w:type="dxa"/>
            <w:tcBorders/>
            <w:shd w:fill="auto" w:val="clear"/>
            <w:vAlign w:val="bottom"/>
          </w:tcPr>
          <w:p>
            <w:pPr>
              <w:pStyle w:val="TableContents"/>
              <w:spacing w:before="0" w:after="283"/>
              <w:rPr>
                <w:rFonts w:ascii="times" w:hAnsi="times"/>
                <w:b/>
                <w:sz w:val="14"/>
              </w:rPr>
            </w:pPr>
            <w:r>
              <w:rPr>
                <w:rFonts w:ascii="times" w:hAnsi="times"/>
                <w:b/>
                <w:sz w:val="14"/>
              </w:rPr>
              <w:t>$</w:t>
            </w:r>
          </w:p>
        </w:tc>
        <w:tc>
          <w:tcPr>
            <w:tcW w:w="919" w:type="dxa"/>
            <w:tcBorders/>
            <w:shd w:fill="auto" w:val="clear"/>
            <w:vAlign w:val="bottom"/>
          </w:tcPr>
          <w:p>
            <w:pPr>
              <w:pStyle w:val="TableContents"/>
              <w:spacing w:before="0" w:after="283"/>
              <w:jc w:val="right"/>
              <w:rPr>
                <w:rFonts w:ascii="times" w:hAnsi="times"/>
                <w:b/>
                <w:sz w:val="14"/>
              </w:rPr>
            </w:pPr>
            <w:r>
              <w:rPr>
                <w:rFonts w:ascii="times" w:hAnsi="times"/>
                <w:b/>
                <w:sz w:val="14"/>
              </w:rPr>
              <w:t>26,531</w:t>
            </w:r>
          </w:p>
        </w:tc>
        <w:tc>
          <w:tcPr>
            <w:tcW w:w="169" w:type="dxa"/>
            <w:tcBorders/>
            <w:shd w:fill="auto" w:val="clear"/>
            <w:vAlign w:val="bottom"/>
          </w:tcPr>
          <w:p>
            <w:pPr>
              <w:pStyle w:val="TableContents"/>
              <w:spacing w:before="0" w:after="283"/>
              <w:rPr/>
            </w:pPr>
            <w:r>
              <w:rPr/>
              <w:t> </w:t>
            </w:r>
          </w:p>
        </w:tc>
      </w:tr>
      <w:tr>
        <w:trPr/>
        <w:tc>
          <w:tcPr>
            <w:tcW w:w="4178" w:type="dxa"/>
            <w:tcBorders/>
            <w:shd w:fill="FFFFFF" w:val="clear"/>
            <w:vAlign w:val="bottom"/>
          </w:tcPr>
          <w:p>
            <w:pPr>
              <w:pStyle w:val="TableContents"/>
              <w:spacing w:before="0" w:after="283"/>
              <w:rPr/>
            </w:pPr>
            <w:r>
              <w:rPr/>
              <w:t>​</w:t>
            </w:r>
          </w:p>
        </w:tc>
        <w:tc>
          <w:tcPr>
            <w:tcW w:w="157" w:type="dxa"/>
            <w:tcBorders/>
            <w:shd w:fill="FFFFFF" w:val="clear"/>
            <w:vAlign w:val="bottom"/>
          </w:tcPr>
          <w:p>
            <w:pPr>
              <w:pStyle w:val="TableContents"/>
              <w:spacing w:before="0" w:after="283"/>
              <w:rPr/>
            </w:pPr>
            <w:r>
              <w:rPr/>
              <w:t>​</w:t>
            </w:r>
          </w:p>
        </w:tc>
        <w:tc>
          <w:tcPr>
            <w:tcW w:w="95" w:type="dxa"/>
            <w:tcBorders>
              <w:bottom w:val="single" w:sz="8" w:space="0" w:color="000000"/>
            </w:tcBorders>
            <w:shd w:fill="FFFFFF" w:val="clear"/>
            <w:tcMar>
              <w:bottom w:w="28" w:type="dxa"/>
            </w:tcMar>
            <w:vAlign w:val="bottom"/>
          </w:tcPr>
          <w:p>
            <w:pPr>
              <w:pStyle w:val="TableContents"/>
              <w:spacing w:before="0" w:after="283"/>
              <w:rPr/>
            </w:pPr>
            <w:r>
              <w:rPr/>
              <w:t xml:space="preserve">​ </w:t>
            </w:r>
          </w:p>
        </w:tc>
        <w:tc>
          <w:tcPr>
            <w:tcW w:w="919" w:type="dxa"/>
            <w:tcBorders>
              <w:bottom w:val="single" w:sz="8" w:space="0" w:color="000000"/>
            </w:tcBorders>
            <w:shd w:fill="FFFFFF" w:val="clear"/>
            <w:tcMar>
              <w:bottom w:w="28" w:type="dxa"/>
            </w:tcMar>
            <w:vAlign w:val="bottom"/>
          </w:tcPr>
          <w:p>
            <w:pPr>
              <w:pStyle w:val="TableContents"/>
              <w:spacing w:before="0" w:after="283"/>
              <w:jc w:val="right"/>
              <w:rPr/>
            </w:pPr>
            <w:r>
              <w:rPr/>
              <w:t xml:space="preserve">​ </w:t>
            </w:r>
          </w:p>
        </w:tc>
        <w:tc>
          <w:tcPr>
            <w:tcW w:w="158" w:type="dxa"/>
            <w:tcBorders/>
            <w:shd w:fill="FFFFFF" w:val="clear"/>
            <w:vAlign w:val="bottom"/>
          </w:tcPr>
          <w:p>
            <w:pPr>
              <w:pStyle w:val="TableContents"/>
              <w:spacing w:before="0" w:after="283"/>
              <w:rPr/>
            </w:pPr>
            <w:r>
              <w:rPr/>
              <w:t>​</w:t>
            </w:r>
          </w:p>
        </w:tc>
        <w:tc>
          <w:tcPr>
            <w:tcW w:w="95" w:type="dxa"/>
            <w:tcBorders>
              <w:bottom w:val="single" w:sz="8" w:space="0" w:color="000000"/>
            </w:tcBorders>
            <w:shd w:fill="FFFFFF" w:val="clear"/>
            <w:tcMar>
              <w:bottom w:w="28" w:type="dxa"/>
            </w:tcMar>
            <w:vAlign w:val="bottom"/>
          </w:tcPr>
          <w:p>
            <w:pPr>
              <w:pStyle w:val="TableContents"/>
              <w:spacing w:before="0" w:after="283"/>
              <w:rPr/>
            </w:pPr>
            <w:r>
              <w:rPr/>
              <w:t xml:space="preserve">​ </w:t>
            </w:r>
          </w:p>
        </w:tc>
        <w:tc>
          <w:tcPr>
            <w:tcW w:w="919" w:type="dxa"/>
            <w:tcBorders>
              <w:bottom w:val="single" w:sz="8" w:space="0" w:color="000000"/>
            </w:tcBorders>
            <w:shd w:fill="FFFFFF" w:val="clear"/>
            <w:tcMar>
              <w:bottom w:w="28" w:type="dxa"/>
            </w:tcMar>
            <w:vAlign w:val="bottom"/>
          </w:tcPr>
          <w:p>
            <w:pPr>
              <w:pStyle w:val="TableContents"/>
              <w:spacing w:before="0" w:after="283"/>
              <w:jc w:val="right"/>
              <w:rPr/>
            </w:pPr>
            <w:r>
              <w:rPr/>
              <w:t xml:space="preserve">​ </w:t>
            </w:r>
          </w:p>
        </w:tc>
        <w:tc>
          <w:tcPr>
            <w:tcW w:w="158" w:type="dxa"/>
            <w:tcBorders/>
            <w:shd w:fill="FFFFFF" w:val="clear"/>
            <w:vAlign w:val="bottom"/>
          </w:tcPr>
          <w:p>
            <w:pPr>
              <w:pStyle w:val="TableContents"/>
              <w:spacing w:before="0" w:after="283"/>
              <w:rPr/>
            </w:pPr>
            <w:r>
              <w:rPr/>
              <w:t>​</w:t>
            </w:r>
          </w:p>
        </w:tc>
        <w:tc>
          <w:tcPr>
            <w:tcW w:w="95" w:type="dxa"/>
            <w:tcBorders>
              <w:bottom w:val="single" w:sz="8" w:space="0" w:color="000000"/>
            </w:tcBorders>
            <w:shd w:fill="FFFFFF" w:val="clear"/>
            <w:tcMar>
              <w:bottom w:w="28" w:type="dxa"/>
            </w:tcMar>
            <w:vAlign w:val="bottom"/>
          </w:tcPr>
          <w:p>
            <w:pPr>
              <w:pStyle w:val="TableContents"/>
              <w:spacing w:before="0" w:after="283"/>
              <w:rPr/>
            </w:pPr>
            <w:r>
              <w:rPr/>
              <w:t xml:space="preserve">​ </w:t>
            </w:r>
          </w:p>
        </w:tc>
        <w:tc>
          <w:tcPr>
            <w:tcW w:w="919" w:type="dxa"/>
            <w:tcBorders>
              <w:bottom w:val="single" w:sz="8" w:space="0" w:color="000000"/>
            </w:tcBorders>
            <w:shd w:fill="FFFFFF" w:val="clear"/>
            <w:tcMar>
              <w:bottom w:w="28" w:type="dxa"/>
            </w:tcMar>
            <w:vAlign w:val="bottom"/>
          </w:tcPr>
          <w:p>
            <w:pPr>
              <w:pStyle w:val="TableContents"/>
              <w:spacing w:before="0" w:after="283"/>
              <w:jc w:val="right"/>
              <w:rPr/>
            </w:pPr>
            <w:r>
              <w:rPr/>
              <w:t xml:space="preserve">​ </w:t>
            </w:r>
          </w:p>
        </w:tc>
        <w:tc>
          <w:tcPr>
            <w:tcW w:w="158" w:type="dxa"/>
            <w:tcBorders/>
            <w:shd w:fill="FFFFFF" w:val="clear"/>
            <w:vAlign w:val="bottom"/>
          </w:tcPr>
          <w:p>
            <w:pPr>
              <w:pStyle w:val="TableContents"/>
              <w:spacing w:before="0" w:after="283"/>
              <w:rPr/>
            </w:pPr>
            <w:r>
              <w:rPr/>
              <w:t>​</w:t>
            </w:r>
          </w:p>
        </w:tc>
        <w:tc>
          <w:tcPr>
            <w:tcW w:w="95" w:type="dxa"/>
            <w:tcBorders>
              <w:bottom w:val="single" w:sz="8" w:space="0" w:color="000000"/>
            </w:tcBorders>
            <w:shd w:fill="FFFFFF" w:val="clear"/>
            <w:tcMar>
              <w:bottom w:w="28" w:type="dxa"/>
            </w:tcMar>
            <w:vAlign w:val="bottom"/>
          </w:tcPr>
          <w:p>
            <w:pPr>
              <w:pStyle w:val="TableContents"/>
              <w:spacing w:before="0" w:after="283"/>
              <w:rPr/>
            </w:pPr>
            <w:r>
              <w:rPr/>
              <w:t xml:space="preserve">​ </w:t>
            </w:r>
          </w:p>
        </w:tc>
        <w:tc>
          <w:tcPr>
            <w:tcW w:w="919" w:type="dxa"/>
            <w:tcBorders>
              <w:bottom w:val="single" w:sz="8" w:space="0" w:color="000000"/>
            </w:tcBorders>
            <w:shd w:fill="FFFFFF" w:val="clear"/>
            <w:tcMar>
              <w:bottom w:w="28" w:type="dxa"/>
            </w:tcMar>
            <w:vAlign w:val="bottom"/>
          </w:tcPr>
          <w:p>
            <w:pPr>
              <w:pStyle w:val="TableContents"/>
              <w:spacing w:before="0" w:after="283"/>
              <w:jc w:val="right"/>
              <w:rPr/>
            </w:pPr>
            <w:r>
              <w:rPr/>
              <w:t xml:space="preserve">​ </w:t>
            </w:r>
          </w:p>
        </w:tc>
        <w:tc>
          <w:tcPr>
            <w:tcW w:w="157" w:type="dxa"/>
            <w:tcBorders/>
            <w:shd w:fill="FFFFFF" w:val="clear"/>
            <w:vAlign w:val="bottom"/>
          </w:tcPr>
          <w:p>
            <w:pPr>
              <w:pStyle w:val="TableContents"/>
              <w:spacing w:before="0" w:after="283"/>
              <w:rPr/>
            </w:pPr>
            <w:r>
              <w:rPr/>
              <w:t>​</w:t>
            </w:r>
          </w:p>
        </w:tc>
        <w:tc>
          <w:tcPr>
            <w:tcW w:w="95" w:type="dxa"/>
            <w:tcBorders>
              <w:bottom w:val="single" w:sz="8" w:space="0" w:color="000000"/>
            </w:tcBorders>
            <w:shd w:fill="FFFFFF" w:val="clear"/>
            <w:tcMar>
              <w:bottom w:w="28" w:type="dxa"/>
            </w:tcMar>
            <w:vAlign w:val="bottom"/>
          </w:tcPr>
          <w:p>
            <w:pPr>
              <w:pStyle w:val="TableContents"/>
              <w:spacing w:before="0" w:after="283"/>
              <w:rPr/>
            </w:pPr>
            <w:r>
              <w:rPr/>
              <w:t xml:space="preserve">​ </w:t>
            </w:r>
          </w:p>
        </w:tc>
        <w:tc>
          <w:tcPr>
            <w:tcW w:w="919" w:type="dxa"/>
            <w:tcBorders>
              <w:bottom w:val="single" w:sz="8" w:space="0" w:color="000000"/>
            </w:tcBorders>
            <w:shd w:fill="FFFFFF" w:val="clear"/>
            <w:tcMar>
              <w:bottom w:w="28" w:type="dxa"/>
            </w:tcMar>
            <w:vAlign w:val="bottom"/>
          </w:tcPr>
          <w:p>
            <w:pPr>
              <w:pStyle w:val="TableContents"/>
              <w:spacing w:before="0" w:after="283"/>
              <w:jc w:val="right"/>
              <w:rPr/>
            </w:pPr>
            <w:r>
              <w:rPr/>
              <w:t xml:space="preserve">​ </w:t>
            </w:r>
          </w:p>
        </w:tc>
        <w:tc>
          <w:tcPr>
            <w:tcW w:w="169" w:type="dxa"/>
            <w:tcBorders/>
            <w:shd w:fill="FFFFFF" w:val="clear"/>
            <w:vAlign w:val="bottom"/>
          </w:tcPr>
          <w:p>
            <w:pPr>
              <w:pStyle w:val="TableContents"/>
              <w:spacing w:before="0" w:after="283"/>
              <w:rPr/>
            </w:pPr>
            <w:r>
              <w:rPr/>
              <w:t>​</w:t>
            </w:r>
          </w:p>
        </w:tc>
      </w:tr>
      <w:tr>
        <w:trPr/>
        <w:tc>
          <w:tcPr>
            <w:tcW w:w="4178" w:type="dxa"/>
            <w:tcBorders/>
            <w:shd w:fill="auto" w:val="clear"/>
            <w:vAlign w:val="bottom"/>
          </w:tcPr>
          <w:p>
            <w:pPr>
              <w:pStyle w:val="TableContents"/>
              <w:spacing w:before="0" w:after="283"/>
              <w:ind w:left="140" w:right="0" w:hanging="140"/>
              <w:rPr>
                <w:rFonts w:ascii="times" w:hAnsi="times"/>
                <w:sz w:val="14"/>
              </w:rPr>
            </w:pPr>
            <w:r>
              <w:rPr>
                <w:rFonts w:ascii="times" w:hAnsi="times"/>
                <w:sz w:val="14"/>
              </w:rPr>
              <w:t>Non-cash (gain)/loss on derivatives</w:t>
            </w:r>
            <w:r>
              <w:rPr>
                <w:rFonts w:ascii="times" w:hAnsi="times"/>
                <w:position w:val="5"/>
                <w:sz w:val="11"/>
                <w:sz w:val="14"/>
              </w:rPr>
              <w:t>(*)</w:t>
            </w:r>
          </w:p>
        </w:tc>
        <w:tc>
          <w:tcPr>
            <w:tcW w:w="157"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919" w:type="dxa"/>
            <w:tcBorders/>
            <w:shd w:fill="auto" w:val="clear"/>
            <w:vAlign w:val="bottom"/>
          </w:tcPr>
          <w:p>
            <w:pPr>
              <w:pStyle w:val="TableContents"/>
              <w:spacing w:before="0" w:after="283"/>
              <w:jc w:val="right"/>
              <w:rPr>
                <w:rFonts w:ascii="times" w:hAnsi="times"/>
                <w:sz w:val="14"/>
              </w:rPr>
            </w:pPr>
            <w:r>
              <w:rPr>
                <w:rFonts w:ascii="times" w:hAnsi="times"/>
                <w:sz w:val="14"/>
              </w:rPr>
              <w:t>(4,172</w:t>
            </w:r>
          </w:p>
        </w:tc>
        <w:tc>
          <w:tcPr>
            <w:tcW w:w="158" w:type="dxa"/>
            <w:tcBorders/>
            <w:shd w:fill="auto" w:val="clear"/>
            <w:vAlign w:val="bottom"/>
          </w:tcPr>
          <w:p>
            <w:pPr>
              <w:pStyle w:val="TableContents"/>
              <w:spacing w:before="0" w:after="283"/>
              <w:rPr>
                <w:rFonts w:ascii="times" w:hAnsi="times"/>
                <w:sz w:val="14"/>
              </w:rPr>
            </w:pPr>
            <w:r>
              <w:rPr>
                <w:rFonts w:ascii="times" w:hAnsi="times"/>
                <w:sz w:val="14"/>
              </w:rPr>
              <w:t>)</w:t>
            </w:r>
          </w:p>
        </w:tc>
        <w:tc>
          <w:tcPr>
            <w:tcW w:w="95" w:type="dxa"/>
            <w:tcBorders/>
            <w:shd w:fill="auto" w:val="clear"/>
            <w:vAlign w:val="bottom"/>
          </w:tcPr>
          <w:p>
            <w:pPr>
              <w:pStyle w:val="TableContents"/>
              <w:spacing w:before="0" w:after="283"/>
              <w:rPr/>
            </w:pPr>
            <w:r>
              <w:rPr/>
              <w:t> </w:t>
            </w:r>
          </w:p>
        </w:tc>
        <w:tc>
          <w:tcPr>
            <w:tcW w:w="919" w:type="dxa"/>
            <w:tcBorders/>
            <w:shd w:fill="auto" w:val="clear"/>
            <w:vAlign w:val="bottom"/>
          </w:tcPr>
          <w:p>
            <w:pPr>
              <w:pStyle w:val="TableContents"/>
              <w:spacing w:before="0" w:after="283"/>
              <w:jc w:val="right"/>
              <w:rPr>
                <w:rFonts w:ascii="times" w:hAnsi="times"/>
                <w:sz w:val="14"/>
              </w:rPr>
            </w:pPr>
            <w:r>
              <w:rPr>
                <w:rFonts w:ascii="times" w:hAnsi="times"/>
                <w:sz w:val="14"/>
              </w:rPr>
              <w:t>(2,174</w:t>
            </w:r>
          </w:p>
        </w:tc>
        <w:tc>
          <w:tcPr>
            <w:tcW w:w="158" w:type="dxa"/>
            <w:tcBorders/>
            <w:shd w:fill="auto" w:val="clear"/>
            <w:vAlign w:val="bottom"/>
          </w:tcPr>
          <w:p>
            <w:pPr>
              <w:pStyle w:val="TableContents"/>
              <w:spacing w:before="0" w:after="283"/>
              <w:rPr>
                <w:rFonts w:ascii="times" w:hAnsi="times"/>
                <w:sz w:val="14"/>
              </w:rPr>
            </w:pPr>
            <w:r>
              <w:rPr>
                <w:rFonts w:ascii="times" w:hAnsi="times"/>
                <w:sz w:val="14"/>
              </w:rPr>
              <w:t>)</w:t>
            </w:r>
          </w:p>
        </w:tc>
        <w:tc>
          <w:tcPr>
            <w:tcW w:w="95" w:type="dxa"/>
            <w:tcBorders/>
            <w:shd w:fill="auto" w:val="clear"/>
            <w:vAlign w:val="bottom"/>
          </w:tcPr>
          <w:p>
            <w:pPr>
              <w:pStyle w:val="TableContents"/>
              <w:spacing w:before="0" w:after="283"/>
              <w:rPr/>
            </w:pPr>
            <w:r>
              <w:rPr/>
              <w:t> </w:t>
            </w:r>
          </w:p>
        </w:tc>
        <w:tc>
          <w:tcPr>
            <w:tcW w:w="919" w:type="dxa"/>
            <w:tcBorders/>
            <w:shd w:fill="auto" w:val="clear"/>
            <w:vAlign w:val="bottom"/>
          </w:tcPr>
          <w:p>
            <w:pPr>
              <w:pStyle w:val="TableContents"/>
              <w:spacing w:before="0" w:after="283"/>
              <w:jc w:val="right"/>
              <w:rPr>
                <w:rFonts w:ascii="times" w:hAnsi="times"/>
                <w:sz w:val="14"/>
              </w:rPr>
            </w:pPr>
            <w:r>
              <w:rPr>
                <w:rFonts w:ascii="times" w:hAnsi="times"/>
                <w:sz w:val="14"/>
              </w:rPr>
              <w:t>1,411</w:t>
            </w:r>
          </w:p>
        </w:tc>
        <w:tc>
          <w:tcPr>
            <w:tcW w:w="158"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919" w:type="dxa"/>
            <w:tcBorders/>
            <w:shd w:fill="auto" w:val="clear"/>
            <w:vAlign w:val="bottom"/>
          </w:tcPr>
          <w:p>
            <w:pPr>
              <w:pStyle w:val="TableContents"/>
              <w:spacing w:before="0" w:after="283"/>
              <w:jc w:val="right"/>
              <w:rPr>
                <w:rFonts w:ascii="times" w:hAnsi="times"/>
                <w:sz w:val="14"/>
              </w:rPr>
            </w:pPr>
            <w:r>
              <w:rPr>
                <w:rFonts w:ascii="times" w:hAnsi="times"/>
                <w:sz w:val="14"/>
              </w:rPr>
              <w:t>13,858</w:t>
            </w:r>
          </w:p>
        </w:tc>
        <w:tc>
          <w:tcPr>
            <w:tcW w:w="157"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919" w:type="dxa"/>
            <w:tcBorders/>
            <w:shd w:fill="auto" w:val="clear"/>
            <w:vAlign w:val="bottom"/>
          </w:tcPr>
          <w:p>
            <w:pPr>
              <w:pStyle w:val="TableContents"/>
              <w:spacing w:before="0" w:after="283"/>
              <w:jc w:val="right"/>
              <w:rPr>
                <w:rFonts w:ascii="times" w:hAnsi="times"/>
                <w:sz w:val="14"/>
              </w:rPr>
            </w:pPr>
            <w:r>
              <w:rPr>
                <w:rFonts w:ascii="times" w:hAnsi="times"/>
                <w:sz w:val="14"/>
              </w:rPr>
              <w:t>8,568</w:t>
            </w:r>
          </w:p>
        </w:tc>
        <w:tc>
          <w:tcPr>
            <w:tcW w:w="169" w:type="dxa"/>
            <w:tcBorders/>
            <w:shd w:fill="auto" w:val="clear"/>
            <w:vAlign w:val="bottom"/>
          </w:tcPr>
          <w:p>
            <w:pPr>
              <w:pStyle w:val="TableContents"/>
              <w:spacing w:before="0" w:after="283"/>
              <w:rPr/>
            </w:pPr>
            <w:r>
              <w:rPr/>
              <w:t> </w:t>
            </w:r>
          </w:p>
        </w:tc>
      </w:tr>
      <w:tr>
        <w:trPr/>
        <w:tc>
          <w:tcPr>
            <w:tcW w:w="4178" w:type="dxa"/>
            <w:tcBorders/>
            <w:shd w:fill="auto" w:val="clear"/>
            <w:vAlign w:val="bottom"/>
          </w:tcPr>
          <w:p>
            <w:pPr>
              <w:pStyle w:val="TableContents"/>
              <w:spacing w:before="0" w:after="283"/>
              <w:ind w:left="140" w:right="0" w:hanging="140"/>
              <w:rPr>
                <w:rFonts w:ascii="times" w:hAnsi="times"/>
                <w:sz w:val="14"/>
              </w:rPr>
            </w:pPr>
            <w:r>
              <w:rPr>
                <w:rFonts w:ascii="times" w:hAnsi="times"/>
                <w:sz w:val="14"/>
              </w:rPr>
              <w:t>Write-off and accelerated amortization of unamortized deferred loan issuance costs</w:t>
            </w:r>
            <w:r>
              <w:rPr>
                <w:rFonts w:ascii="times" w:hAnsi="times"/>
                <w:position w:val="5"/>
                <w:sz w:val="11"/>
                <w:sz w:val="14"/>
              </w:rPr>
              <w:t>(**)</w:t>
            </w:r>
          </w:p>
        </w:tc>
        <w:tc>
          <w:tcPr>
            <w:tcW w:w="157"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919" w:type="dxa"/>
            <w:tcBorders/>
            <w:shd w:fill="auto" w:val="clear"/>
            <w:vAlign w:val="bottom"/>
          </w:tcPr>
          <w:p>
            <w:pPr>
              <w:pStyle w:val="TableContents"/>
              <w:spacing w:before="0" w:after="283"/>
              <w:jc w:val="right"/>
              <w:rPr>
                <w:rFonts w:ascii="times" w:hAnsi="times"/>
                <w:sz w:val="14"/>
              </w:rPr>
            </w:pPr>
            <w:r>
              <w:rPr>
                <w:rFonts w:ascii="times" w:hAnsi="times"/>
                <w:sz w:val="14"/>
              </w:rPr>
              <w:t></w:t>
            </w:r>
          </w:p>
        </w:tc>
        <w:tc>
          <w:tcPr>
            <w:tcW w:w="158"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919" w:type="dxa"/>
            <w:tcBorders/>
            <w:shd w:fill="auto" w:val="clear"/>
            <w:vAlign w:val="bottom"/>
          </w:tcPr>
          <w:p>
            <w:pPr>
              <w:pStyle w:val="TableContents"/>
              <w:spacing w:before="0" w:after="283"/>
              <w:jc w:val="right"/>
              <w:rPr>
                <w:rFonts w:ascii="times" w:hAnsi="times"/>
                <w:sz w:val="14"/>
              </w:rPr>
            </w:pPr>
            <w:r>
              <w:rPr>
                <w:rFonts w:ascii="times" w:hAnsi="times"/>
                <w:sz w:val="14"/>
              </w:rPr>
              <w:t>213</w:t>
            </w:r>
          </w:p>
        </w:tc>
        <w:tc>
          <w:tcPr>
            <w:tcW w:w="158"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919" w:type="dxa"/>
            <w:tcBorders/>
            <w:shd w:fill="auto" w:val="clear"/>
            <w:vAlign w:val="bottom"/>
          </w:tcPr>
          <w:p>
            <w:pPr>
              <w:pStyle w:val="TableContents"/>
              <w:spacing w:before="0" w:after="283"/>
              <w:jc w:val="right"/>
              <w:rPr>
                <w:rFonts w:ascii="times" w:hAnsi="times"/>
                <w:sz w:val="14"/>
              </w:rPr>
            </w:pPr>
            <w:r>
              <w:rPr>
                <w:rFonts w:ascii="times" w:hAnsi="times"/>
                <w:sz w:val="14"/>
              </w:rPr>
              <w:t>900</w:t>
            </w:r>
          </w:p>
        </w:tc>
        <w:tc>
          <w:tcPr>
            <w:tcW w:w="158"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919" w:type="dxa"/>
            <w:tcBorders/>
            <w:shd w:fill="auto" w:val="clear"/>
            <w:vAlign w:val="bottom"/>
          </w:tcPr>
          <w:p>
            <w:pPr>
              <w:pStyle w:val="TableContents"/>
              <w:spacing w:before="0" w:after="283"/>
              <w:jc w:val="right"/>
              <w:rPr>
                <w:rFonts w:ascii="times" w:hAnsi="times"/>
                <w:sz w:val="14"/>
              </w:rPr>
            </w:pPr>
            <w:r>
              <w:rPr>
                <w:rFonts w:ascii="times" w:hAnsi="times"/>
                <w:sz w:val="14"/>
              </w:rPr>
              <w:t>988</w:t>
            </w:r>
          </w:p>
        </w:tc>
        <w:tc>
          <w:tcPr>
            <w:tcW w:w="157"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919" w:type="dxa"/>
            <w:tcBorders/>
            <w:shd w:fill="auto" w:val="clear"/>
            <w:vAlign w:val="bottom"/>
          </w:tcPr>
          <w:p>
            <w:pPr>
              <w:pStyle w:val="TableContents"/>
              <w:spacing w:before="0" w:after="283"/>
              <w:jc w:val="right"/>
              <w:rPr>
                <w:rFonts w:ascii="times" w:hAnsi="times"/>
                <w:sz w:val="14"/>
              </w:rPr>
            </w:pPr>
            <w:r>
              <w:rPr>
                <w:rFonts w:ascii="times" w:hAnsi="times"/>
                <w:sz w:val="14"/>
              </w:rPr>
              <w:t>1,918</w:t>
            </w:r>
          </w:p>
        </w:tc>
        <w:tc>
          <w:tcPr>
            <w:tcW w:w="169" w:type="dxa"/>
            <w:tcBorders/>
            <w:shd w:fill="auto" w:val="clear"/>
            <w:vAlign w:val="bottom"/>
          </w:tcPr>
          <w:p>
            <w:pPr>
              <w:pStyle w:val="TableContents"/>
              <w:spacing w:before="0" w:after="283"/>
              <w:rPr/>
            </w:pPr>
            <w:r>
              <w:rPr/>
              <w:t> </w:t>
            </w:r>
          </w:p>
        </w:tc>
      </w:tr>
      <w:tr>
        <w:trPr/>
        <w:tc>
          <w:tcPr>
            <w:tcW w:w="4178" w:type="dxa"/>
            <w:tcBorders/>
            <w:shd w:fill="auto" w:val="clear"/>
            <w:vAlign w:val="bottom"/>
          </w:tcPr>
          <w:p>
            <w:pPr>
              <w:pStyle w:val="TableContents"/>
              <w:spacing w:before="0" w:after="283"/>
              <w:ind w:left="140" w:right="0" w:hanging="140"/>
              <w:rPr>
                <w:rFonts w:ascii="times" w:hAnsi="times"/>
                <w:sz w:val="14"/>
              </w:rPr>
            </w:pPr>
            <w:r>
              <w:rPr>
                <w:rFonts w:ascii="times" w:hAnsi="times"/>
                <w:sz w:val="14"/>
              </w:rPr>
              <w:t>Impairment loss on vessels</w:t>
            </w:r>
          </w:p>
        </w:tc>
        <w:tc>
          <w:tcPr>
            <w:tcW w:w="157"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919" w:type="dxa"/>
            <w:tcBorders/>
            <w:shd w:fill="auto" w:val="clear"/>
            <w:vAlign w:val="bottom"/>
          </w:tcPr>
          <w:p>
            <w:pPr>
              <w:pStyle w:val="TableContents"/>
              <w:spacing w:before="0" w:after="283"/>
              <w:jc w:val="right"/>
              <w:rPr>
                <w:rFonts w:ascii="times" w:hAnsi="times"/>
                <w:sz w:val="14"/>
              </w:rPr>
            </w:pPr>
            <w:r>
              <w:rPr>
                <w:rFonts w:ascii="times" w:hAnsi="times"/>
                <w:sz w:val="14"/>
              </w:rPr>
              <w:t></w:t>
            </w:r>
          </w:p>
        </w:tc>
        <w:tc>
          <w:tcPr>
            <w:tcW w:w="158"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919" w:type="dxa"/>
            <w:tcBorders/>
            <w:shd w:fill="auto" w:val="clear"/>
            <w:vAlign w:val="bottom"/>
          </w:tcPr>
          <w:p>
            <w:pPr>
              <w:pStyle w:val="TableContents"/>
              <w:spacing w:before="0" w:after="283"/>
              <w:jc w:val="right"/>
              <w:rPr>
                <w:rFonts w:ascii="times" w:hAnsi="times"/>
                <w:sz w:val="14"/>
              </w:rPr>
            </w:pPr>
            <w:r>
              <w:rPr>
                <w:rFonts w:ascii="times" w:hAnsi="times"/>
                <w:sz w:val="14"/>
              </w:rPr>
              <w:t></w:t>
            </w:r>
          </w:p>
        </w:tc>
        <w:tc>
          <w:tcPr>
            <w:tcW w:w="158"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919" w:type="dxa"/>
            <w:tcBorders/>
            <w:shd w:fill="auto" w:val="clear"/>
            <w:vAlign w:val="bottom"/>
          </w:tcPr>
          <w:p>
            <w:pPr>
              <w:pStyle w:val="TableContents"/>
              <w:spacing w:before="0" w:after="283"/>
              <w:jc w:val="right"/>
              <w:rPr>
                <w:rFonts w:ascii="times" w:hAnsi="times"/>
                <w:sz w:val="14"/>
              </w:rPr>
            </w:pPr>
            <w:r>
              <w:rPr>
                <w:rFonts w:ascii="times" w:hAnsi="times"/>
                <w:sz w:val="14"/>
              </w:rPr>
              <w:t></w:t>
            </w:r>
          </w:p>
        </w:tc>
        <w:tc>
          <w:tcPr>
            <w:tcW w:w="158"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919" w:type="dxa"/>
            <w:tcBorders/>
            <w:shd w:fill="auto" w:val="clear"/>
            <w:vAlign w:val="bottom"/>
          </w:tcPr>
          <w:p>
            <w:pPr>
              <w:pStyle w:val="TableContents"/>
              <w:spacing w:before="0" w:after="283"/>
              <w:jc w:val="right"/>
              <w:rPr>
                <w:rFonts w:ascii="times" w:hAnsi="times"/>
                <w:sz w:val="14"/>
              </w:rPr>
            </w:pPr>
            <w:r>
              <w:rPr>
                <w:rFonts w:ascii="times" w:hAnsi="times"/>
                <w:sz w:val="14"/>
              </w:rPr>
              <w:t>138,848</w:t>
            </w:r>
          </w:p>
        </w:tc>
        <w:tc>
          <w:tcPr>
            <w:tcW w:w="157"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919" w:type="dxa"/>
            <w:tcBorders/>
            <w:shd w:fill="auto" w:val="clear"/>
            <w:vAlign w:val="bottom"/>
          </w:tcPr>
          <w:p>
            <w:pPr>
              <w:pStyle w:val="TableContents"/>
              <w:spacing w:before="0" w:after="283"/>
              <w:jc w:val="right"/>
              <w:rPr>
                <w:rFonts w:ascii="times" w:hAnsi="times"/>
                <w:sz w:val="14"/>
              </w:rPr>
            </w:pPr>
            <w:r>
              <w:rPr>
                <w:rFonts w:ascii="times" w:hAnsi="times"/>
                <w:sz w:val="14"/>
              </w:rPr>
              <w:t>23,923</w:t>
            </w:r>
          </w:p>
        </w:tc>
        <w:tc>
          <w:tcPr>
            <w:tcW w:w="169" w:type="dxa"/>
            <w:tcBorders/>
            <w:shd w:fill="auto" w:val="clear"/>
            <w:vAlign w:val="bottom"/>
          </w:tcPr>
          <w:p>
            <w:pPr>
              <w:pStyle w:val="TableContents"/>
              <w:spacing w:before="0" w:after="283"/>
              <w:rPr/>
            </w:pPr>
            <w:r>
              <w:rPr/>
              <w:t> </w:t>
            </w:r>
          </w:p>
        </w:tc>
      </w:tr>
      <w:tr>
        <w:trPr/>
        <w:tc>
          <w:tcPr>
            <w:tcW w:w="4178" w:type="dxa"/>
            <w:tcBorders/>
            <w:shd w:fill="auto" w:val="clear"/>
            <w:vAlign w:val="bottom"/>
          </w:tcPr>
          <w:p>
            <w:pPr>
              <w:pStyle w:val="TableContents"/>
              <w:spacing w:before="0" w:after="283"/>
              <w:ind w:left="140" w:right="0" w:hanging="140"/>
              <w:rPr>
                <w:rFonts w:ascii="times" w:hAnsi="times"/>
                <w:sz w:val="14"/>
              </w:rPr>
            </w:pPr>
            <w:r>
              <w:rPr>
                <w:rFonts w:ascii="times" w:hAnsi="times"/>
                <w:sz w:val="14"/>
              </w:rPr>
              <w:t>Restructuring costs</w:t>
            </w:r>
          </w:p>
        </w:tc>
        <w:tc>
          <w:tcPr>
            <w:tcW w:w="157"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919" w:type="dxa"/>
            <w:tcBorders/>
            <w:shd w:fill="auto" w:val="clear"/>
            <w:vAlign w:val="bottom"/>
          </w:tcPr>
          <w:p>
            <w:pPr>
              <w:pStyle w:val="TableContents"/>
              <w:spacing w:before="0" w:after="283"/>
              <w:jc w:val="right"/>
              <w:rPr>
                <w:rFonts w:ascii="times" w:hAnsi="times"/>
                <w:sz w:val="14"/>
              </w:rPr>
            </w:pPr>
            <w:r>
              <w:rPr>
                <w:rFonts w:ascii="times" w:hAnsi="times"/>
                <w:sz w:val="14"/>
              </w:rPr>
              <w:t></w:t>
            </w:r>
          </w:p>
        </w:tc>
        <w:tc>
          <w:tcPr>
            <w:tcW w:w="158"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919" w:type="dxa"/>
            <w:tcBorders/>
            <w:shd w:fill="auto" w:val="clear"/>
            <w:vAlign w:val="bottom"/>
          </w:tcPr>
          <w:p>
            <w:pPr>
              <w:pStyle w:val="TableContents"/>
              <w:spacing w:before="0" w:after="283"/>
              <w:jc w:val="right"/>
              <w:rPr>
                <w:rFonts w:ascii="times" w:hAnsi="times"/>
                <w:sz w:val="14"/>
              </w:rPr>
            </w:pPr>
            <w:r>
              <w:rPr>
                <w:rFonts w:ascii="times" w:hAnsi="times"/>
                <w:sz w:val="14"/>
              </w:rPr>
              <w:t></w:t>
            </w:r>
          </w:p>
        </w:tc>
        <w:tc>
          <w:tcPr>
            <w:tcW w:w="158"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919" w:type="dxa"/>
            <w:tcBorders/>
            <w:shd w:fill="auto" w:val="clear"/>
            <w:vAlign w:val="bottom"/>
          </w:tcPr>
          <w:p>
            <w:pPr>
              <w:pStyle w:val="TableContents"/>
              <w:spacing w:before="0" w:after="283"/>
              <w:jc w:val="right"/>
              <w:rPr>
                <w:rFonts w:ascii="times" w:hAnsi="times"/>
                <w:sz w:val="14"/>
              </w:rPr>
            </w:pPr>
            <w:r>
              <w:rPr>
                <w:rFonts w:ascii="times" w:hAnsi="times"/>
                <w:sz w:val="14"/>
              </w:rPr>
              <w:t></w:t>
            </w:r>
          </w:p>
        </w:tc>
        <w:tc>
          <w:tcPr>
            <w:tcW w:w="158"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919" w:type="dxa"/>
            <w:tcBorders/>
            <w:shd w:fill="auto" w:val="clear"/>
            <w:vAlign w:val="bottom"/>
          </w:tcPr>
          <w:p>
            <w:pPr>
              <w:pStyle w:val="TableContents"/>
              <w:spacing w:before="0" w:after="283"/>
              <w:jc w:val="right"/>
              <w:rPr>
                <w:rFonts w:ascii="times" w:hAnsi="times"/>
                <w:sz w:val="14"/>
              </w:rPr>
            </w:pPr>
            <w:r>
              <w:rPr>
                <w:rFonts w:ascii="times" w:hAnsi="times"/>
                <w:sz w:val="14"/>
              </w:rPr>
              <w:t></w:t>
            </w:r>
          </w:p>
        </w:tc>
        <w:tc>
          <w:tcPr>
            <w:tcW w:w="157"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919" w:type="dxa"/>
            <w:tcBorders/>
            <w:shd w:fill="auto" w:val="clear"/>
            <w:vAlign w:val="bottom"/>
          </w:tcPr>
          <w:p>
            <w:pPr>
              <w:pStyle w:val="TableContents"/>
              <w:spacing w:before="0" w:after="283"/>
              <w:jc w:val="right"/>
              <w:rPr>
                <w:rFonts w:ascii="times" w:hAnsi="times"/>
                <w:sz w:val="14"/>
              </w:rPr>
            </w:pPr>
            <w:r>
              <w:rPr>
                <w:rFonts w:ascii="times" w:hAnsi="times"/>
                <w:sz w:val="14"/>
              </w:rPr>
              <w:t xml:space="preserve">1,174 </w:t>
            </w:r>
          </w:p>
        </w:tc>
        <w:tc>
          <w:tcPr>
            <w:tcW w:w="169" w:type="dxa"/>
            <w:tcBorders/>
            <w:shd w:fill="auto" w:val="clear"/>
            <w:vAlign w:val="bottom"/>
          </w:tcPr>
          <w:p>
            <w:pPr>
              <w:pStyle w:val="TableContents"/>
              <w:spacing w:before="0" w:after="283"/>
              <w:rPr/>
            </w:pPr>
            <w:r>
              <w:rPr/>
              <w:t> </w:t>
            </w:r>
          </w:p>
        </w:tc>
      </w:tr>
      <w:tr>
        <w:trPr/>
        <w:tc>
          <w:tcPr>
            <w:tcW w:w="4178" w:type="dxa"/>
            <w:tcBorders/>
            <w:shd w:fill="FFFFFF" w:val="clear"/>
            <w:vAlign w:val="bottom"/>
          </w:tcPr>
          <w:p>
            <w:pPr>
              <w:pStyle w:val="TableContents"/>
              <w:spacing w:before="0" w:after="283"/>
              <w:rPr/>
            </w:pPr>
            <w:r>
              <w:rPr/>
              <w:t>​</w:t>
            </w:r>
          </w:p>
        </w:tc>
        <w:tc>
          <w:tcPr>
            <w:tcW w:w="157" w:type="dxa"/>
            <w:tcBorders/>
            <w:shd w:fill="FFFFFF" w:val="clear"/>
            <w:vAlign w:val="bottom"/>
          </w:tcPr>
          <w:p>
            <w:pPr>
              <w:pStyle w:val="TableContents"/>
              <w:spacing w:before="0" w:after="283"/>
              <w:rPr/>
            </w:pPr>
            <w:r>
              <w:rPr/>
              <w:t>​</w:t>
            </w:r>
          </w:p>
        </w:tc>
        <w:tc>
          <w:tcPr>
            <w:tcW w:w="95" w:type="dxa"/>
            <w:tcBorders>
              <w:bottom w:val="single" w:sz="8" w:space="0" w:color="000000"/>
            </w:tcBorders>
            <w:shd w:fill="FFFFFF" w:val="clear"/>
            <w:tcMar>
              <w:bottom w:w="28" w:type="dxa"/>
            </w:tcMar>
            <w:vAlign w:val="bottom"/>
          </w:tcPr>
          <w:p>
            <w:pPr>
              <w:pStyle w:val="TableContents"/>
              <w:spacing w:before="0" w:after="283"/>
              <w:rPr/>
            </w:pPr>
            <w:r>
              <w:rPr/>
              <w:t xml:space="preserve">​ </w:t>
            </w:r>
          </w:p>
        </w:tc>
        <w:tc>
          <w:tcPr>
            <w:tcW w:w="919" w:type="dxa"/>
            <w:tcBorders>
              <w:bottom w:val="single" w:sz="8" w:space="0" w:color="000000"/>
            </w:tcBorders>
            <w:shd w:fill="FFFFFF" w:val="clear"/>
            <w:tcMar>
              <w:bottom w:w="28" w:type="dxa"/>
            </w:tcMar>
            <w:vAlign w:val="bottom"/>
          </w:tcPr>
          <w:p>
            <w:pPr>
              <w:pStyle w:val="TableContents"/>
              <w:spacing w:before="0" w:after="283"/>
              <w:jc w:val="right"/>
              <w:rPr/>
            </w:pPr>
            <w:r>
              <w:rPr/>
              <w:t xml:space="preserve">​ </w:t>
            </w:r>
          </w:p>
        </w:tc>
        <w:tc>
          <w:tcPr>
            <w:tcW w:w="158" w:type="dxa"/>
            <w:tcBorders/>
            <w:shd w:fill="FFFFFF" w:val="clear"/>
            <w:vAlign w:val="bottom"/>
          </w:tcPr>
          <w:p>
            <w:pPr>
              <w:pStyle w:val="TableContents"/>
              <w:spacing w:before="0" w:after="283"/>
              <w:rPr/>
            </w:pPr>
            <w:r>
              <w:rPr/>
              <w:t>​</w:t>
            </w:r>
          </w:p>
        </w:tc>
        <w:tc>
          <w:tcPr>
            <w:tcW w:w="95" w:type="dxa"/>
            <w:tcBorders>
              <w:bottom w:val="single" w:sz="8" w:space="0" w:color="000000"/>
            </w:tcBorders>
            <w:shd w:fill="FFFFFF" w:val="clear"/>
            <w:tcMar>
              <w:bottom w:w="28" w:type="dxa"/>
            </w:tcMar>
            <w:vAlign w:val="bottom"/>
          </w:tcPr>
          <w:p>
            <w:pPr>
              <w:pStyle w:val="TableContents"/>
              <w:spacing w:before="0" w:after="283"/>
              <w:rPr/>
            </w:pPr>
            <w:r>
              <w:rPr/>
              <w:t xml:space="preserve">​ </w:t>
            </w:r>
          </w:p>
        </w:tc>
        <w:tc>
          <w:tcPr>
            <w:tcW w:w="919" w:type="dxa"/>
            <w:tcBorders>
              <w:bottom w:val="single" w:sz="8" w:space="0" w:color="000000"/>
            </w:tcBorders>
            <w:shd w:fill="FFFFFF" w:val="clear"/>
            <w:tcMar>
              <w:bottom w:w="28" w:type="dxa"/>
            </w:tcMar>
            <w:vAlign w:val="bottom"/>
          </w:tcPr>
          <w:p>
            <w:pPr>
              <w:pStyle w:val="TableContents"/>
              <w:spacing w:before="0" w:after="283"/>
              <w:jc w:val="right"/>
              <w:rPr/>
            </w:pPr>
            <w:r>
              <w:rPr/>
              <w:t xml:space="preserve">​ </w:t>
            </w:r>
          </w:p>
        </w:tc>
        <w:tc>
          <w:tcPr>
            <w:tcW w:w="158" w:type="dxa"/>
            <w:tcBorders/>
            <w:shd w:fill="FFFFFF" w:val="clear"/>
            <w:vAlign w:val="bottom"/>
          </w:tcPr>
          <w:p>
            <w:pPr>
              <w:pStyle w:val="TableContents"/>
              <w:spacing w:before="0" w:after="283"/>
              <w:rPr/>
            </w:pPr>
            <w:r>
              <w:rPr/>
              <w:t>​</w:t>
            </w:r>
          </w:p>
        </w:tc>
        <w:tc>
          <w:tcPr>
            <w:tcW w:w="95" w:type="dxa"/>
            <w:tcBorders>
              <w:bottom w:val="single" w:sz="8" w:space="0" w:color="000000"/>
            </w:tcBorders>
            <w:shd w:fill="FFFFFF" w:val="clear"/>
            <w:tcMar>
              <w:bottom w:w="28" w:type="dxa"/>
            </w:tcMar>
            <w:vAlign w:val="bottom"/>
          </w:tcPr>
          <w:p>
            <w:pPr>
              <w:pStyle w:val="TableContents"/>
              <w:spacing w:before="0" w:after="283"/>
              <w:rPr/>
            </w:pPr>
            <w:r>
              <w:rPr/>
              <w:t xml:space="preserve">​ </w:t>
            </w:r>
          </w:p>
        </w:tc>
        <w:tc>
          <w:tcPr>
            <w:tcW w:w="919" w:type="dxa"/>
            <w:tcBorders>
              <w:bottom w:val="single" w:sz="8" w:space="0" w:color="000000"/>
            </w:tcBorders>
            <w:shd w:fill="FFFFFF" w:val="clear"/>
            <w:tcMar>
              <w:bottom w:w="28" w:type="dxa"/>
            </w:tcMar>
            <w:vAlign w:val="bottom"/>
          </w:tcPr>
          <w:p>
            <w:pPr>
              <w:pStyle w:val="TableContents"/>
              <w:spacing w:before="0" w:after="283"/>
              <w:jc w:val="right"/>
              <w:rPr/>
            </w:pPr>
            <w:r>
              <w:rPr/>
              <w:t xml:space="preserve">​ </w:t>
            </w:r>
          </w:p>
        </w:tc>
        <w:tc>
          <w:tcPr>
            <w:tcW w:w="158" w:type="dxa"/>
            <w:tcBorders/>
            <w:shd w:fill="FFFFFF" w:val="clear"/>
            <w:vAlign w:val="bottom"/>
          </w:tcPr>
          <w:p>
            <w:pPr>
              <w:pStyle w:val="TableContents"/>
              <w:spacing w:before="0" w:after="283"/>
              <w:rPr/>
            </w:pPr>
            <w:r>
              <w:rPr/>
              <w:t>​</w:t>
            </w:r>
          </w:p>
        </w:tc>
        <w:tc>
          <w:tcPr>
            <w:tcW w:w="95" w:type="dxa"/>
            <w:tcBorders>
              <w:bottom w:val="single" w:sz="8" w:space="0" w:color="000000"/>
            </w:tcBorders>
            <w:shd w:fill="FFFFFF" w:val="clear"/>
            <w:tcMar>
              <w:bottom w:w="28" w:type="dxa"/>
            </w:tcMar>
            <w:vAlign w:val="bottom"/>
          </w:tcPr>
          <w:p>
            <w:pPr>
              <w:pStyle w:val="TableContents"/>
              <w:spacing w:before="0" w:after="283"/>
              <w:rPr/>
            </w:pPr>
            <w:r>
              <w:rPr/>
              <w:t xml:space="preserve">​ </w:t>
            </w:r>
          </w:p>
        </w:tc>
        <w:tc>
          <w:tcPr>
            <w:tcW w:w="919" w:type="dxa"/>
            <w:tcBorders>
              <w:bottom w:val="single" w:sz="8" w:space="0" w:color="000000"/>
            </w:tcBorders>
            <w:shd w:fill="FFFFFF" w:val="clear"/>
            <w:tcMar>
              <w:bottom w:w="28" w:type="dxa"/>
            </w:tcMar>
            <w:vAlign w:val="bottom"/>
          </w:tcPr>
          <w:p>
            <w:pPr>
              <w:pStyle w:val="TableContents"/>
              <w:spacing w:before="0" w:after="283"/>
              <w:jc w:val="right"/>
              <w:rPr/>
            </w:pPr>
            <w:r>
              <w:rPr/>
              <w:t xml:space="preserve">​ </w:t>
            </w:r>
          </w:p>
        </w:tc>
        <w:tc>
          <w:tcPr>
            <w:tcW w:w="157" w:type="dxa"/>
            <w:tcBorders/>
            <w:shd w:fill="FFFFFF" w:val="clear"/>
            <w:vAlign w:val="bottom"/>
          </w:tcPr>
          <w:p>
            <w:pPr>
              <w:pStyle w:val="TableContents"/>
              <w:spacing w:before="0" w:after="283"/>
              <w:rPr/>
            </w:pPr>
            <w:r>
              <w:rPr/>
              <w:t>​</w:t>
            </w:r>
          </w:p>
        </w:tc>
        <w:tc>
          <w:tcPr>
            <w:tcW w:w="95" w:type="dxa"/>
            <w:tcBorders>
              <w:bottom w:val="single" w:sz="8" w:space="0" w:color="000000"/>
            </w:tcBorders>
            <w:shd w:fill="FFFFFF" w:val="clear"/>
            <w:tcMar>
              <w:bottom w:w="28" w:type="dxa"/>
            </w:tcMar>
            <w:vAlign w:val="bottom"/>
          </w:tcPr>
          <w:p>
            <w:pPr>
              <w:pStyle w:val="TableContents"/>
              <w:spacing w:before="0" w:after="283"/>
              <w:rPr/>
            </w:pPr>
            <w:r>
              <w:rPr/>
              <w:t xml:space="preserve">​ </w:t>
            </w:r>
          </w:p>
        </w:tc>
        <w:tc>
          <w:tcPr>
            <w:tcW w:w="919" w:type="dxa"/>
            <w:tcBorders>
              <w:bottom w:val="single" w:sz="8" w:space="0" w:color="000000"/>
            </w:tcBorders>
            <w:shd w:fill="FFFFFF" w:val="clear"/>
            <w:tcMar>
              <w:bottom w:w="28" w:type="dxa"/>
            </w:tcMar>
            <w:vAlign w:val="bottom"/>
          </w:tcPr>
          <w:p>
            <w:pPr>
              <w:pStyle w:val="TableContents"/>
              <w:spacing w:before="0" w:after="283"/>
              <w:jc w:val="right"/>
              <w:rPr/>
            </w:pPr>
            <w:r>
              <w:rPr/>
              <w:t xml:space="preserve">​ </w:t>
            </w:r>
          </w:p>
        </w:tc>
        <w:tc>
          <w:tcPr>
            <w:tcW w:w="169" w:type="dxa"/>
            <w:tcBorders/>
            <w:shd w:fill="FFFFFF" w:val="clear"/>
            <w:vAlign w:val="bottom"/>
          </w:tcPr>
          <w:p>
            <w:pPr>
              <w:pStyle w:val="TableContents"/>
              <w:spacing w:before="0" w:after="283"/>
              <w:rPr/>
            </w:pPr>
            <w:r>
              <w:rPr/>
              <w:t>​</w:t>
            </w:r>
          </w:p>
        </w:tc>
      </w:tr>
      <w:tr>
        <w:trPr/>
        <w:tc>
          <w:tcPr>
            <w:tcW w:w="4178" w:type="dxa"/>
            <w:tcBorders/>
            <w:shd w:fill="auto" w:val="clear"/>
            <w:vAlign w:val="bottom"/>
          </w:tcPr>
          <w:p>
            <w:pPr>
              <w:pStyle w:val="TableContents"/>
              <w:spacing w:before="0" w:after="283"/>
              <w:ind w:left="140" w:right="0" w:hanging="140"/>
              <w:rPr>
                <w:rFonts w:ascii="times" w:hAnsi="times"/>
                <w:b/>
                <w:sz w:val="14"/>
              </w:rPr>
            </w:pPr>
            <w:r>
              <w:rPr>
                <w:rFonts w:ascii="times" w:hAnsi="times"/>
                <w:b/>
                <w:sz w:val="14"/>
              </w:rPr>
              <w:t>Adjusted Partnership's profit used in EPU calculation attributable to:</w:t>
            </w:r>
          </w:p>
        </w:tc>
        <w:tc>
          <w:tcPr>
            <w:tcW w:w="157"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rFonts w:ascii="times" w:hAnsi="times"/>
                <w:b/>
                <w:sz w:val="14"/>
              </w:rPr>
            </w:pPr>
            <w:r>
              <w:rPr>
                <w:rFonts w:ascii="times" w:hAnsi="times"/>
                <w:b/>
                <w:sz w:val="14"/>
              </w:rPr>
              <w:t>$</w:t>
            </w:r>
          </w:p>
        </w:tc>
        <w:tc>
          <w:tcPr>
            <w:tcW w:w="919" w:type="dxa"/>
            <w:tcBorders/>
            <w:shd w:fill="auto" w:val="clear"/>
            <w:vAlign w:val="bottom"/>
          </w:tcPr>
          <w:p>
            <w:pPr>
              <w:pStyle w:val="TableContents"/>
              <w:spacing w:before="0" w:after="283"/>
              <w:jc w:val="right"/>
              <w:rPr>
                <w:rFonts w:ascii="times" w:hAnsi="times"/>
                <w:b/>
                <w:sz w:val="14"/>
              </w:rPr>
            </w:pPr>
            <w:r>
              <w:rPr>
                <w:rFonts w:ascii="times" w:hAnsi="times"/>
                <w:b/>
                <w:sz w:val="14"/>
              </w:rPr>
              <w:t>73,098</w:t>
            </w:r>
          </w:p>
        </w:tc>
        <w:tc>
          <w:tcPr>
            <w:tcW w:w="158"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rFonts w:ascii="times" w:hAnsi="times"/>
                <w:b/>
                <w:sz w:val="14"/>
              </w:rPr>
            </w:pPr>
            <w:r>
              <w:rPr>
                <w:rFonts w:ascii="times" w:hAnsi="times"/>
                <w:b/>
                <w:sz w:val="14"/>
              </w:rPr>
              <w:t>$</w:t>
            </w:r>
          </w:p>
        </w:tc>
        <w:tc>
          <w:tcPr>
            <w:tcW w:w="919" w:type="dxa"/>
            <w:tcBorders/>
            <w:shd w:fill="auto" w:val="clear"/>
            <w:vAlign w:val="bottom"/>
          </w:tcPr>
          <w:p>
            <w:pPr>
              <w:pStyle w:val="TableContents"/>
              <w:spacing w:before="0" w:after="283"/>
              <w:jc w:val="right"/>
              <w:rPr>
                <w:rFonts w:ascii="times" w:hAnsi="times"/>
                <w:b/>
                <w:sz w:val="14"/>
              </w:rPr>
            </w:pPr>
            <w:r>
              <w:rPr>
                <w:rFonts w:ascii="times" w:hAnsi="times"/>
                <w:b/>
                <w:sz w:val="14"/>
              </w:rPr>
              <w:t>84,407</w:t>
            </w:r>
          </w:p>
        </w:tc>
        <w:tc>
          <w:tcPr>
            <w:tcW w:w="158"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rFonts w:ascii="times" w:hAnsi="times"/>
                <w:b/>
                <w:sz w:val="14"/>
              </w:rPr>
            </w:pPr>
            <w:r>
              <w:rPr>
                <w:rFonts w:ascii="times" w:hAnsi="times"/>
                <w:b/>
                <w:sz w:val="14"/>
              </w:rPr>
              <w:t>$</w:t>
            </w:r>
          </w:p>
        </w:tc>
        <w:tc>
          <w:tcPr>
            <w:tcW w:w="919" w:type="dxa"/>
            <w:tcBorders/>
            <w:shd w:fill="auto" w:val="clear"/>
            <w:vAlign w:val="bottom"/>
          </w:tcPr>
          <w:p>
            <w:pPr>
              <w:pStyle w:val="TableContents"/>
              <w:spacing w:before="0" w:after="283"/>
              <w:jc w:val="right"/>
              <w:rPr>
                <w:rFonts w:ascii="times" w:hAnsi="times"/>
                <w:b/>
                <w:sz w:val="14"/>
              </w:rPr>
            </w:pPr>
            <w:r>
              <w:rPr>
                <w:rFonts w:ascii="times" w:hAnsi="times"/>
                <w:b/>
                <w:sz w:val="14"/>
              </w:rPr>
              <w:t>82,410</w:t>
            </w:r>
          </w:p>
        </w:tc>
        <w:tc>
          <w:tcPr>
            <w:tcW w:w="158"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rFonts w:ascii="times" w:hAnsi="times"/>
                <w:b/>
                <w:sz w:val="14"/>
              </w:rPr>
            </w:pPr>
            <w:r>
              <w:rPr>
                <w:rFonts w:ascii="times" w:hAnsi="times"/>
                <w:b/>
                <w:sz w:val="14"/>
              </w:rPr>
              <w:t>$</w:t>
            </w:r>
          </w:p>
        </w:tc>
        <w:tc>
          <w:tcPr>
            <w:tcW w:w="919" w:type="dxa"/>
            <w:tcBorders/>
            <w:shd w:fill="auto" w:val="clear"/>
            <w:vAlign w:val="bottom"/>
          </w:tcPr>
          <w:p>
            <w:pPr>
              <w:pStyle w:val="TableContents"/>
              <w:spacing w:before="0" w:after="283"/>
              <w:jc w:val="right"/>
              <w:rPr>
                <w:rFonts w:ascii="times" w:hAnsi="times"/>
                <w:b/>
                <w:sz w:val="14"/>
              </w:rPr>
            </w:pPr>
            <w:r>
              <w:rPr>
                <w:rFonts w:ascii="times" w:hAnsi="times"/>
                <w:b/>
                <w:sz w:val="14"/>
              </w:rPr>
              <w:t>85,947</w:t>
            </w:r>
          </w:p>
        </w:tc>
        <w:tc>
          <w:tcPr>
            <w:tcW w:w="157"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rFonts w:ascii="times" w:hAnsi="times"/>
                <w:b/>
                <w:sz w:val="14"/>
              </w:rPr>
            </w:pPr>
            <w:r>
              <w:rPr>
                <w:rFonts w:ascii="times" w:hAnsi="times"/>
                <w:b/>
                <w:sz w:val="14"/>
              </w:rPr>
              <w:t>$</w:t>
            </w:r>
          </w:p>
        </w:tc>
        <w:tc>
          <w:tcPr>
            <w:tcW w:w="919" w:type="dxa"/>
            <w:tcBorders/>
            <w:shd w:fill="auto" w:val="clear"/>
            <w:vAlign w:val="bottom"/>
          </w:tcPr>
          <w:p>
            <w:pPr>
              <w:pStyle w:val="TableContents"/>
              <w:spacing w:before="0" w:after="283"/>
              <w:jc w:val="right"/>
              <w:rPr>
                <w:rFonts w:ascii="times" w:hAnsi="times"/>
                <w:b/>
                <w:sz w:val="14"/>
              </w:rPr>
            </w:pPr>
            <w:r>
              <w:rPr>
                <w:rFonts w:ascii="times" w:hAnsi="times"/>
                <w:b/>
                <w:sz w:val="14"/>
              </w:rPr>
              <w:t>62,114</w:t>
            </w:r>
          </w:p>
        </w:tc>
        <w:tc>
          <w:tcPr>
            <w:tcW w:w="169" w:type="dxa"/>
            <w:tcBorders/>
            <w:shd w:fill="auto" w:val="clear"/>
            <w:vAlign w:val="bottom"/>
          </w:tcPr>
          <w:p>
            <w:pPr>
              <w:pStyle w:val="TableContents"/>
              <w:spacing w:before="0" w:after="283"/>
              <w:rPr/>
            </w:pPr>
            <w:r>
              <w:rPr/>
              <w:t> </w:t>
            </w:r>
          </w:p>
        </w:tc>
      </w:tr>
      <w:tr>
        <w:trPr/>
        <w:tc>
          <w:tcPr>
            <w:tcW w:w="4178" w:type="dxa"/>
            <w:tcBorders/>
            <w:shd w:fill="FFFFFF" w:val="clear"/>
            <w:vAlign w:val="bottom"/>
          </w:tcPr>
          <w:p>
            <w:pPr>
              <w:pStyle w:val="TableContents"/>
              <w:spacing w:before="0" w:after="283"/>
              <w:rPr/>
            </w:pPr>
            <w:r>
              <w:rPr/>
              <w:t>​</w:t>
            </w:r>
          </w:p>
        </w:tc>
        <w:tc>
          <w:tcPr>
            <w:tcW w:w="157" w:type="dxa"/>
            <w:tcBorders/>
            <w:shd w:fill="FFFFFF" w:val="clear"/>
            <w:vAlign w:val="bottom"/>
          </w:tcPr>
          <w:p>
            <w:pPr>
              <w:pStyle w:val="TableContents"/>
              <w:spacing w:before="0" w:after="283"/>
              <w:rPr/>
            </w:pPr>
            <w:r>
              <w:rPr/>
              <w:t>​</w:t>
            </w:r>
          </w:p>
        </w:tc>
        <w:tc>
          <w:tcPr>
            <w:tcW w:w="95" w:type="dxa"/>
            <w:tcBorders>
              <w:bottom w:val="single" w:sz="8" w:space="0" w:color="000000"/>
            </w:tcBorders>
            <w:shd w:fill="FFFFFF" w:val="clear"/>
            <w:tcMar>
              <w:bottom w:w="28" w:type="dxa"/>
            </w:tcMar>
            <w:vAlign w:val="bottom"/>
          </w:tcPr>
          <w:p>
            <w:pPr>
              <w:pStyle w:val="TableContents"/>
              <w:spacing w:before="0" w:after="283"/>
              <w:rPr/>
            </w:pPr>
            <w:r>
              <w:rPr/>
              <w:t xml:space="preserve">​ </w:t>
            </w:r>
          </w:p>
        </w:tc>
        <w:tc>
          <w:tcPr>
            <w:tcW w:w="919" w:type="dxa"/>
            <w:tcBorders>
              <w:bottom w:val="single" w:sz="8" w:space="0" w:color="000000"/>
            </w:tcBorders>
            <w:shd w:fill="FFFFFF" w:val="clear"/>
            <w:tcMar>
              <w:bottom w:w="28" w:type="dxa"/>
            </w:tcMar>
            <w:vAlign w:val="bottom"/>
          </w:tcPr>
          <w:p>
            <w:pPr>
              <w:pStyle w:val="TableContents"/>
              <w:spacing w:before="0" w:after="283"/>
              <w:jc w:val="right"/>
              <w:rPr/>
            </w:pPr>
            <w:r>
              <w:rPr/>
              <w:t xml:space="preserve">​ </w:t>
            </w:r>
          </w:p>
        </w:tc>
        <w:tc>
          <w:tcPr>
            <w:tcW w:w="158" w:type="dxa"/>
            <w:tcBorders/>
            <w:shd w:fill="FFFFFF" w:val="clear"/>
            <w:vAlign w:val="bottom"/>
          </w:tcPr>
          <w:p>
            <w:pPr>
              <w:pStyle w:val="TableContents"/>
              <w:spacing w:before="0" w:after="283"/>
              <w:rPr/>
            </w:pPr>
            <w:r>
              <w:rPr/>
              <w:t>​</w:t>
            </w:r>
          </w:p>
        </w:tc>
        <w:tc>
          <w:tcPr>
            <w:tcW w:w="95" w:type="dxa"/>
            <w:tcBorders>
              <w:bottom w:val="single" w:sz="8" w:space="0" w:color="000000"/>
            </w:tcBorders>
            <w:shd w:fill="FFFFFF" w:val="clear"/>
            <w:tcMar>
              <w:bottom w:w="28" w:type="dxa"/>
            </w:tcMar>
            <w:vAlign w:val="bottom"/>
          </w:tcPr>
          <w:p>
            <w:pPr>
              <w:pStyle w:val="TableContents"/>
              <w:spacing w:before="0" w:after="283"/>
              <w:rPr/>
            </w:pPr>
            <w:r>
              <w:rPr/>
              <w:t xml:space="preserve">​ </w:t>
            </w:r>
          </w:p>
        </w:tc>
        <w:tc>
          <w:tcPr>
            <w:tcW w:w="919" w:type="dxa"/>
            <w:tcBorders>
              <w:bottom w:val="single" w:sz="8" w:space="0" w:color="000000"/>
            </w:tcBorders>
            <w:shd w:fill="FFFFFF" w:val="clear"/>
            <w:tcMar>
              <w:bottom w:w="28" w:type="dxa"/>
            </w:tcMar>
            <w:vAlign w:val="bottom"/>
          </w:tcPr>
          <w:p>
            <w:pPr>
              <w:pStyle w:val="TableContents"/>
              <w:spacing w:before="0" w:after="283"/>
              <w:jc w:val="right"/>
              <w:rPr/>
            </w:pPr>
            <w:r>
              <w:rPr/>
              <w:t xml:space="preserve">​ </w:t>
            </w:r>
          </w:p>
        </w:tc>
        <w:tc>
          <w:tcPr>
            <w:tcW w:w="158" w:type="dxa"/>
            <w:tcBorders/>
            <w:shd w:fill="FFFFFF" w:val="clear"/>
            <w:vAlign w:val="bottom"/>
          </w:tcPr>
          <w:p>
            <w:pPr>
              <w:pStyle w:val="TableContents"/>
              <w:spacing w:before="0" w:after="283"/>
              <w:rPr/>
            </w:pPr>
            <w:r>
              <w:rPr/>
              <w:t>​</w:t>
            </w:r>
          </w:p>
        </w:tc>
        <w:tc>
          <w:tcPr>
            <w:tcW w:w="95" w:type="dxa"/>
            <w:tcBorders>
              <w:bottom w:val="single" w:sz="8" w:space="0" w:color="000000"/>
            </w:tcBorders>
            <w:shd w:fill="FFFFFF" w:val="clear"/>
            <w:tcMar>
              <w:bottom w:w="28" w:type="dxa"/>
            </w:tcMar>
            <w:vAlign w:val="bottom"/>
          </w:tcPr>
          <w:p>
            <w:pPr>
              <w:pStyle w:val="TableContents"/>
              <w:spacing w:before="0" w:after="283"/>
              <w:rPr/>
            </w:pPr>
            <w:r>
              <w:rPr/>
              <w:t xml:space="preserve">​ </w:t>
            </w:r>
          </w:p>
        </w:tc>
        <w:tc>
          <w:tcPr>
            <w:tcW w:w="919" w:type="dxa"/>
            <w:tcBorders>
              <w:bottom w:val="single" w:sz="8" w:space="0" w:color="000000"/>
            </w:tcBorders>
            <w:shd w:fill="FFFFFF" w:val="clear"/>
            <w:tcMar>
              <w:bottom w:w="28" w:type="dxa"/>
            </w:tcMar>
            <w:vAlign w:val="bottom"/>
          </w:tcPr>
          <w:p>
            <w:pPr>
              <w:pStyle w:val="TableContents"/>
              <w:spacing w:before="0" w:after="283"/>
              <w:jc w:val="right"/>
              <w:rPr/>
            </w:pPr>
            <w:r>
              <w:rPr/>
              <w:t xml:space="preserve">​ </w:t>
            </w:r>
          </w:p>
        </w:tc>
        <w:tc>
          <w:tcPr>
            <w:tcW w:w="158" w:type="dxa"/>
            <w:tcBorders/>
            <w:shd w:fill="FFFFFF" w:val="clear"/>
            <w:vAlign w:val="bottom"/>
          </w:tcPr>
          <w:p>
            <w:pPr>
              <w:pStyle w:val="TableContents"/>
              <w:spacing w:before="0" w:after="283"/>
              <w:rPr/>
            </w:pPr>
            <w:r>
              <w:rPr/>
              <w:t>​</w:t>
            </w:r>
          </w:p>
        </w:tc>
        <w:tc>
          <w:tcPr>
            <w:tcW w:w="95" w:type="dxa"/>
            <w:tcBorders>
              <w:bottom w:val="single" w:sz="8" w:space="0" w:color="000000"/>
            </w:tcBorders>
            <w:shd w:fill="FFFFFF" w:val="clear"/>
            <w:tcMar>
              <w:bottom w:w="28" w:type="dxa"/>
            </w:tcMar>
            <w:vAlign w:val="bottom"/>
          </w:tcPr>
          <w:p>
            <w:pPr>
              <w:pStyle w:val="TableContents"/>
              <w:spacing w:before="0" w:after="283"/>
              <w:rPr/>
            </w:pPr>
            <w:r>
              <w:rPr/>
              <w:t xml:space="preserve">​ </w:t>
            </w:r>
          </w:p>
        </w:tc>
        <w:tc>
          <w:tcPr>
            <w:tcW w:w="919" w:type="dxa"/>
            <w:tcBorders>
              <w:bottom w:val="single" w:sz="8" w:space="0" w:color="000000"/>
            </w:tcBorders>
            <w:shd w:fill="FFFFFF" w:val="clear"/>
            <w:tcMar>
              <w:bottom w:w="28" w:type="dxa"/>
            </w:tcMar>
            <w:vAlign w:val="bottom"/>
          </w:tcPr>
          <w:p>
            <w:pPr>
              <w:pStyle w:val="TableContents"/>
              <w:spacing w:before="0" w:after="283"/>
              <w:jc w:val="right"/>
              <w:rPr/>
            </w:pPr>
            <w:r>
              <w:rPr/>
              <w:t xml:space="preserve">​ </w:t>
            </w:r>
          </w:p>
        </w:tc>
        <w:tc>
          <w:tcPr>
            <w:tcW w:w="157" w:type="dxa"/>
            <w:tcBorders/>
            <w:shd w:fill="FFFFFF" w:val="clear"/>
            <w:vAlign w:val="bottom"/>
          </w:tcPr>
          <w:p>
            <w:pPr>
              <w:pStyle w:val="TableContents"/>
              <w:spacing w:before="0" w:after="283"/>
              <w:rPr/>
            </w:pPr>
            <w:r>
              <w:rPr/>
              <w:t>​</w:t>
            </w:r>
          </w:p>
        </w:tc>
        <w:tc>
          <w:tcPr>
            <w:tcW w:w="95" w:type="dxa"/>
            <w:tcBorders>
              <w:bottom w:val="single" w:sz="8" w:space="0" w:color="000000"/>
            </w:tcBorders>
            <w:shd w:fill="FFFFFF" w:val="clear"/>
            <w:tcMar>
              <w:bottom w:w="28" w:type="dxa"/>
            </w:tcMar>
            <w:vAlign w:val="bottom"/>
          </w:tcPr>
          <w:p>
            <w:pPr>
              <w:pStyle w:val="TableContents"/>
              <w:spacing w:before="0" w:after="283"/>
              <w:rPr/>
            </w:pPr>
            <w:r>
              <w:rPr/>
              <w:t xml:space="preserve">​ </w:t>
            </w:r>
          </w:p>
        </w:tc>
        <w:tc>
          <w:tcPr>
            <w:tcW w:w="919" w:type="dxa"/>
            <w:tcBorders>
              <w:bottom w:val="single" w:sz="8" w:space="0" w:color="000000"/>
            </w:tcBorders>
            <w:shd w:fill="FFFFFF" w:val="clear"/>
            <w:tcMar>
              <w:bottom w:w="28" w:type="dxa"/>
            </w:tcMar>
            <w:vAlign w:val="bottom"/>
          </w:tcPr>
          <w:p>
            <w:pPr>
              <w:pStyle w:val="TableContents"/>
              <w:spacing w:before="0" w:after="283"/>
              <w:jc w:val="right"/>
              <w:rPr/>
            </w:pPr>
            <w:r>
              <w:rPr/>
              <w:t xml:space="preserve">​ </w:t>
            </w:r>
          </w:p>
        </w:tc>
        <w:tc>
          <w:tcPr>
            <w:tcW w:w="169" w:type="dxa"/>
            <w:tcBorders/>
            <w:shd w:fill="FFFFFF" w:val="clear"/>
            <w:vAlign w:val="bottom"/>
          </w:tcPr>
          <w:p>
            <w:pPr>
              <w:pStyle w:val="TableContents"/>
              <w:spacing w:before="0" w:after="283"/>
              <w:rPr/>
            </w:pPr>
            <w:r>
              <w:rPr/>
              <w:t>​</w:t>
            </w:r>
          </w:p>
        </w:tc>
      </w:tr>
      <w:tr>
        <w:trPr/>
        <w:tc>
          <w:tcPr>
            <w:tcW w:w="4178" w:type="dxa"/>
            <w:tcBorders/>
            <w:shd w:fill="auto" w:val="clear"/>
            <w:vAlign w:val="bottom"/>
          </w:tcPr>
          <w:p>
            <w:pPr>
              <w:pStyle w:val="TableContents"/>
              <w:spacing w:before="0" w:after="283"/>
              <w:ind w:left="140" w:right="0" w:hanging="140"/>
              <w:rPr>
                <w:rFonts w:ascii="times" w:hAnsi="times"/>
                <w:sz w:val="14"/>
              </w:rPr>
            </w:pPr>
            <w:r>
              <w:rPr>
                <w:rFonts w:ascii="times" w:hAnsi="times"/>
                <w:sz w:val="14"/>
              </w:rPr>
              <w:t>Common units</w:t>
            </w:r>
          </w:p>
        </w:tc>
        <w:tc>
          <w:tcPr>
            <w:tcW w:w="157"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919" w:type="dxa"/>
            <w:tcBorders/>
            <w:shd w:fill="auto" w:val="clear"/>
            <w:vAlign w:val="bottom"/>
          </w:tcPr>
          <w:p>
            <w:pPr>
              <w:pStyle w:val="TableContents"/>
              <w:spacing w:before="0" w:after="283"/>
              <w:jc w:val="right"/>
              <w:rPr>
                <w:rFonts w:ascii="times" w:hAnsi="times"/>
                <w:sz w:val="14"/>
              </w:rPr>
            </w:pPr>
            <w:r>
              <w:rPr>
                <w:rFonts w:ascii="times" w:hAnsi="times"/>
                <w:sz w:val="14"/>
              </w:rPr>
              <w:t>48,343</w:t>
            </w:r>
          </w:p>
        </w:tc>
        <w:tc>
          <w:tcPr>
            <w:tcW w:w="158"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919" w:type="dxa"/>
            <w:tcBorders/>
            <w:shd w:fill="auto" w:val="clear"/>
            <w:vAlign w:val="bottom"/>
          </w:tcPr>
          <w:p>
            <w:pPr>
              <w:pStyle w:val="TableContents"/>
              <w:spacing w:before="0" w:after="283"/>
              <w:jc w:val="right"/>
              <w:rPr>
                <w:rFonts w:ascii="times" w:hAnsi="times"/>
                <w:sz w:val="14"/>
              </w:rPr>
            </w:pPr>
            <w:r>
              <w:rPr>
                <w:rFonts w:ascii="times" w:hAnsi="times"/>
                <w:sz w:val="14"/>
              </w:rPr>
              <w:t>75,092</w:t>
            </w:r>
          </w:p>
        </w:tc>
        <w:tc>
          <w:tcPr>
            <w:tcW w:w="158"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919" w:type="dxa"/>
            <w:tcBorders/>
            <w:shd w:fill="auto" w:val="clear"/>
            <w:vAlign w:val="bottom"/>
          </w:tcPr>
          <w:p>
            <w:pPr>
              <w:pStyle w:val="TableContents"/>
              <w:spacing w:before="0" w:after="283"/>
              <w:jc w:val="right"/>
              <w:rPr>
                <w:rFonts w:ascii="times" w:hAnsi="times"/>
                <w:sz w:val="14"/>
              </w:rPr>
            </w:pPr>
            <w:r>
              <w:rPr>
                <w:rFonts w:ascii="times" w:hAnsi="times"/>
                <w:sz w:val="14"/>
              </w:rPr>
              <w:t>79,322</w:t>
            </w:r>
          </w:p>
        </w:tc>
        <w:tc>
          <w:tcPr>
            <w:tcW w:w="158"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919" w:type="dxa"/>
            <w:tcBorders/>
            <w:shd w:fill="auto" w:val="clear"/>
            <w:vAlign w:val="bottom"/>
          </w:tcPr>
          <w:p>
            <w:pPr>
              <w:pStyle w:val="TableContents"/>
              <w:spacing w:before="0" w:after="283"/>
              <w:jc w:val="right"/>
              <w:rPr>
                <w:rFonts w:ascii="times" w:hAnsi="times"/>
                <w:sz w:val="14"/>
              </w:rPr>
            </w:pPr>
            <w:r>
              <w:rPr>
                <w:rFonts w:ascii="times" w:hAnsi="times"/>
                <w:sz w:val="14"/>
              </w:rPr>
              <w:t>84,168</w:t>
            </w:r>
          </w:p>
        </w:tc>
        <w:tc>
          <w:tcPr>
            <w:tcW w:w="157"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919" w:type="dxa"/>
            <w:tcBorders/>
            <w:shd w:fill="auto" w:val="clear"/>
            <w:vAlign w:val="bottom"/>
          </w:tcPr>
          <w:p>
            <w:pPr>
              <w:pStyle w:val="TableContents"/>
              <w:spacing w:before="0" w:after="283"/>
              <w:jc w:val="right"/>
              <w:rPr>
                <w:rFonts w:ascii="times" w:hAnsi="times"/>
                <w:sz w:val="14"/>
              </w:rPr>
            </w:pPr>
            <w:r>
              <w:rPr>
                <w:rFonts w:ascii="times" w:hAnsi="times"/>
                <w:sz w:val="14"/>
              </w:rPr>
              <w:t>60,793</w:t>
            </w:r>
          </w:p>
        </w:tc>
        <w:tc>
          <w:tcPr>
            <w:tcW w:w="169" w:type="dxa"/>
            <w:tcBorders/>
            <w:shd w:fill="auto" w:val="clear"/>
            <w:vAlign w:val="bottom"/>
          </w:tcPr>
          <w:p>
            <w:pPr>
              <w:pStyle w:val="TableContents"/>
              <w:spacing w:before="0" w:after="283"/>
              <w:rPr/>
            </w:pPr>
            <w:r>
              <w:rPr/>
              <w:t> </w:t>
            </w:r>
          </w:p>
        </w:tc>
      </w:tr>
      <w:tr>
        <w:trPr/>
        <w:tc>
          <w:tcPr>
            <w:tcW w:w="4178" w:type="dxa"/>
            <w:tcBorders/>
            <w:shd w:fill="auto" w:val="clear"/>
            <w:vAlign w:val="bottom"/>
          </w:tcPr>
          <w:p>
            <w:pPr>
              <w:pStyle w:val="TableContents"/>
              <w:spacing w:before="0" w:after="283"/>
              <w:ind w:left="140" w:right="0" w:hanging="140"/>
              <w:rPr>
                <w:rFonts w:ascii="times" w:hAnsi="times"/>
                <w:sz w:val="14"/>
              </w:rPr>
            </w:pPr>
            <w:r>
              <w:rPr>
                <w:rFonts w:ascii="times" w:hAnsi="times"/>
                <w:sz w:val="14"/>
              </w:rPr>
              <w:t>Subordinated units</w:t>
            </w:r>
          </w:p>
        </w:tc>
        <w:tc>
          <w:tcPr>
            <w:tcW w:w="157"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919" w:type="dxa"/>
            <w:tcBorders/>
            <w:shd w:fill="auto" w:val="clear"/>
            <w:vAlign w:val="bottom"/>
          </w:tcPr>
          <w:p>
            <w:pPr>
              <w:pStyle w:val="TableContents"/>
              <w:spacing w:before="0" w:after="283"/>
              <w:jc w:val="right"/>
              <w:rPr>
                <w:rFonts w:ascii="times" w:hAnsi="times"/>
                <w:sz w:val="14"/>
              </w:rPr>
            </w:pPr>
            <w:r>
              <w:rPr>
                <w:rFonts w:ascii="times" w:hAnsi="times"/>
                <w:sz w:val="14"/>
              </w:rPr>
              <w:t>20,431</w:t>
            </w:r>
          </w:p>
        </w:tc>
        <w:tc>
          <w:tcPr>
            <w:tcW w:w="158"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919" w:type="dxa"/>
            <w:tcBorders/>
            <w:shd w:fill="auto" w:val="clear"/>
            <w:vAlign w:val="bottom"/>
          </w:tcPr>
          <w:p>
            <w:pPr>
              <w:pStyle w:val="TableContents"/>
              <w:spacing w:before="0" w:after="283"/>
              <w:jc w:val="right"/>
              <w:rPr>
                <w:rFonts w:ascii="times" w:hAnsi="times"/>
                <w:sz w:val="14"/>
              </w:rPr>
            </w:pPr>
            <w:r>
              <w:rPr>
                <w:rFonts w:ascii="times" w:hAnsi="times"/>
                <w:sz w:val="14"/>
              </w:rPr>
              <w:t>4,960</w:t>
            </w:r>
          </w:p>
        </w:tc>
        <w:tc>
          <w:tcPr>
            <w:tcW w:w="158"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919" w:type="dxa"/>
            <w:tcBorders/>
            <w:shd w:fill="auto" w:val="clear"/>
            <w:vAlign w:val="bottom"/>
          </w:tcPr>
          <w:p>
            <w:pPr>
              <w:pStyle w:val="TableContents"/>
              <w:spacing w:before="0" w:after="283"/>
              <w:jc w:val="right"/>
              <w:rPr>
                <w:rFonts w:ascii="times" w:hAnsi="times"/>
                <w:sz w:val="14"/>
              </w:rPr>
            </w:pPr>
            <w:r>
              <w:rPr>
                <w:rFonts w:ascii="times" w:hAnsi="times"/>
                <w:sz w:val="14"/>
              </w:rPr>
              <w:t>N/A</w:t>
            </w:r>
          </w:p>
        </w:tc>
        <w:tc>
          <w:tcPr>
            <w:tcW w:w="158"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919" w:type="dxa"/>
            <w:tcBorders/>
            <w:shd w:fill="auto" w:val="clear"/>
            <w:vAlign w:val="bottom"/>
          </w:tcPr>
          <w:p>
            <w:pPr>
              <w:pStyle w:val="TableContents"/>
              <w:spacing w:before="0" w:after="283"/>
              <w:jc w:val="right"/>
              <w:rPr>
                <w:rFonts w:ascii="times" w:hAnsi="times"/>
                <w:sz w:val="14"/>
              </w:rPr>
            </w:pPr>
            <w:r>
              <w:rPr>
                <w:rFonts w:ascii="times" w:hAnsi="times"/>
                <w:sz w:val="14"/>
              </w:rPr>
              <w:t>N/A</w:t>
            </w:r>
          </w:p>
        </w:tc>
        <w:tc>
          <w:tcPr>
            <w:tcW w:w="157"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919" w:type="dxa"/>
            <w:tcBorders/>
            <w:shd w:fill="auto" w:val="clear"/>
            <w:vAlign w:val="bottom"/>
          </w:tcPr>
          <w:p>
            <w:pPr>
              <w:pStyle w:val="TableContents"/>
              <w:spacing w:before="0" w:after="283"/>
              <w:jc w:val="right"/>
              <w:rPr>
                <w:rFonts w:ascii="times" w:hAnsi="times"/>
                <w:sz w:val="14"/>
              </w:rPr>
            </w:pPr>
            <w:r>
              <w:rPr>
                <w:rFonts w:ascii="times" w:hAnsi="times"/>
                <w:sz w:val="14"/>
              </w:rPr>
              <w:t>N/A</w:t>
            </w:r>
          </w:p>
        </w:tc>
        <w:tc>
          <w:tcPr>
            <w:tcW w:w="169" w:type="dxa"/>
            <w:tcBorders/>
            <w:shd w:fill="auto" w:val="clear"/>
            <w:vAlign w:val="bottom"/>
          </w:tcPr>
          <w:p>
            <w:pPr>
              <w:pStyle w:val="TableContents"/>
              <w:spacing w:before="0" w:after="283"/>
              <w:rPr/>
            </w:pPr>
            <w:r>
              <w:rPr/>
              <w:t> </w:t>
            </w:r>
          </w:p>
        </w:tc>
      </w:tr>
      <w:tr>
        <w:trPr/>
        <w:tc>
          <w:tcPr>
            <w:tcW w:w="4178" w:type="dxa"/>
            <w:tcBorders/>
            <w:shd w:fill="auto" w:val="clear"/>
            <w:vAlign w:val="bottom"/>
          </w:tcPr>
          <w:p>
            <w:pPr>
              <w:pStyle w:val="TableContents"/>
              <w:spacing w:before="0" w:after="283"/>
              <w:ind w:left="140" w:right="0" w:hanging="140"/>
              <w:rPr>
                <w:rFonts w:ascii="times" w:hAnsi="times"/>
                <w:sz w:val="14"/>
              </w:rPr>
            </w:pPr>
            <w:r>
              <w:rPr>
                <w:rFonts w:ascii="times" w:hAnsi="times"/>
                <w:sz w:val="14"/>
              </w:rPr>
              <w:t>General partner units</w:t>
            </w:r>
          </w:p>
        </w:tc>
        <w:tc>
          <w:tcPr>
            <w:tcW w:w="157"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919" w:type="dxa"/>
            <w:tcBorders/>
            <w:shd w:fill="auto" w:val="clear"/>
            <w:vAlign w:val="bottom"/>
          </w:tcPr>
          <w:p>
            <w:pPr>
              <w:pStyle w:val="TableContents"/>
              <w:spacing w:before="0" w:after="283"/>
              <w:jc w:val="right"/>
              <w:rPr>
                <w:rFonts w:ascii="times" w:hAnsi="times"/>
                <w:sz w:val="14"/>
              </w:rPr>
            </w:pPr>
            <w:r>
              <w:rPr>
                <w:rFonts w:ascii="times" w:hAnsi="times"/>
                <w:sz w:val="14"/>
              </w:rPr>
              <w:t>1,462</w:t>
            </w:r>
          </w:p>
        </w:tc>
        <w:tc>
          <w:tcPr>
            <w:tcW w:w="158"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919" w:type="dxa"/>
            <w:tcBorders/>
            <w:shd w:fill="auto" w:val="clear"/>
            <w:vAlign w:val="bottom"/>
          </w:tcPr>
          <w:p>
            <w:pPr>
              <w:pStyle w:val="TableContents"/>
              <w:spacing w:before="0" w:after="283"/>
              <w:jc w:val="right"/>
              <w:rPr>
                <w:rFonts w:ascii="times" w:hAnsi="times"/>
                <w:sz w:val="14"/>
              </w:rPr>
            </w:pPr>
            <w:r>
              <w:rPr>
                <w:rFonts w:ascii="times" w:hAnsi="times"/>
                <w:sz w:val="14"/>
              </w:rPr>
              <w:t>1,688</w:t>
            </w:r>
          </w:p>
        </w:tc>
        <w:tc>
          <w:tcPr>
            <w:tcW w:w="158"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919" w:type="dxa"/>
            <w:tcBorders/>
            <w:shd w:fill="auto" w:val="clear"/>
            <w:vAlign w:val="bottom"/>
          </w:tcPr>
          <w:p>
            <w:pPr>
              <w:pStyle w:val="TableContents"/>
              <w:spacing w:before="0" w:after="283"/>
              <w:jc w:val="right"/>
              <w:rPr>
                <w:rFonts w:ascii="times" w:hAnsi="times"/>
                <w:sz w:val="14"/>
              </w:rPr>
            </w:pPr>
            <w:r>
              <w:rPr>
                <w:rFonts w:ascii="times" w:hAnsi="times"/>
                <w:sz w:val="14"/>
              </w:rPr>
              <w:t>1,648</w:t>
            </w:r>
          </w:p>
        </w:tc>
        <w:tc>
          <w:tcPr>
            <w:tcW w:w="158"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919" w:type="dxa"/>
            <w:tcBorders/>
            <w:shd w:fill="auto" w:val="clear"/>
            <w:vAlign w:val="bottom"/>
          </w:tcPr>
          <w:p>
            <w:pPr>
              <w:pStyle w:val="TableContents"/>
              <w:spacing w:before="0" w:after="283"/>
              <w:jc w:val="right"/>
              <w:rPr>
                <w:rFonts w:ascii="times" w:hAnsi="times"/>
                <w:sz w:val="14"/>
              </w:rPr>
            </w:pPr>
            <w:r>
              <w:rPr>
                <w:rFonts w:ascii="times" w:hAnsi="times"/>
                <w:sz w:val="14"/>
              </w:rPr>
              <w:t>1,779</w:t>
            </w:r>
          </w:p>
        </w:tc>
        <w:tc>
          <w:tcPr>
            <w:tcW w:w="157"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919" w:type="dxa"/>
            <w:tcBorders/>
            <w:shd w:fill="auto" w:val="clear"/>
            <w:vAlign w:val="bottom"/>
          </w:tcPr>
          <w:p>
            <w:pPr>
              <w:pStyle w:val="TableContents"/>
              <w:spacing w:before="0" w:after="283"/>
              <w:jc w:val="right"/>
              <w:rPr>
                <w:rFonts w:ascii="times" w:hAnsi="times"/>
                <w:sz w:val="14"/>
              </w:rPr>
            </w:pPr>
            <w:r>
              <w:rPr>
                <w:rFonts w:ascii="times" w:hAnsi="times"/>
                <w:sz w:val="14"/>
              </w:rPr>
              <w:t>1,321</w:t>
            </w:r>
          </w:p>
        </w:tc>
        <w:tc>
          <w:tcPr>
            <w:tcW w:w="169" w:type="dxa"/>
            <w:tcBorders/>
            <w:shd w:fill="auto" w:val="clear"/>
            <w:vAlign w:val="bottom"/>
          </w:tcPr>
          <w:p>
            <w:pPr>
              <w:pStyle w:val="TableContents"/>
              <w:spacing w:before="0" w:after="283"/>
              <w:rPr/>
            </w:pPr>
            <w:r>
              <w:rPr/>
              <w:t> </w:t>
            </w:r>
          </w:p>
        </w:tc>
      </w:tr>
      <w:tr>
        <w:trPr/>
        <w:tc>
          <w:tcPr>
            <w:tcW w:w="4178" w:type="dxa"/>
            <w:tcBorders/>
            <w:shd w:fill="auto" w:val="clear"/>
            <w:vAlign w:val="bottom"/>
          </w:tcPr>
          <w:p>
            <w:pPr>
              <w:pStyle w:val="TableContents"/>
              <w:spacing w:before="0" w:after="283"/>
              <w:ind w:left="140" w:right="0" w:hanging="140"/>
              <w:rPr>
                <w:rFonts w:ascii="times" w:hAnsi="times"/>
                <w:sz w:val="14"/>
              </w:rPr>
            </w:pPr>
            <w:r>
              <w:rPr>
                <w:rFonts w:ascii="times" w:hAnsi="times"/>
                <w:sz w:val="14"/>
              </w:rPr>
              <w:t>Incentive distribution rights</w:t>
            </w:r>
          </w:p>
        </w:tc>
        <w:tc>
          <w:tcPr>
            <w:tcW w:w="157"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919" w:type="dxa"/>
            <w:tcBorders/>
            <w:shd w:fill="auto" w:val="clear"/>
            <w:vAlign w:val="bottom"/>
          </w:tcPr>
          <w:p>
            <w:pPr>
              <w:pStyle w:val="TableContents"/>
              <w:spacing w:before="0" w:after="283"/>
              <w:jc w:val="right"/>
              <w:rPr>
                <w:rFonts w:ascii="times" w:hAnsi="times"/>
                <w:sz w:val="14"/>
              </w:rPr>
            </w:pPr>
            <w:r>
              <w:rPr>
                <w:rFonts w:ascii="times" w:hAnsi="times"/>
                <w:sz w:val="14"/>
              </w:rPr>
              <w:t>2,862</w:t>
            </w:r>
          </w:p>
        </w:tc>
        <w:tc>
          <w:tcPr>
            <w:tcW w:w="158"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919" w:type="dxa"/>
            <w:tcBorders/>
            <w:shd w:fill="auto" w:val="clear"/>
            <w:vAlign w:val="bottom"/>
          </w:tcPr>
          <w:p>
            <w:pPr>
              <w:pStyle w:val="TableContents"/>
              <w:spacing w:before="0" w:after="283"/>
              <w:jc w:val="right"/>
              <w:rPr>
                <w:rFonts w:ascii="times" w:hAnsi="times"/>
                <w:sz w:val="14"/>
              </w:rPr>
            </w:pPr>
            <w:r>
              <w:rPr>
                <w:rFonts w:ascii="times" w:hAnsi="times"/>
                <w:sz w:val="14"/>
              </w:rPr>
              <w:t>2,667</w:t>
            </w:r>
          </w:p>
        </w:tc>
        <w:tc>
          <w:tcPr>
            <w:tcW w:w="158"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919" w:type="dxa"/>
            <w:tcBorders/>
            <w:shd w:fill="auto" w:val="clear"/>
            <w:vAlign w:val="bottom"/>
          </w:tcPr>
          <w:p>
            <w:pPr>
              <w:pStyle w:val="TableContents"/>
              <w:spacing w:before="0" w:after="283"/>
              <w:jc w:val="right"/>
              <w:rPr>
                <w:rFonts w:ascii="times" w:hAnsi="times"/>
                <w:sz w:val="14"/>
              </w:rPr>
            </w:pPr>
            <w:r>
              <w:rPr>
                <w:rFonts w:ascii="times" w:hAnsi="times"/>
                <w:sz w:val="14"/>
              </w:rPr>
              <w:t>1,440</w:t>
            </w:r>
          </w:p>
        </w:tc>
        <w:tc>
          <w:tcPr>
            <w:tcW w:w="158"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919" w:type="dxa"/>
            <w:tcBorders/>
            <w:shd w:fill="auto" w:val="clear"/>
            <w:vAlign w:val="bottom"/>
          </w:tcPr>
          <w:p>
            <w:pPr>
              <w:pStyle w:val="TableContents"/>
              <w:spacing w:before="0" w:after="283"/>
              <w:jc w:val="right"/>
              <w:rPr>
                <w:rFonts w:ascii="times" w:hAnsi="times"/>
                <w:sz w:val="14"/>
              </w:rPr>
            </w:pPr>
            <w:r>
              <w:rPr>
                <w:rFonts w:ascii="times" w:hAnsi="times"/>
                <w:sz w:val="14"/>
              </w:rPr>
              <w:t></w:t>
            </w:r>
          </w:p>
        </w:tc>
        <w:tc>
          <w:tcPr>
            <w:tcW w:w="157"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919" w:type="dxa"/>
            <w:tcBorders/>
            <w:shd w:fill="auto" w:val="clear"/>
            <w:vAlign w:val="bottom"/>
          </w:tcPr>
          <w:p>
            <w:pPr>
              <w:pStyle w:val="TableContents"/>
              <w:spacing w:before="0" w:after="283"/>
              <w:jc w:val="right"/>
              <w:rPr>
                <w:rFonts w:ascii="times" w:hAnsi="times"/>
                <w:sz w:val="14"/>
              </w:rPr>
            </w:pPr>
            <w:r>
              <w:rPr>
                <w:rFonts w:ascii="times" w:hAnsi="times"/>
                <w:sz w:val="14"/>
              </w:rPr>
              <w:t>N/A</w:t>
            </w:r>
          </w:p>
        </w:tc>
        <w:tc>
          <w:tcPr>
            <w:tcW w:w="169" w:type="dxa"/>
            <w:tcBorders/>
            <w:shd w:fill="auto" w:val="clear"/>
            <w:vAlign w:val="bottom"/>
          </w:tcPr>
          <w:p>
            <w:pPr>
              <w:pStyle w:val="TableContents"/>
              <w:spacing w:before="0" w:after="283"/>
              <w:rPr/>
            </w:pPr>
            <w:r>
              <w:rPr/>
              <w:t> </w:t>
            </w:r>
          </w:p>
        </w:tc>
      </w:tr>
      <w:tr>
        <w:trPr/>
        <w:tc>
          <w:tcPr>
            <w:tcW w:w="4178" w:type="dxa"/>
            <w:tcBorders/>
            <w:shd w:fill="auto" w:val="clear"/>
            <w:vAlign w:val="bottom"/>
          </w:tcPr>
          <w:p>
            <w:pPr>
              <w:pStyle w:val="TableContents"/>
              <w:spacing w:before="0" w:after="283"/>
              <w:ind w:left="140" w:right="0" w:hanging="140"/>
              <w:rPr>
                <w:rFonts w:ascii="times" w:hAnsi="times"/>
                <w:b/>
                <w:sz w:val="14"/>
              </w:rPr>
            </w:pPr>
            <w:r>
              <w:rPr>
                <w:rFonts w:ascii="times" w:hAnsi="times"/>
                <w:b/>
                <w:sz w:val="14"/>
              </w:rPr>
              <w:t>Weighted average units outstanding (basic)</w:t>
            </w:r>
          </w:p>
        </w:tc>
        <w:tc>
          <w:tcPr>
            <w:tcW w:w="157"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919" w:type="dxa"/>
            <w:tcBorders/>
            <w:shd w:fill="auto" w:val="clear"/>
            <w:vAlign w:val="bottom"/>
          </w:tcPr>
          <w:p>
            <w:pPr>
              <w:pStyle w:val="TableContents"/>
              <w:spacing w:before="0" w:after="283"/>
              <w:jc w:val="right"/>
              <w:rPr/>
            </w:pPr>
            <w:r>
              <w:rPr/>
              <w:t> </w:t>
            </w:r>
          </w:p>
        </w:tc>
        <w:tc>
          <w:tcPr>
            <w:tcW w:w="158"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919" w:type="dxa"/>
            <w:tcBorders/>
            <w:shd w:fill="auto" w:val="clear"/>
            <w:vAlign w:val="bottom"/>
          </w:tcPr>
          <w:p>
            <w:pPr>
              <w:pStyle w:val="TableContents"/>
              <w:spacing w:before="0" w:after="283"/>
              <w:jc w:val="right"/>
              <w:rPr/>
            </w:pPr>
            <w:r>
              <w:rPr/>
              <w:t> </w:t>
            </w:r>
          </w:p>
        </w:tc>
        <w:tc>
          <w:tcPr>
            <w:tcW w:w="158"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919" w:type="dxa"/>
            <w:tcBorders/>
            <w:shd w:fill="auto" w:val="clear"/>
            <w:vAlign w:val="bottom"/>
          </w:tcPr>
          <w:p>
            <w:pPr>
              <w:pStyle w:val="TableContents"/>
              <w:spacing w:before="0" w:after="283"/>
              <w:jc w:val="right"/>
              <w:rPr/>
            </w:pPr>
            <w:r>
              <w:rPr/>
              <w:t> </w:t>
            </w:r>
          </w:p>
        </w:tc>
        <w:tc>
          <w:tcPr>
            <w:tcW w:w="158"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919" w:type="dxa"/>
            <w:tcBorders/>
            <w:shd w:fill="auto" w:val="clear"/>
            <w:vAlign w:val="bottom"/>
          </w:tcPr>
          <w:p>
            <w:pPr>
              <w:pStyle w:val="TableContents"/>
              <w:spacing w:before="0" w:after="283"/>
              <w:jc w:val="right"/>
              <w:rPr/>
            </w:pPr>
            <w:r>
              <w:rPr/>
              <w:t> </w:t>
            </w:r>
          </w:p>
        </w:tc>
        <w:tc>
          <w:tcPr>
            <w:tcW w:w="157"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919" w:type="dxa"/>
            <w:tcBorders/>
            <w:shd w:fill="auto" w:val="clear"/>
            <w:vAlign w:val="bottom"/>
          </w:tcPr>
          <w:p>
            <w:pPr>
              <w:pStyle w:val="TableContents"/>
              <w:spacing w:before="0" w:after="283"/>
              <w:jc w:val="right"/>
              <w:rPr/>
            </w:pPr>
            <w:r>
              <w:rPr/>
              <w:t> </w:t>
            </w:r>
          </w:p>
        </w:tc>
        <w:tc>
          <w:tcPr>
            <w:tcW w:w="169" w:type="dxa"/>
            <w:tcBorders/>
            <w:shd w:fill="auto" w:val="clear"/>
            <w:vAlign w:val="bottom"/>
          </w:tcPr>
          <w:p>
            <w:pPr>
              <w:pStyle w:val="TableContents"/>
              <w:spacing w:before="0" w:after="283"/>
              <w:rPr/>
            </w:pPr>
            <w:r>
              <w:rPr/>
              <w:t> </w:t>
            </w:r>
          </w:p>
        </w:tc>
      </w:tr>
      <w:tr>
        <w:trPr/>
        <w:tc>
          <w:tcPr>
            <w:tcW w:w="4178" w:type="dxa"/>
            <w:tcBorders/>
            <w:shd w:fill="auto" w:val="clear"/>
            <w:vAlign w:val="bottom"/>
          </w:tcPr>
          <w:p>
            <w:pPr>
              <w:pStyle w:val="TableContents"/>
              <w:spacing w:before="0" w:after="283"/>
              <w:ind w:left="140" w:right="0" w:hanging="140"/>
              <w:rPr>
                <w:rFonts w:ascii="times" w:hAnsi="times"/>
                <w:sz w:val="14"/>
              </w:rPr>
            </w:pPr>
            <w:r>
              <w:rPr>
                <w:rFonts w:ascii="times" w:hAnsi="times"/>
                <w:sz w:val="14"/>
              </w:rPr>
              <w:t>Common units</w:t>
            </w:r>
          </w:p>
        </w:tc>
        <w:tc>
          <w:tcPr>
            <w:tcW w:w="157"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919" w:type="dxa"/>
            <w:tcBorders/>
            <w:shd w:fill="auto" w:val="clear"/>
            <w:vAlign w:val="bottom"/>
          </w:tcPr>
          <w:p>
            <w:pPr>
              <w:pStyle w:val="TableContents"/>
              <w:spacing w:before="0" w:after="283"/>
              <w:jc w:val="right"/>
              <w:rPr>
                <w:rFonts w:ascii="times" w:hAnsi="times"/>
                <w:sz w:val="14"/>
              </w:rPr>
            </w:pPr>
            <w:r>
              <w:rPr>
                <w:rFonts w:ascii="times" w:hAnsi="times"/>
                <w:sz w:val="14"/>
              </w:rPr>
              <w:t>22,934,380</w:t>
            </w:r>
          </w:p>
        </w:tc>
        <w:tc>
          <w:tcPr>
            <w:tcW w:w="158"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919" w:type="dxa"/>
            <w:tcBorders/>
            <w:shd w:fill="auto" w:val="clear"/>
            <w:vAlign w:val="bottom"/>
          </w:tcPr>
          <w:p>
            <w:pPr>
              <w:pStyle w:val="TableContents"/>
              <w:spacing w:before="0" w:after="283"/>
              <w:jc w:val="right"/>
              <w:rPr>
                <w:rFonts w:ascii="times" w:hAnsi="times"/>
                <w:sz w:val="14"/>
              </w:rPr>
            </w:pPr>
            <w:r>
              <w:rPr>
                <w:rFonts w:ascii="times" w:hAnsi="times"/>
                <w:sz w:val="14"/>
              </w:rPr>
              <w:t>36,493,143</w:t>
            </w:r>
          </w:p>
        </w:tc>
        <w:tc>
          <w:tcPr>
            <w:tcW w:w="158"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919" w:type="dxa"/>
            <w:tcBorders/>
            <w:shd w:fill="auto" w:val="clear"/>
            <w:vAlign w:val="bottom"/>
          </w:tcPr>
          <w:p>
            <w:pPr>
              <w:pStyle w:val="TableContents"/>
              <w:spacing w:before="0" w:after="283"/>
              <w:jc w:val="right"/>
              <w:rPr>
                <w:rFonts w:ascii="times" w:hAnsi="times"/>
                <w:sz w:val="14"/>
              </w:rPr>
            </w:pPr>
            <w:r>
              <w:rPr>
                <w:rFonts w:ascii="times" w:hAnsi="times"/>
                <w:sz w:val="14"/>
              </w:rPr>
              <w:t>42,945,432</w:t>
            </w:r>
          </w:p>
        </w:tc>
        <w:tc>
          <w:tcPr>
            <w:tcW w:w="158"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919" w:type="dxa"/>
            <w:tcBorders/>
            <w:shd w:fill="auto" w:val="clear"/>
            <w:vAlign w:val="bottom"/>
          </w:tcPr>
          <w:p>
            <w:pPr>
              <w:pStyle w:val="TableContents"/>
              <w:spacing w:before="0" w:after="283"/>
              <w:jc w:val="right"/>
              <w:rPr>
                <w:rFonts w:ascii="times" w:hAnsi="times"/>
                <w:sz w:val="14"/>
              </w:rPr>
            </w:pPr>
            <w:r>
              <w:rPr>
                <w:rFonts w:ascii="times" w:hAnsi="times"/>
                <w:sz w:val="14"/>
              </w:rPr>
              <w:t>46,272,598</w:t>
            </w:r>
          </w:p>
        </w:tc>
        <w:tc>
          <w:tcPr>
            <w:tcW w:w="157"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919" w:type="dxa"/>
            <w:tcBorders/>
            <w:shd w:fill="auto" w:val="clear"/>
            <w:vAlign w:val="bottom"/>
          </w:tcPr>
          <w:p>
            <w:pPr>
              <w:pStyle w:val="TableContents"/>
              <w:spacing w:before="0" w:after="283"/>
              <w:jc w:val="right"/>
              <w:rPr>
                <w:rFonts w:ascii="times" w:hAnsi="times"/>
                <w:sz w:val="14"/>
              </w:rPr>
            </w:pPr>
            <w:r>
              <w:rPr>
                <w:rFonts w:ascii="times" w:hAnsi="times"/>
                <w:sz w:val="14"/>
              </w:rPr>
              <w:t>47,042,494</w:t>
            </w:r>
          </w:p>
        </w:tc>
        <w:tc>
          <w:tcPr>
            <w:tcW w:w="169" w:type="dxa"/>
            <w:tcBorders/>
            <w:shd w:fill="auto" w:val="clear"/>
            <w:vAlign w:val="bottom"/>
          </w:tcPr>
          <w:p>
            <w:pPr>
              <w:pStyle w:val="TableContents"/>
              <w:spacing w:before="0" w:after="283"/>
              <w:rPr/>
            </w:pPr>
            <w:r>
              <w:rPr/>
              <w:t> </w:t>
            </w:r>
          </w:p>
        </w:tc>
      </w:tr>
      <w:tr>
        <w:trPr/>
        <w:tc>
          <w:tcPr>
            <w:tcW w:w="4178" w:type="dxa"/>
            <w:tcBorders/>
            <w:shd w:fill="auto" w:val="clear"/>
            <w:vAlign w:val="bottom"/>
          </w:tcPr>
          <w:p>
            <w:pPr>
              <w:pStyle w:val="TableContents"/>
              <w:spacing w:before="0" w:after="283"/>
              <w:ind w:left="140" w:right="0" w:hanging="140"/>
              <w:rPr>
                <w:rFonts w:ascii="times" w:hAnsi="times"/>
                <w:sz w:val="14"/>
              </w:rPr>
            </w:pPr>
            <w:r>
              <w:rPr>
                <w:rFonts w:ascii="times" w:hAnsi="times"/>
                <w:sz w:val="14"/>
              </w:rPr>
              <w:t>Subordinated units</w:t>
            </w:r>
            <w:r>
              <w:rPr>
                <w:rFonts w:ascii="times" w:hAnsi="times"/>
                <w:position w:val="5"/>
                <w:sz w:val="11"/>
                <w:sz w:val="14"/>
              </w:rPr>
              <w:t>(3)</w:t>
            </w:r>
          </w:p>
        </w:tc>
        <w:tc>
          <w:tcPr>
            <w:tcW w:w="157"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919" w:type="dxa"/>
            <w:tcBorders/>
            <w:shd w:fill="auto" w:val="clear"/>
            <w:vAlign w:val="bottom"/>
          </w:tcPr>
          <w:p>
            <w:pPr>
              <w:pStyle w:val="TableContents"/>
              <w:spacing w:before="0" w:after="283"/>
              <w:jc w:val="right"/>
              <w:rPr>
                <w:rFonts w:ascii="times" w:hAnsi="times"/>
                <w:sz w:val="14"/>
              </w:rPr>
            </w:pPr>
            <w:r>
              <w:rPr>
                <w:rFonts w:ascii="times" w:hAnsi="times"/>
                <w:sz w:val="14"/>
              </w:rPr>
              <w:t>9,822,358</w:t>
            </w:r>
          </w:p>
        </w:tc>
        <w:tc>
          <w:tcPr>
            <w:tcW w:w="158"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919" w:type="dxa"/>
            <w:tcBorders/>
            <w:shd w:fill="auto" w:val="clear"/>
            <w:vAlign w:val="bottom"/>
          </w:tcPr>
          <w:p>
            <w:pPr>
              <w:pStyle w:val="TableContents"/>
              <w:spacing w:before="0" w:after="283"/>
              <w:jc w:val="right"/>
              <w:rPr>
                <w:rFonts w:ascii="times" w:hAnsi="times"/>
                <w:sz w:val="14"/>
              </w:rPr>
            </w:pPr>
            <w:r>
              <w:rPr>
                <w:rFonts w:ascii="times" w:hAnsi="times"/>
                <w:sz w:val="14"/>
              </w:rPr>
              <w:t>9,822,358</w:t>
            </w:r>
          </w:p>
        </w:tc>
        <w:tc>
          <w:tcPr>
            <w:tcW w:w="158"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919" w:type="dxa"/>
            <w:tcBorders/>
            <w:shd w:fill="auto" w:val="clear"/>
            <w:vAlign w:val="bottom"/>
          </w:tcPr>
          <w:p>
            <w:pPr>
              <w:pStyle w:val="TableContents"/>
              <w:spacing w:before="0" w:after="283"/>
              <w:jc w:val="right"/>
              <w:rPr>
                <w:rFonts w:ascii="times" w:hAnsi="times"/>
                <w:sz w:val="14"/>
              </w:rPr>
            </w:pPr>
            <w:r>
              <w:rPr>
                <w:rFonts w:ascii="times" w:hAnsi="times"/>
                <w:sz w:val="14"/>
              </w:rPr>
              <w:t>N/A</w:t>
            </w:r>
          </w:p>
        </w:tc>
        <w:tc>
          <w:tcPr>
            <w:tcW w:w="158"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919" w:type="dxa"/>
            <w:tcBorders/>
            <w:shd w:fill="auto" w:val="clear"/>
            <w:vAlign w:val="bottom"/>
          </w:tcPr>
          <w:p>
            <w:pPr>
              <w:pStyle w:val="TableContents"/>
              <w:spacing w:before="0" w:after="283"/>
              <w:jc w:val="right"/>
              <w:rPr>
                <w:rFonts w:ascii="times" w:hAnsi="times"/>
                <w:sz w:val="14"/>
              </w:rPr>
            </w:pPr>
            <w:r>
              <w:rPr>
                <w:rFonts w:ascii="times" w:hAnsi="times"/>
                <w:sz w:val="14"/>
              </w:rPr>
              <w:t>N/A</w:t>
            </w:r>
          </w:p>
        </w:tc>
        <w:tc>
          <w:tcPr>
            <w:tcW w:w="157"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919" w:type="dxa"/>
            <w:tcBorders/>
            <w:shd w:fill="auto" w:val="clear"/>
            <w:vAlign w:val="bottom"/>
          </w:tcPr>
          <w:p>
            <w:pPr>
              <w:pStyle w:val="TableContents"/>
              <w:spacing w:before="0" w:after="283"/>
              <w:jc w:val="right"/>
              <w:rPr>
                <w:rFonts w:ascii="times" w:hAnsi="times"/>
                <w:sz w:val="14"/>
              </w:rPr>
            </w:pPr>
            <w:r>
              <w:rPr>
                <w:rFonts w:ascii="times" w:hAnsi="times"/>
                <w:sz w:val="14"/>
              </w:rPr>
              <w:t>N/A</w:t>
            </w:r>
          </w:p>
        </w:tc>
        <w:tc>
          <w:tcPr>
            <w:tcW w:w="169" w:type="dxa"/>
            <w:tcBorders/>
            <w:shd w:fill="auto" w:val="clear"/>
            <w:vAlign w:val="bottom"/>
          </w:tcPr>
          <w:p>
            <w:pPr>
              <w:pStyle w:val="TableContents"/>
              <w:spacing w:before="0" w:after="283"/>
              <w:rPr/>
            </w:pPr>
            <w:r>
              <w:rPr/>
              <w:t> </w:t>
            </w:r>
          </w:p>
        </w:tc>
      </w:tr>
      <w:tr>
        <w:trPr/>
        <w:tc>
          <w:tcPr>
            <w:tcW w:w="4178" w:type="dxa"/>
            <w:tcBorders/>
            <w:shd w:fill="auto" w:val="clear"/>
            <w:vAlign w:val="bottom"/>
          </w:tcPr>
          <w:p>
            <w:pPr>
              <w:pStyle w:val="TableContents"/>
              <w:spacing w:before="0" w:after="283"/>
              <w:ind w:left="140" w:right="0" w:hanging="140"/>
              <w:rPr>
                <w:rFonts w:ascii="times" w:hAnsi="times"/>
                <w:sz w:val="14"/>
              </w:rPr>
            </w:pPr>
            <w:r>
              <w:rPr>
                <w:rFonts w:ascii="times" w:hAnsi="times"/>
                <w:sz w:val="14"/>
              </w:rPr>
              <w:t>General partner units</w:t>
            </w:r>
          </w:p>
        </w:tc>
        <w:tc>
          <w:tcPr>
            <w:tcW w:w="157"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919" w:type="dxa"/>
            <w:tcBorders/>
            <w:shd w:fill="auto" w:val="clear"/>
            <w:vAlign w:val="bottom"/>
          </w:tcPr>
          <w:p>
            <w:pPr>
              <w:pStyle w:val="TableContents"/>
              <w:spacing w:before="0" w:after="283"/>
              <w:jc w:val="right"/>
              <w:rPr>
                <w:rFonts w:ascii="times" w:hAnsi="times"/>
                <w:sz w:val="14"/>
              </w:rPr>
            </w:pPr>
            <w:r>
              <w:rPr>
                <w:rFonts w:ascii="times" w:hAnsi="times"/>
                <w:sz w:val="14"/>
              </w:rPr>
              <w:t>668,505</w:t>
            </w:r>
          </w:p>
        </w:tc>
        <w:tc>
          <w:tcPr>
            <w:tcW w:w="158"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919" w:type="dxa"/>
            <w:tcBorders/>
            <w:shd w:fill="auto" w:val="clear"/>
            <w:vAlign w:val="bottom"/>
          </w:tcPr>
          <w:p>
            <w:pPr>
              <w:pStyle w:val="TableContents"/>
              <w:spacing w:before="0" w:after="283"/>
              <w:jc w:val="right"/>
              <w:rPr>
                <w:rFonts w:ascii="times" w:hAnsi="times"/>
                <w:sz w:val="14"/>
              </w:rPr>
            </w:pPr>
            <w:r>
              <w:rPr>
                <w:rFonts w:ascii="times" w:hAnsi="times"/>
                <w:sz w:val="14"/>
              </w:rPr>
              <w:t>790,819</w:t>
            </w:r>
          </w:p>
        </w:tc>
        <w:tc>
          <w:tcPr>
            <w:tcW w:w="158"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919" w:type="dxa"/>
            <w:tcBorders/>
            <w:shd w:fill="auto" w:val="clear"/>
            <w:vAlign w:val="bottom"/>
          </w:tcPr>
          <w:p>
            <w:pPr>
              <w:pStyle w:val="TableContents"/>
              <w:spacing w:before="0" w:after="283"/>
              <w:jc w:val="right"/>
              <w:rPr>
                <w:rFonts w:ascii="times" w:hAnsi="times"/>
                <w:sz w:val="14"/>
              </w:rPr>
            </w:pPr>
            <w:r>
              <w:rPr>
                <w:rFonts w:ascii="times" w:hAnsi="times"/>
                <w:sz w:val="14"/>
              </w:rPr>
              <w:t>876,255</w:t>
            </w:r>
          </w:p>
        </w:tc>
        <w:tc>
          <w:tcPr>
            <w:tcW w:w="158"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919" w:type="dxa"/>
            <w:tcBorders/>
            <w:shd w:fill="auto" w:val="clear"/>
            <w:vAlign w:val="bottom"/>
          </w:tcPr>
          <w:p>
            <w:pPr>
              <w:pStyle w:val="TableContents"/>
              <w:spacing w:before="0" w:after="283"/>
              <w:jc w:val="right"/>
              <w:rPr>
                <w:rFonts w:ascii="times" w:hAnsi="times"/>
                <w:sz w:val="14"/>
              </w:rPr>
            </w:pPr>
            <w:r>
              <w:rPr>
                <w:rFonts w:ascii="times" w:hAnsi="times"/>
                <w:sz w:val="14"/>
              </w:rPr>
              <w:t>975,531</w:t>
            </w:r>
          </w:p>
        </w:tc>
        <w:tc>
          <w:tcPr>
            <w:tcW w:w="157"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919" w:type="dxa"/>
            <w:tcBorders/>
            <w:shd w:fill="auto" w:val="clear"/>
            <w:vAlign w:val="bottom"/>
          </w:tcPr>
          <w:p>
            <w:pPr>
              <w:pStyle w:val="TableContents"/>
              <w:spacing w:before="0" w:after="283"/>
              <w:jc w:val="right"/>
              <w:rPr>
                <w:rFonts w:ascii="times" w:hAnsi="times"/>
                <w:sz w:val="14"/>
              </w:rPr>
            </w:pPr>
            <w:r>
              <w:rPr>
                <w:rFonts w:ascii="times" w:hAnsi="times"/>
                <w:sz w:val="14"/>
              </w:rPr>
              <w:t>1,021,336</w:t>
            </w:r>
          </w:p>
        </w:tc>
        <w:tc>
          <w:tcPr>
            <w:tcW w:w="169" w:type="dxa"/>
            <w:tcBorders/>
            <w:shd w:fill="auto" w:val="clear"/>
            <w:vAlign w:val="bottom"/>
          </w:tcPr>
          <w:p>
            <w:pPr>
              <w:pStyle w:val="TableContents"/>
              <w:spacing w:before="0" w:after="283"/>
              <w:rPr/>
            </w:pPr>
            <w:r>
              <w:rPr/>
              <w:t> </w:t>
            </w:r>
          </w:p>
        </w:tc>
      </w:tr>
      <w:tr>
        <w:trPr/>
        <w:tc>
          <w:tcPr>
            <w:tcW w:w="4178" w:type="dxa"/>
            <w:tcBorders/>
            <w:shd w:fill="auto" w:val="clear"/>
            <w:vAlign w:val="bottom"/>
          </w:tcPr>
          <w:p>
            <w:pPr>
              <w:pStyle w:val="TableContents"/>
              <w:spacing w:before="0" w:after="283"/>
              <w:ind w:left="140" w:right="0" w:hanging="140"/>
              <w:rPr>
                <w:rFonts w:ascii="times" w:hAnsi="times"/>
                <w:b/>
                <w:sz w:val="14"/>
              </w:rPr>
            </w:pPr>
            <w:r>
              <w:rPr>
                <w:rFonts w:ascii="times" w:hAnsi="times"/>
                <w:b/>
                <w:sz w:val="14"/>
              </w:rPr>
              <w:t>ADJUSTED EARNINGS PER UNIT ATTRIBUTABLE TO THE PARTNERSHIP</w:t>
            </w:r>
            <w:r>
              <w:rPr>
                <w:rFonts w:ascii="times" w:hAnsi="times"/>
                <w:b/>
                <w:position w:val="5"/>
                <w:sz w:val="11"/>
                <w:sz w:val="14"/>
              </w:rPr>
              <w:t>(3)</w:t>
            </w:r>
          </w:p>
        </w:tc>
        <w:tc>
          <w:tcPr>
            <w:tcW w:w="157"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919" w:type="dxa"/>
            <w:tcBorders/>
            <w:shd w:fill="auto" w:val="clear"/>
            <w:vAlign w:val="bottom"/>
          </w:tcPr>
          <w:p>
            <w:pPr>
              <w:pStyle w:val="TableContents"/>
              <w:spacing w:before="0" w:after="283"/>
              <w:jc w:val="right"/>
              <w:rPr/>
            </w:pPr>
            <w:r>
              <w:rPr/>
              <w:t> </w:t>
            </w:r>
          </w:p>
        </w:tc>
        <w:tc>
          <w:tcPr>
            <w:tcW w:w="158"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919" w:type="dxa"/>
            <w:tcBorders/>
            <w:shd w:fill="auto" w:val="clear"/>
            <w:vAlign w:val="bottom"/>
          </w:tcPr>
          <w:p>
            <w:pPr>
              <w:pStyle w:val="TableContents"/>
              <w:spacing w:before="0" w:after="283"/>
              <w:jc w:val="right"/>
              <w:rPr/>
            </w:pPr>
            <w:r>
              <w:rPr/>
              <w:t> </w:t>
            </w:r>
          </w:p>
        </w:tc>
        <w:tc>
          <w:tcPr>
            <w:tcW w:w="158"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919" w:type="dxa"/>
            <w:tcBorders/>
            <w:shd w:fill="auto" w:val="clear"/>
            <w:vAlign w:val="bottom"/>
          </w:tcPr>
          <w:p>
            <w:pPr>
              <w:pStyle w:val="TableContents"/>
              <w:spacing w:before="0" w:after="283"/>
              <w:jc w:val="right"/>
              <w:rPr/>
            </w:pPr>
            <w:r>
              <w:rPr/>
              <w:t> </w:t>
            </w:r>
          </w:p>
        </w:tc>
        <w:tc>
          <w:tcPr>
            <w:tcW w:w="158"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919" w:type="dxa"/>
            <w:tcBorders/>
            <w:shd w:fill="auto" w:val="clear"/>
            <w:vAlign w:val="bottom"/>
          </w:tcPr>
          <w:p>
            <w:pPr>
              <w:pStyle w:val="TableContents"/>
              <w:spacing w:before="0" w:after="283"/>
              <w:jc w:val="right"/>
              <w:rPr/>
            </w:pPr>
            <w:r>
              <w:rPr/>
              <w:t> </w:t>
            </w:r>
          </w:p>
        </w:tc>
        <w:tc>
          <w:tcPr>
            <w:tcW w:w="157"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919" w:type="dxa"/>
            <w:tcBorders/>
            <w:shd w:fill="auto" w:val="clear"/>
            <w:vAlign w:val="bottom"/>
          </w:tcPr>
          <w:p>
            <w:pPr>
              <w:pStyle w:val="TableContents"/>
              <w:spacing w:before="0" w:after="283"/>
              <w:jc w:val="right"/>
              <w:rPr/>
            </w:pPr>
            <w:r>
              <w:rPr/>
              <w:t> </w:t>
            </w:r>
          </w:p>
        </w:tc>
        <w:tc>
          <w:tcPr>
            <w:tcW w:w="169" w:type="dxa"/>
            <w:tcBorders/>
            <w:shd w:fill="auto" w:val="clear"/>
            <w:vAlign w:val="bottom"/>
          </w:tcPr>
          <w:p>
            <w:pPr>
              <w:pStyle w:val="TableContents"/>
              <w:spacing w:before="0" w:after="283"/>
              <w:rPr/>
            </w:pPr>
            <w:r>
              <w:rPr/>
              <w:t> </w:t>
            </w:r>
          </w:p>
        </w:tc>
      </w:tr>
      <w:tr>
        <w:trPr/>
        <w:tc>
          <w:tcPr>
            <w:tcW w:w="4178" w:type="dxa"/>
            <w:tcBorders/>
            <w:shd w:fill="auto" w:val="clear"/>
            <w:vAlign w:val="bottom"/>
          </w:tcPr>
          <w:p>
            <w:pPr>
              <w:pStyle w:val="TableContents"/>
              <w:spacing w:before="0" w:after="283"/>
              <w:ind w:left="140" w:right="0" w:hanging="140"/>
              <w:rPr>
                <w:rFonts w:ascii="times" w:hAnsi="times"/>
                <w:sz w:val="14"/>
              </w:rPr>
            </w:pPr>
            <w:r>
              <w:rPr>
                <w:rFonts w:ascii="times" w:hAnsi="times"/>
                <w:sz w:val="14"/>
              </w:rPr>
              <w:t>Common units (basic)</w:t>
            </w:r>
          </w:p>
        </w:tc>
        <w:tc>
          <w:tcPr>
            <w:tcW w:w="157"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rFonts w:ascii="times" w:hAnsi="times"/>
                <w:sz w:val="14"/>
              </w:rPr>
            </w:pPr>
            <w:r>
              <w:rPr>
                <w:rFonts w:ascii="times" w:hAnsi="times"/>
                <w:sz w:val="14"/>
              </w:rPr>
              <w:t>$</w:t>
            </w:r>
          </w:p>
        </w:tc>
        <w:tc>
          <w:tcPr>
            <w:tcW w:w="919" w:type="dxa"/>
            <w:tcBorders/>
            <w:shd w:fill="auto" w:val="clear"/>
            <w:vAlign w:val="bottom"/>
          </w:tcPr>
          <w:p>
            <w:pPr>
              <w:pStyle w:val="TableContents"/>
              <w:spacing w:before="0" w:after="283"/>
              <w:jc w:val="right"/>
              <w:rPr>
                <w:rFonts w:ascii="times" w:hAnsi="times"/>
                <w:sz w:val="14"/>
              </w:rPr>
            </w:pPr>
            <w:r>
              <w:rPr>
                <w:rFonts w:ascii="times" w:hAnsi="times"/>
                <w:sz w:val="14"/>
              </w:rPr>
              <w:t>2.11</w:t>
            </w:r>
          </w:p>
        </w:tc>
        <w:tc>
          <w:tcPr>
            <w:tcW w:w="158"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rFonts w:ascii="times" w:hAnsi="times"/>
                <w:sz w:val="14"/>
              </w:rPr>
            </w:pPr>
            <w:r>
              <w:rPr>
                <w:rFonts w:ascii="times" w:hAnsi="times"/>
                <w:sz w:val="14"/>
              </w:rPr>
              <w:t>$</w:t>
            </w:r>
          </w:p>
        </w:tc>
        <w:tc>
          <w:tcPr>
            <w:tcW w:w="919" w:type="dxa"/>
            <w:tcBorders/>
            <w:shd w:fill="auto" w:val="clear"/>
            <w:vAlign w:val="bottom"/>
          </w:tcPr>
          <w:p>
            <w:pPr>
              <w:pStyle w:val="TableContents"/>
              <w:spacing w:before="0" w:after="283"/>
              <w:jc w:val="right"/>
              <w:rPr>
                <w:rFonts w:ascii="times" w:hAnsi="times"/>
                <w:sz w:val="14"/>
              </w:rPr>
            </w:pPr>
            <w:r>
              <w:rPr>
                <w:rFonts w:ascii="times" w:hAnsi="times"/>
                <w:sz w:val="14"/>
              </w:rPr>
              <w:t>2.06</w:t>
            </w:r>
          </w:p>
        </w:tc>
        <w:tc>
          <w:tcPr>
            <w:tcW w:w="158"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rFonts w:ascii="times" w:hAnsi="times"/>
                <w:sz w:val="14"/>
              </w:rPr>
            </w:pPr>
            <w:r>
              <w:rPr>
                <w:rFonts w:ascii="times" w:hAnsi="times"/>
                <w:sz w:val="14"/>
              </w:rPr>
              <w:t>$</w:t>
            </w:r>
          </w:p>
        </w:tc>
        <w:tc>
          <w:tcPr>
            <w:tcW w:w="919" w:type="dxa"/>
            <w:tcBorders/>
            <w:shd w:fill="auto" w:val="clear"/>
            <w:vAlign w:val="bottom"/>
          </w:tcPr>
          <w:p>
            <w:pPr>
              <w:pStyle w:val="TableContents"/>
              <w:spacing w:before="0" w:after="283"/>
              <w:jc w:val="right"/>
              <w:rPr>
                <w:rFonts w:ascii="times" w:hAnsi="times"/>
                <w:sz w:val="14"/>
              </w:rPr>
            </w:pPr>
            <w:r>
              <w:rPr>
                <w:rFonts w:ascii="times" w:hAnsi="times"/>
                <w:sz w:val="14"/>
              </w:rPr>
              <w:t>1.85</w:t>
            </w:r>
          </w:p>
        </w:tc>
        <w:tc>
          <w:tcPr>
            <w:tcW w:w="158"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rFonts w:ascii="times" w:hAnsi="times"/>
                <w:sz w:val="14"/>
              </w:rPr>
            </w:pPr>
            <w:r>
              <w:rPr>
                <w:rFonts w:ascii="times" w:hAnsi="times"/>
                <w:sz w:val="14"/>
              </w:rPr>
              <w:t>$</w:t>
            </w:r>
          </w:p>
        </w:tc>
        <w:tc>
          <w:tcPr>
            <w:tcW w:w="919" w:type="dxa"/>
            <w:tcBorders/>
            <w:shd w:fill="auto" w:val="clear"/>
            <w:vAlign w:val="bottom"/>
          </w:tcPr>
          <w:p>
            <w:pPr>
              <w:pStyle w:val="TableContents"/>
              <w:spacing w:before="0" w:after="283"/>
              <w:jc w:val="right"/>
              <w:rPr>
                <w:rFonts w:ascii="times" w:hAnsi="times"/>
                <w:sz w:val="14"/>
              </w:rPr>
            </w:pPr>
            <w:r>
              <w:rPr>
                <w:rFonts w:ascii="times" w:hAnsi="times"/>
                <w:sz w:val="14"/>
              </w:rPr>
              <w:t>1.82</w:t>
            </w:r>
          </w:p>
        </w:tc>
        <w:tc>
          <w:tcPr>
            <w:tcW w:w="157"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rFonts w:ascii="times" w:hAnsi="times"/>
                <w:sz w:val="14"/>
              </w:rPr>
            </w:pPr>
            <w:r>
              <w:rPr>
                <w:rFonts w:ascii="times" w:hAnsi="times"/>
                <w:sz w:val="14"/>
              </w:rPr>
              <w:t>$</w:t>
            </w:r>
          </w:p>
        </w:tc>
        <w:tc>
          <w:tcPr>
            <w:tcW w:w="919" w:type="dxa"/>
            <w:tcBorders/>
            <w:shd w:fill="auto" w:val="clear"/>
            <w:vAlign w:val="bottom"/>
          </w:tcPr>
          <w:p>
            <w:pPr>
              <w:pStyle w:val="TableContents"/>
              <w:spacing w:before="0" w:after="283"/>
              <w:jc w:val="right"/>
              <w:rPr>
                <w:rFonts w:ascii="times" w:hAnsi="times"/>
                <w:sz w:val="14"/>
              </w:rPr>
            </w:pPr>
            <w:r>
              <w:rPr>
                <w:rFonts w:ascii="times" w:hAnsi="times"/>
                <w:sz w:val="14"/>
              </w:rPr>
              <w:t>1.29</w:t>
            </w:r>
          </w:p>
        </w:tc>
        <w:tc>
          <w:tcPr>
            <w:tcW w:w="169" w:type="dxa"/>
            <w:tcBorders/>
            <w:shd w:fill="auto" w:val="clear"/>
            <w:vAlign w:val="bottom"/>
          </w:tcPr>
          <w:p>
            <w:pPr>
              <w:pStyle w:val="TableContents"/>
              <w:spacing w:before="0" w:after="283"/>
              <w:rPr/>
            </w:pPr>
            <w:r>
              <w:rPr/>
              <w:t> </w:t>
            </w:r>
          </w:p>
        </w:tc>
      </w:tr>
      <w:tr>
        <w:trPr/>
        <w:tc>
          <w:tcPr>
            <w:tcW w:w="4178" w:type="dxa"/>
            <w:tcBorders/>
            <w:shd w:fill="auto" w:val="clear"/>
            <w:vAlign w:val="bottom"/>
          </w:tcPr>
          <w:p>
            <w:pPr>
              <w:pStyle w:val="TableContents"/>
              <w:spacing w:before="0" w:after="283"/>
              <w:ind w:left="140" w:right="0" w:hanging="140"/>
              <w:rPr>
                <w:rFonts w:ascii="times" w:hAnsi="times"/>
                <w:sz w:val="14"/>
              </w:rPr>
            </w:pPr>
            <w:r>
              <w:rPr>
                <w:rFonts w:ascii="times" w:hAnsi="times"/>
                <w:sz w:val="14"/>
              </w:rPr>
              <w:t>Subordinated units</w:t>
            </w:r>
            <w:r>
              <w:rPr>
                <w:rFonts w:ascii="times" w:hAnsi="times"/>
                <w:position w:val="5"/>
                <w:sz w:val="11"/>
                <w:sz w:val="14"/>
              </w:rPr>
              <w:t>(3)</w:t>
            </w:r>
          </w:p>
        </w:tc>
        <w:tc>
          <w:tcPr>
            <w:tcW w:w="157"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rFonts w:ascii="times" w:hAnsi="times"/>
                <w:sz w:val="14"/>
              </w:rPr>
            </w:pPr>
            <w:r>
              <w:rPr>
                <w:rFonts w:ascii="times" w:hAnsi="times"/>
                <w:sz w:val="14"/>
              </w:rPr>
              <w:t>$</w:t>
            </w:r>
          </w:p>
        </w:tc>
        <w:tc>
          <w:tcPr>
            <w:tcW w:w="919" w:type="dxa"/>
            <w:tcBorders/>
            <w:shd w:fill="auto" w:val="clear"/>
            <w:vAlign w:val="bottom"/>
          </w:tcPr>
          <w:p>
            <w:pPr>
              <w:pStyle w:val="TableContents"/>
              <w:spacing w:before="0" w:after="283"/>
              <w:jc w:val="right"/>
              <w:rPr>
                <w:rFonts w:ascii="times" w:hAnsi="times"/>
                <w:sz w:val="14"/>
              </w:rPr>
            </w:pPr>
            <w:r>
              <w:rPr>
                <w:rFonts w:ascii="times" w:hAnsi="times"/>
                <w:sz w:val="14"/>
              </w:rPr>
              <w:t>2.08</w:t>
            </w:r>
          </w:p>
        </w:tc>
        <w:tc>
          <w:tcPr>
            <w:tcW w:w="158"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rFonts w:ascii="times" w:hAnsi="times"/>
                <w:sz w:val="14"/>
              </w:rPr>
            </w:pPr>
            <w:r>
              <w:rPr>
                <w:rFonts w:ascii="times" w:hAnsi="times"/>
                <w:sz w:val="14"/>
              </w:rPr>
              <w:t>$</w:t>
            </w:r>
          </w:p>
        </w:tc>
        <w:tc>
          <w:tcPr>
            <w:tcW w:w="919" w:type="dxa"/>
            <w:tcBorders/>
            <w:shd w:fill="auto" w:val="clear"/>
            <w:vAlign w:val="bottom"/>
          </w:tcPr>
          <w:p>
            <w:pPr>
              <w:pStyle w:val="TableContents"/>
              <w:spacing w:before="0" w:after="283"/>
              <w:jc w:val="right"/>
              <w:rPr>
                <w:rFonts w:ascii="times" w:hAnsi="times"/>
                <w:sz w:val="14"/>
              </w:rPr>
            </w:pPr>
            <w:r>
              <w:rPr>
                <w:rFonts w:ascii="times" w:hAnsi="times"/>
                <w:sz w:val="14"/>
              </w:rPr>
              <w:t>0.50</w:t>
            </w:r>
          </w:p>
        </w:tc>
        <w:tc>
          <w:tcPr>
            <w:tcW w:w="158"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919" w:type="dxa"/>
            <w:tcBorders/>
            <w:shd w:fill="auto" w:val="clear"/>
            <w:vAlign w:val="bottom"/>
          </w:tcPr>
          <w:p>
            <w:pPr>
              <w:pStyle w:val="TableContents"/>
              <w:spacing w:before="0" w:after="283"/>
              <w:jc w:val="right"/>
              <w:rPr>
                <w:rFonts w:ascii="times" w:hAnsi="times"/>
                <w:sz w:val="14"/>
              </w:rPr>
            </w:pPr>
            <w:r>
              <w:rPr>
                <w:rFonts w:ascii="times" w:hAnsi="times"/>
                <w:sz w:val="14"/>
              </w:rPr>
              <w:t>N/A</w:t>
            </w:r>
          </w:p>
        </w:tc>
        <w:tc>
          <w:tcPr>
            <w:tcW w:w="158"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919" w:type="dxa"/>
            <w:tcBorders/>
            <w:shd w:fill="auto" w:val="clear"/>
            <w:vAlign w:val="bottom"/>
          </w:tcPr>
          <w:p>
            <w:pPr>
              <w:pStyle w:val="TableContents"/>
              <w:spacing w:before="0" w:after="283"/>
              <w:jc w:val="right"/>
              <w:rPr>
                <w:rFonts w:ascii="times" w:hAnsi="times"/>
                <w:sz w:val="14"/>
              </w:rPr>
            </w:pPr>
            <w:r>
              <w:rPr>
                <w:rFonts w:ascii="times" w:hAnsi="times"/>
                <w:sz w:val="14"/>
              </w:rPr>
              <w:t>N/A</w:t>
            </w:r>
          </w:p>
        </w:tc>
        <w:tc>
          <w:tcPr>
            <w:tcW w:w="157"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919" w:type="dxa"/>
            <w:tcBorders/>
            <w:shd w:fill="auto" w:val="clear"/>
            <w:vAlign w:val="bottom"/>
          </w:tcPr>
          <w:p>
            <w:pPr>
              <w:pStyle w:val="TableContents"/>
              <w:spacing w:before="0" w:after="283"/>
              <w:jc w:val="right"/>
              <w:rPr>
                <w:rFonts w:ascii="times" w:hAnsi="times"/>
                <w:sz w:val="14"/>
              </w:rPr>
            </w:pPr>
            <w:r>
              <w:rPr>
                <w:rFonts w:ascii="times" w:hAnsi="times"/>
                <w:sz w:val="14"/>
              </w:rPr>
              <w:t>N/A</w:t>
            </w:r>
          </w:p>
        </w:tc>
        <w:tc>
          <w:tcPr>
            <w:tcW w:w="169" w:type="dxa"/>
            <w:tcBorders/>
            <w:shd w:fill="auto" w:val="clear"/>
            <w:vAlign w:val="bottom"/>
          </w:tcPr>
          <w:p>
            <w:pPr>
              <w:pStyle w:val="TableContents"/>
              <w:spacing w:before="0" w:after="283"/>
              <w:rPr/>
            </w:pPr>
            <w:r>
              <w:rPr/>
              <w:t> </w:t>
            </w:r>
          </w:p>
        </w:tc>
      </w:tr>
      <w:tr>
        <w:trPr/>
        <w:tc>
          <w:tcPr>
            <w:tcW w:w="4178" w:type="dxa"/>
            <w:tcBorders/>
            <w:shd w:fill="auto" w:val="clear"/>
            <w:vAlign w:val="bottom"/>
          </w:tcPr>
          <w:p>
            <w:pPr>
              <w:pStyle w:val="TableContents"/>
              <w:spacing w:before="0" w:after="283"/>
              <w:ind w:left="140" w:right="0" w:hanging="140"/>
              <w:rPr>
                <w:rFonts w:ascii="times" w:hAnsi="times"/>
                <w:sz w:val="14"/>
              </w:rPr>
            </w:pPr>
            <w:r>
              <w:rPr>
                <w:rFonts w:ascii="times" w:hAnsi="times"/>
                <w:sz w:val="14"/>
              </w:rPr>
              <w:t>General partner units</w:t>
            </w:r>
          </w:p>
        </w:tc>
        <w:tc>
          <w:tcPr>
            <w:tcW w:w="157"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rFonts w:ascii="times" w:hAnsi="times"/>
                <w:sz w:val="14"/>
              </w:rPr>
            </w:pPr>
            <w:r>
              <w:rPr>
                <w:rFonts w:ascii="times" w:hAnsi="times"/>
                <w:sz w:val="14"/>
              </w:rPr>
              <w:t>$</w:t>
            </w:r>
          </w:p>
        </w:tc>
        <w:tc>
          <w:tcPr>
            <w:tcW w:w="919" w:type="dxa"/>
            <w:tcBorders/>
            <w:shd w:fill="auto" w:val="clear"/>
            <w:vAlign w:val="bottom"/>
          </w:tcPr>
          <w:p>
            <w:pPr>
              <w:pStyle w:val="TableContents"/>
              <w:spacing w:before="0" w:after="283"/>
              <w:jc w:val="right"/>
              <w:rPr>
                <w:rFonts w:ascii="times" w:hAnsi="times"/>
                <w:sz w:val="14"/>
              </w:rPr>
            </w:pPr>
            <w:r>
              <w:rPr>
                <w:rFonts w:ascii="times" w:hAnsi="times"/>
                <w:sz w:val="14"/>
              </w:rPr>
              <w:t>2.19</w:t>
            </w:r>
          </w:p>
        </w:tc>
        <w:tc>
          <w:tcPr>
            <w:tcW w:w="158"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rFonts w:ascii="times" w:hAnsi="times"/>
                <w:sz w:val="14"/>
              </w:rPr>
            </w:pPr>
            <w:r>
              <w:rPr>
                <w:rFonts w:ascii="times" w:hAnsi="times"/>
                <w:sz w:val="14"/>
              </w:rPr>
              <w:t>$</w:t>
            </w:r>
          </w:p>
        </w:tc>
        <w:tc>
          <w:tcPr>
            <w:tcW w:w="919" w:type="dxa"/>
            <w:tcBorders/>
            <w:shd w:fill="auto" w:val="clear"/>
            <w:vAlign w:val="bottom"/>
          </w:tcPr>
          <w:p>
            <w:pPr>
              <w:pStyle w:val="TableContents"/>
              <w:spacing w:before="0" w:after="283"/>
              <w:jc w:val="right"/>
              <w:rPr>
                <w:rFonts w:ascii="times" w:hAnsi="times"/>
                <w:sz w:val="14"/>
              </w:rPr>
            </w:pPr>
            <w:r>
              <w:rPr>
                <w:rFonts w:ascii="times" w:hAnsi="times"/>
                <w:sz w:val="14"/>
              </w:rPr>
              <w:t>2.13</w:t>
            </w:r>
          </w:p>
        </w:tc>
        <w:tc>
          <w:tcPr>
            <w:tcW w:w="158"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rFonts w:ascii="times" w:hAnsi="times"/>
                <w:sz w:val="14"/>
              </w:rPr>
            </w:pPr>
            <w:r>
              <w:rPr>
                <w:rFonts w:ascii="times" w:hAnsi="times"/>
                <w:sz w:val="14"/>
              </w:rPr>
              <w:t>$</w:t>
            </w:r>
          </w:p>
        </w:tc>
        <w:tc>
          <w:tcPr>
            <w:tcW w:w="919" w:type="dxa"/>
            <w:tcBorders/>
            <w:shd w:fill="auto" w:val="clear"/>
            <w:vAlign w:val="bottom"/>
          </w:tcPr>
          <w:p>
            <w:pPr>
              <w:pStyle w:val="TableContents"/>
              <w:spacing w:before="0" w:after="283"/>
              <w:jc w:val="right"/>
              <w:rPr>
                <w:rFonts w:ascii="times" w:hAnsi="times"/>
                <w:sz w:val="14"/>
              </w:rPr>
            </w:pPr>
            <w:r>
              <w:rPr>
                <w:rFonts w:ascii="times" w:hAnsi="times"/>
                <w:sz w:val="14"/>
              </w:rPr>
              <w:t>1.88</w:t>
            </w:r>
          </w:p>
        </w:tc>
        <w:tc>
          <w:tcPr>
            <w:tcW w:w="158"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rFonts w:ascii="times" w:hAnsi="times"/>
                <w:sz w:val="14"/>
              </w:rPr>
            </w:pPr>
            <w:r>
              <w:rPr>
                <w:rFonts w:ascii="times" w:hAnsi="times"/>
                <w:sz w:val="14"/>
              </w:rPr>
              <w:t>$</w:t>
            </w:r>
          </w:p>
        </w:tc>
        <w:tc>
          <w:tcPr>
            <w:tcW w:w="919" w:type="dxa"/>
            <w:tcBorders/>
            <w:shd w:fill="auto" w:val="clear"/>
            <w:vAlign w:val="bottom"/>
          </w:tcPr>
          <w:p>
            <w:pPr>
              <w:pStyle w:val="TableContents"/>
              <w:spacing w:before="0" w:after="283"/>
              <w:jc w:val="right"/>
              <w:rPr>
                <w:rFonts w:ascii="times" w:hAnsi="times"/>
                <w:sz w:val="14"/>
              </w:rPr>
            </w:pPr>
            <w:r>
              <w:rPr>
                <w:rFonts w:ascii="times" w:hAnsi="times"/>
                <w:sz w:val="14"/>
              </w:rPr>
              <w:t>1.82</w:t>
            </w:r>
          </w:p>
        </w:tc>
        <w:tc>
          <w:tcPr>
            <w:tcW w:w="157"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rFonts w:ascii="times" w:hAnsi="times"/>
                <w:sz w:val="14"/>
              </w:rPr>
            </w:pPr>
            <w:r>
              <w:rPr>
                <w:rFonts w:ascii="times" w:hAnsi="times"/>
                <w:sz w:val="14"/>
              </w:rPr>
              <w:t>$</w:t>
            </w:r>
          </w:p>
        </w:tc>
        <w:tc>
          <w:tcPr>
            <w:tcW w:w="919" w:type="dxa"/>
            <w:tcBorders/>
            <w:shd w:fill="auto" w:val="clear"/>
            <w:vAlign w:val="bottom"/>
          </w:tcPr>
          <w:p>
            <w:pPr>
              <w:pStyle w:val="TableContents"/>
              <w:spacing w:before="0" w:after="283"/>
              <w:jc w:val="right"/>
              <w:rPr>
                <w:rFonts w:ascii="times" w:hAnsi="times"/>
                <w:sz w:val="14"/>
              </w:rPr>
            </w:pPr>
            <w:r>
              <w:rPr>
                <w:rFonts w:ascii="times" w:hAnsi="times"/>
                <w:sz w:val="14"/>
              </w:rPr>
              <w:t>1.29</w:t>
            </w:r>
          </w:p>
        </w:tc>
        <w:tc>
          <w:tcPr>
            <w:tcW w:w="169" w:type="dxa"/>
            <w:tcBorders/>
            <w:shd w:fill="auto" w:val="clear"/>
            <w:vAlign w:val="bottom"/>
          </w:tcPr>
          <w:p>
            <w:pPr>
              <w:pStyle w:val="TableContents"/>
              <w:spacing w:before="0" w:after="283"/>
              <w:rPr/>
            </w:pPr>
            <w:r>
              <w:rPr/>
              <w:t> </w:t>
            </w:r>
          </w:p>
        </w:tc>
      </w:tr>
    </w:tbl>
    <w:p>
      <w:pPr>
        <w:pStyle w:val="HorizontalLine"/>
        <w:pBdr>
          <w:bottom w:val="single" w:sz="6" w:space="0" w:color="000000"/>
        </w:pBdr>
        <w:ind w:left="0" w:right="7042" w:hanging="0"/>
        <w:rPr/>
      </w:pPr>
      <w:r>
        <w:rPr/>
      </w:r>
    </w:p>
    <w:p>
      <w:pPr>
        <w:pStyle w:val="ListHeading"/>
        <w:spacing w:before="0" w:after="0"/>
        <w:jc w:val="left"/>
        <w:rPr>
          <w:rFonts w:ascii="times" w:hAnsi="times"/>
          <w:sz w:val="14"/>
        </w:rPr>
      </w:pPr>
      <w:r>
        <w:rPr>
          <w:rFonts w:ascii="times" w:hAnsi="times"/>
          <w:sz w:val="14"/>
        </w:rPr>
        <w:t>(*)</w:t>
      </w:r>
    </w:p>
    <w:p>
      <w:pPr>
        <w:pStyle w:val="ListContents"/>
        <w:spacing w:before="0" w:after="283"/>
        <w:jc w:val="left"/>
        <w:rPr>
          <w:rFonts w:ascii="times" w:hAnsi="times"/>
          <w:sz w:val="14"/>
        </w:rPr>
      </w:pPr>
      <w:r>
        <w:rPr>
          <w:rFonts w:ascii="times" w:hAnsi="times"/>
          <w:sz w:val="14"/>
        </w:rPr>
        <w:t xml:space="preserve">Non-cash (gain)/loss on derivatives represents Unrealized (gain)/loss on interest rate swaps held for trading and Unrealized loss/(gain) on forward foreign exchange contracts held for trading and is included in (Loss)/gain on derivatives, see Note 17 to our audited consolidated financial statements included in our Annual Report on Form 20-F. </w:t>
      </w:r>
    </w:p>
    <w:p>
      <w:pPr>
        <w:pStyle w:val="ListHeading"/>
        <w:spacing w:before="0" w:after="0"/>
        <w:jc w:val="left"/>
        <w:rPr>
          <w:rFonts w:ascii="times" w:hAnsi="times"/>
          <w:sz w:val="14"/>
        </w:rPr>
      </w:pPr>
      <w:r>
        <w:rPr>
          <w:rFonts w:ascii="times" w:hAnsi="times"/>
          <w:sz w:val="14"/>
        </w:rPr>
        <w:t>(**)</w:t>
      </w:r>
    </w:p>
    <w:p>
      <w:pPr>
        <w:pStyle w:val="ListContents"/>
        <w:spacing w:before="0" w:after="283"/>
        <w:jc w:val="left"/>
        <w:rPr>
          <w:rFonts w:ascii="times" w:hAnsi="times"/>
          <w:sz w:val="14"/>
        </w:rPr>
      </w:pPr>
      <w:r>
        <w:rPr>
          <w:rFonts w:ascii="times" w:hAnsi="times"/>
          <w:sz w:val="14"/>
        </w:rPr>
        <w:t xml:space="preserve">Write-off and accelerated amortization of unamortized deferred loan issuance costs is included in Financial costs, see Note 12 to our audited consolidated financial statements included in our Annual Report on Form 20-F. </w:t>
      </w:r>
    </w:p>
    <w:p>
      <w:pPr>
        <w:pStyle w:val="TextBody"/>
        <w:ind w:left="200" w:right="0" w:hanging="200"/>
        <w:rPr>
          <w:rFonts w:ascii="times" w:hAnsi="times"/>
          <w:b/>
          <w:sz w:val="20"/>
          <w:bdr w:val="single" w:sz="8" w:space="12" w:color="000000"/>
        </w:rPr>
      </w:pPr>
      <w:bookmarkStart w:id="62" w:name="toc_bo43504_3"/>
      <w:bookmarkStart w:id="63" w:name="bo43504_reconciliation_of_ebitda_and_a__"/>
      <w:bookmarkEnd w:id="62"/>
      <w:bookmarkEnd w:id="63"/>
      <w:r>
        <w:rPr>
          <w:rFonts w:ascii="times" w:hAnsi="times"/>
          <w:b/>
          <w:sz w:val="20"/>
          <w:bdr w:val="single" w:sz="8" w:space="12" w:color="000000"/>
        </w:rPr>
        <w:t xml:space="preserve">Reconciliation of EBITDA and Adjusted EBITDA to Distributable Cash Flow*: </w:t>
      </w:r>
    </w:p>
    <w:tbl>
      <w:tblPr>
        <w:tblW w:w="5000" w:type="pct"/>
        <w:jc w:val="center"/>
        <w:tblInd w:w="0" w:type="dxa"/>
        <w:tblCellMar>
          <w:top w:w="0" w:type="dxa"/>
          <w:left w:w="0" w:type="dxa"/>
          <w:bottom w:w="0" w:type="dxa"/>
          <w:right w:w="0" w:type="dxa"/>
        </w:tblCellMar>
      </w:tblPr>
      <w:tblGrid>
        <w:gridCol w:w="4674"/>
        <w:gridCol w:w="144"/>
        <w:gridCol w:w="95"/>
        <w:gridCol w:w="835"/>
        <w:gridCol w:w="146"/>
        <w:gridCol w:w="95"/>
        <w:gridCol w:w="835"/>
        <w:gridCol w:w="146"/>
        <w:gridCol w:w="95"/>
        <w:gridCol w:w="835"/>
        <w:gridCol w:w="146"/>
        <w:gridCol w:w="95"/>
        <w:gridCol w:w="835"/>
        <w:gridCol w:w="146"/>
        <w:gridCol w:w="95"/>
        <w:gridCol w:w="835"/>
        <w:gridCol w:w="153"/>
      </w:tblGrid>
      <w:tr>
        <w:trPr/>
        <w:tc>
          <w:tcPr>
            <w:tcW w:w="4674" w:type="dxa"/>
            <w:tcBorders/>
            <w:shd w:fill="auto" w:val="clear"/>
            <w:vAlign w:val="center"/>
          </w:tcPr>
          <w:p>
            <w:pPr>
              <w:pStyle w:val="TableContents"/>
              <w:spacing w:before="0" w:after="283"/>
              <w:rPr>
                <w:sz w:val="4"/>
                <w:szCs w:val="4"/>
              </w:rPr>
            </w:pPr>
            <w:r>
              <w:rPr>
                <w:sz w:val="4"/>
                <w:szCs w:val="4"/>
              </w:rPr>
            </w:r>
          </w:p>
        </w:tc>
        <w:tc>
          <w:tcPr>
            <w:tcW w:w="144" w:type="dxa"/>
            <w:tcBorders/>
            <w:shd w:fill="auto" w:val="clear"/>
            <w:vAlign w:val="center"/>
          </w:tcPr>
          <w:p>
            <w:pPr>
              <w:pStyle w:val="TableContents"/>
              <w:spacing w:before="0" w:after="283"/>
              <w:rPr>
                <w:sz w:val="4"/>
                <w:szCs w:val="4"/>
              </w:rPr>
            </w:pPr>
            <w:r>
              <w:rPr>
                <w:sz w:val="4"/>
                <w:szCs w:val="4"/>
              </w:rPr>
            </w:r>
          </w:p>
        </w:tc>
        <w:tc>
          <w:tcPr>
            <w:tcW w:w="95" w:type="dxa"/>
            <w:tcBorders/>
            <w:shd w:fill="auto" w:val="clear"/>
            <w:vAlign w:val="center"/>
          </w:tcPr>
          <w:p>
            <w:pPr>
              <w:pStyle w:val="TableContents"/>
              <w:spacing w:before="0" w:after="283"/>
              <w:rPr>
                <w:sz w:val="4"/>
                <w:szCs w:val="4"/>
              </w:rPr>
            </w:pPr>
            <w:r>
              <w:rPr>
                <w:sz w:val="4"/>
                <w:szCs w:val="4"/>
              </w:rPr>
            </w:r>
          </w:p>
        </w:tc>
        <w:tc>
          <w:tcPr>
            <w:tcW w:w="835"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95" w:type="dxa"/>
            <w:tcBorders/>
            <w:shd w:fill="auto" w:val="clear"/>
            <w:vAlign w:val="center"/>
          </w:tcPr>
          <w:p>
            <w:pPr>
              <w:pStyle w:val="TableContents"/>
              <w:spacing w:before="0" w:after="283"/>
              <w:rPr>
                <w:sz w:val="4"/>
                <w:szCs w:val="4"/>
              </w:rPr>
            </w:pPr>
            <w:r>
              <w:rPr>
                <w:sz w:val="4"/>
                <w:szCs w:val="4"/>
              </w:rPr>
            </w:r>
          </w:p>
        </w:tc>
        <w:tc>
          <w:tcPr>
            <w:tcW w:w="835"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95" w:type="dxa"/>
            <w:tcBorders/>
            <w:shd w:fill="auto" w:val="clear"/>
            <w:vAlign w:val="center"/>
          </w:tcPr>
          <w:p>
            <w:pPr>
              <w:pStyle w:val="TableContents"/>
              <w:spacing w:before="0" w:after="283"/>
              <w:rPr>
                <w:sz w:val="4"/>
                <w:szCs w:val="4"/>
              </w:rPr>
            </w:pPr>
            <w:r>
              <w:rPr>
                <w:sz w:val="4"/>
                <w:szCs w:val="4"/>
              </w:rPr>
            </w:r>
          </w:p>
        </w:tc>
        <w:tc>
          <w:tcPr>
            <w:tcW w:w="835"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95" w:type="dxa"/>
            <w:tcBorders/>
            <w:shd w:fill="auto" w:val="clear"/>
            <w:vAlign w:val="center"/>
          </w:tcPr>
          <w:p>
            <w:pPr>
              <w:pStyle w:val="TableContents"/>
              <w:spacing w:before="0" w:after="283"/>
              <w:rPr>
                <w:sz w:val="4"/>
                <w:szCs w:val="4"/>
              </w:rPr>
            </w:pPr>
            <w:r>
              <w:rPr>
                <w:sz w:val="4"/>
                <w:szCs w:val="4"/>
              </w:rPr>
            </w:r>
          </w:p>
        </w:tc>
        <w:tc>
          <w:tcPr>
            <w:tcW w:w="835"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95" w:type="dxa"/>
            <w:tcBorders/>
            <w:shd w:fill="auto" w:val="clear"/>
            <w:vAlign w:val="center"/>
          </w:tcPr>
          <w:p>
            <w:pPr>
              <w:pStyle w:val="TableContents"/>
              <w:spacing w:before="0" w:after="283"/>
              <w:rPr>
                <w:sz w:val="4"/>
                <w:szCs w:val="4"/>
              </w:rPr>
            </w:pPr>
            <w:r>
              <w:rPr>
                <w:sz w:val="4"/>
                <w:szCs w:val="4"/>
              </w:rPr>
            </w:r>
          </w:p>
        </w:tc>
        <w:tc>
          <w:tcPr>
            <w:tcW w:w="835" w:type="dxa"/>
            <w:tcBorders/>
            <w:shd w:fill="auto" w:val="clear"/>
            <w:vAlign w:val="center"/>
          </w:tcPr>
          <w:p>
            <w:pPr>
              <w:pStyle w:val="TableContents"/>
              <w:spacing w:before="0" w:after="283"/>
              <w:rPr>
                <w:sz w:val="4"/>
                <w:szCs w:val="4"/>
              </w:rPr>
            </w:pPr>
            <w:r>
              <w:rPr>
                <w:sz w:val="4"/>
                <w:szCs w:val="4"/>
              </w:rPr>
            </w:r>
          </w:p>
        </w:tc>
        <w:tc>
          <w:tcPr>
            <w:tcW w:w="153" w:type="dxa"/>
            <w:tcBorders/>
            <w:shd w:fill="auto" w:val="clear"/>
            <w:vAlign w:val="center"/>
          </w:tcPr>
          <w:p>
            <w:pPr>
              <w:pStyle w:val="TableContents"/>
              <w:spacing w:before="0" w:after="283"/>
              <w:rPr>
                <w:sz w:val="4"/>
                <w:szCs w:val="4"/>
              </w:rPr>
            </w:pPr>
            <w:r>
              <w:rPr>
                <w:sz w:val="4"/>
                <w:szCs w:val="4"/>
              </w:rPr>
            </w:r>
          </w:p>
        </w:tc>
      </w:tr>
      <w:tr>
        <w:trPr/>
        <w:tc>
          <w:tcPr>
            <w:tcW w:w="4674" w:type="dxa"/>
            <w:tcBorders/>
            <w:shd w:fill="auto" w:val="clear"/>
            <w:vAlign w:val="bottom"/>
          </w:tcPr>
          <w:p>
            <w:pPr>
              <w:pStyle w:val="TableHeading"/>
              <w:spacing w:before="0" w:after="283"/>
              <w:jc w:val="left"/>
              <w:rPr/>
            </w:pPr>
            <w:r>
              <w:rPr/>
              <w:t> </w:t>
            </w:r>
          </w:p>
        </w:tc>
        <w:tc>
          <w:tcPr>
            <w:tcW w:w="144" w:type="dxa"/>
            <w:tcBorders/>
            <w:shd w:fill="auto" w:val="clear"/>
            <w:vAlign w:val="bottom"/>
          </w:tcPr>
          <w:p>
            <w:pPr>
              <w:pStyle w:val="TableHeading"/>
              <w:suppressLineNumbers/>
              <w:spacing w:before="0" w:after="283"/>
              <w:jc w:val="center"/>
              <w:rPr/>
            </w:pPr>
            <w:r>
              <w:rPr/>
              <w:t> </w:t>
            </w:r>
          </w:p>
        </w:tc>
        <w:tc>
          <w:tcPr>
            <w:tcW w:w="5234" w:type="dxa"/>
            <w:gridSpan w:val="14"/>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Partnership Performance Results Year ended December 31, </w:t>
            </w:r>
          </w:p>
        </w:tc>
        <w:tc>
          <w:tcPr>
            <w:tcW w:w="153" w:type="dxa"/>
            <w:tcBorders/>
            <w:shd w:fill="auto" w:val="clear"/>
            <w:vAlign w:val="bottom"/>
          </w:tcPr>
          <w:p>
            <w:pPr>
              <w:pStyle w:val="TableHeading"/>
              <w:suppressLineNumbers/>
              <w:spacing w:before="0" w:after="283"/>
              <w:jc w:val="center"/>
              <w:rPr/>
            </w:pPr>
            <w:r>
              <w:rPr/>
              <w:t> </w:t>
            </w:r>
          </w:p>
        </w:tc>
      </w:tr>
      <w:tr>
        <w:trPr/>
        <w:tc>
          <w:tcPr>
            <w:tcW w:w="4674" w:type="dxa"/>
            <w:tcBorders/>
            <w:shd w:fill="auto" w:val="clear"/>
            <w:vAlign w:val="bottom"/>
          </w:tcPr>
          <w:p>
            <w:pPr>
              <w:pStyle w:val="TableHeading"/>
              <w:spacing w:before="0" w:after="283"/>
              <w:jc w:val="left"/>
              <w:rPr/>
            </w:pPr>
            <w:r>
              <w:rPr/>
              <w:t> </w:t>
            </w:r>
          </w:p>
        </w:tc>
        <w:tc>
          <w:tcPr>
            <w:tcW w:w="144" w:type="dxa"/>
            <w:tcBorders/>
            <w:shd w:fill="auto" w:val="clear"/>
            <w:vAlign w:val="bottom"/>
          </w:tcPr>
          <w:p>
            <w:pPr>
              <w:pStyle w:val="TableHeading"/>
              <w:suppressLineNumbers/>
              <w:spacing w:before="0" w:after="283"/>
              <w:jc w:val="center"/>
              <w:rPr/>
            </w:pPr>
            <w:r>
              <w:rPr/>
              <w:t> </w:t>
            </w:r>
          </w:p>
        </w:tc>
        <w:tc>
          <w:tcPr>
            <w:tcW w:w="930" w:type="dxa"/>
            <w:gridSpan w:val="2"/>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2016 </w:t>
            </w:r>
          </w:p>
        </w:tc>
        <w:tc>
          <w:tcPr>
            <w:tcW w:w="146" w:type="dxa"/>
            <w:tcBorders/>
            <w:shd w:fill="auto" w:val="clear"/>
            <w:vAlign w:val="bottom"/>
          </w:tcPr>
          <w:p>
            <w:pPr>
              <w:pStyle w:val="TableHeading"/>
              <w:suppressLineNumbers/>
              <w:spacing w:before="0" w:after="283"/>
              <w:jc w:val="center"/>
              <w:rPr/>
            </w:pPr>
            <w:r>
              <w:rPr/>
              <w:t> </w:t>
            </w:r>
          </w:p>
        </w:tc>
        <w:tc>
          <w:tcPr>
            <w:tcW w:w="930" w:type="dxa"/>
            <w:gridSpan w:val="2"/>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2017 </w:t>
            </w:r>
          </w:p>
        </w:tc>
        <w:tc>
          <w:tcPr>
            <w:tcW w:w="146" w:type="dxa"/>
            <w:tcBorders/>
            <w:shd w:fill="auto" w:val="clear"/>
            <w:vAlign w:val="bottom"/>
          </w:tcPr>
          <w:p>
            <w:pPr>
              <w:pStyle w:val="TableHeading"/>
              <w:suppressLineNumbers/>
              <w:spacing w:before="0" w:after="283"/>
              <w:jc w:val="center"/>
              <w:rPr/>
            </w:pPr>
            <w:r>
              <w:rPr/>
              <w:t> </w:t>
            </w:r>
          </w:p>
        </w:tc>
        <w:tc>
          <w:tcPr>
            <w:tcW w:w="930" w:type="dxa"/>
            <w:gridSpan w:val="2"/>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2018 </w:t>
            </w:r>
          </w:p>
        </w:tc>
        <w:tc>
          <w:tcPr>
            <w:tcW w:w="146" w:type="dxa"/>
            <w:tcBorders/>
            <w:shd w:fill="auto" w:val="clear"/>
            <w:vAlign w:val="bottom"/>
          </w:tcPr>
          <w:p>
            <w:pPr>
              <w:pStyle w:val="TableHeading"/>
              <w:suppressLineNumbers/>
              <w:spacing w:before="0" w:after="283"/>
              <w:jc w:val="center"/>
              <w:rPr/>
            </w:pPr>
            <w:r>
              <w:rPr/>
              <w:t> </w:t>
            </w:r>
          </w:p>
        </w:tc>
        <w:tc>
          <w:tcPr>
            <w:tcW w:w="930" w:type="dxa"/>
            <w:gridSpan w:val="2"/>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2019 </w:t>
            </w:r>
          </w:p>
        </w:tc>
        <w:tc>
          <w:tcPr>
            <w:tcW w:w="146" w:type="dxa"/>
            <w:tcBorders/>
            <w:shd w:fill="auto" w:val="clear"/>
            <w:vAlign w:val="bottom"/>
          </w:tcPr>
          <w:p>
            <w:pPr>
              <w:pStyle w:val="TableHeading"/>
              <w:suppressLineNumbers/>
              <w:spacing w:before="0" w:after="283"/>
              <w:jc w:val="center"/>
              <w:rPr/>
            </w:pPr>
            <w:r>
              <w:rPr/>
              <w:t> </w:t>
            </w:r>
          </w:p>
        </w:tc>
        <w:tc>
          <w:tcPr>
            <w:tcW w:w="930" w:type="dxa"/>
            <w:gridSpan w:val="2"/>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2020 </w:t>
            </w:r>
          </w:p>
        </w:tc>
        <w:tc>
          <w:tcPr>
            <w:tcW w:w="153" w:type="dxa"/>
            <w:tcBorders/>
            <w:shd w:fill="auto" w:val="clear"/>
            <w:vAlign w:val="bottom"/>
          </w:tcPr>
          <w:p>
            <w:pPr>
              <w:pStyle w:val="TableHeading"/>
              <w:suppressLineNumbers/>
              <w:spacing w:before="0" w:after="283"/>
              <w:jc w:val="center"/>
              <w:rPr/>
            </w:pPr>
            <w:r>
              <w:rPr/>
              <w:t> </w:t>
            </w:r>
          </w:p>
        </w:tc>
      </w:tr>
      <w:tr>
        <w:trPr/>
        <w:tc>
          <w:tcPr>
            <w:tcW w:w="4674" w:type="dxa"/>
            <w:tcBorders/>
            <w:shd w:fill="auto" w:val="clear"/>
            <w:vAlign w:val="bottom"/>
          </w:tcPr>
          <w:p>
            <w:pPr>
              <w:pStyle w:val="TableHeading"/>
              <w:spacing w:before="0" w:after="283"/>
              <w:jc w:val="left"/>
              <w:rPr/>
            </w:pPr>
            <w:r>
              <w:rPr/>
              <w:t> </w:t>
            </w:r>
          </w:p>
        </w:tc>
        <w:tc>
          <w:tcPr>
            <w:tcW w:w="144" w:type="dxa"/>
            <w:tcBorders/>
            <w:shd w:fill="auto" w:val="clear"/>
            <w:vAlign w:val="bottom"/>
          </w:tcPr>
          <w:p>
            <w:pPr>
              <w:pStyle w:val="TableHeading"/>
              <w:suppressLineNumbers/>
              <w:spacing w:before="0" w:after="283"/>
              <w:jc w:val="center"/>
              <w:rPr/>
            </w:pPr>
            <w:r>
              <w:rPr/>
              <w:t> </w:t>
            </w:r>
          </w:p>
        </w:tc>
        <w:tc>
          <w:tcPr>
            <w:tcW w:w="5234" w:type="dxa"/>
            <w:gridSpan w:val="14"/>
            <w:tcBorders/>
            <w:shd w:fill="auto" w:val="clear"/>
            <w:vAlign w:val="bottom"/>
          </w:tcPr>
          <w:p>
            <w:pPr>
              <w:pStyle w:val="TableHeading"/>
              <w:spacing w:before="0" w:after="283"/>
              <w:jc w:val="center"/>
              <w:rPr>
                <w:rFonts w:ascii="times" w:hAnsi="times"/>
                <w:b/>
                <w:sz w:val="14"/>
              </w:rPr>
            </w:pPr>
            <w:r>
              <w:rPr>
                <w:rFonts w:ascii="times" w:hAnsi="times"/>
                <w:b/>
                <w:sz w:val="14"/>
              </w:rPr>
              <w:t>(in thousands of U.S. dollars)</w:t>
            </w:r>
          </w:p>
        </w:tc>
        <w:tc>
          <w:tcPr>
            <w:tcW w:w="153" w:type="dxa"/>
            <w:tcBorders/>
            <w:shd w:fill="auto" w:val="clear"/>
            <w:vAlign w:val="bottom"/>
          </w:tcPr>
          <w:p>
            <w:pPr>
              <w:pStyle w:val="TableHeading"/>
              <w:suppressLineNumbers/>
              <w:spacing w:before="0" w:after="283"/>
              <w:jc w:val="center"/>
              <w:rPr/>
            </w:pPr>
            <w:r>
              <w:rPr/>
              <w:t> </w:t>
            </w:r>
          </w:p>
        </w:tc>
      </w:tr>
      <w:tr>
        <w:trPr/>
        <w:tc>
          <w:tcPr>
            <w:tcW w:w="4674" w:type="dxa"/>
            <w:tcBorders/>
            <w:shd w:fill="auto" w:val="clear"/>
            <w:vAlign w:val="bottom"/>
          </w:tcPr>
          <w:p>
            <w:pPr>
              <w:pStyle w:val="TableContents"/>
              <w:spacing w:before="0" w:after="283"/>
              <w:ind w:left="140" w:right="0" w:hanging="140"/>
              <w:rPr>
                <w:rFonts w:ascii="times" w:hAnsi="times"/>
              </w:rPr>
            </w:pPr>
            <w:r>
              <w:rPr>
                <w:rFonts w:ascii="times" w:hAnsi="times"/>
                <w:sz w:val="14"/>
              </w:rPr>
              <w:t>EBITDA (Partnership Performance Results)</w:t>
            </w:r>
            <w:r>
              <w:rPr>
                <w:rFonts w:ascii="times" w:hAnsi="times"/>
                <w:b/>
                <w:sz w:val="14"/>
              </w:rPr>
              <w:t>*</w:t>
            </w:r>
          </w:p>
        </w:tc>
        <w:tc>
          <w:tcPr>
            <w:tcW w:w="144"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rFonts w:ascii="times" w:hAnsi="times"/>
                <w:sz w:val="14"/>
              </w:rPr>
            </w:pPr>
            <w:r>
              <w:rPr>
                <w:rFonts w:ascii="times" w:hAnsi="times"/>
                <w:sz w:val="14"/>
              </w:rPr>
              <w:t>$</w:t>
            </w:r>
          </w:p>
        </w:tc>
        <w:tc>
          <w:tcPr>
            <w:tcW w:w="835" w:type="dxa"/>
            <w:tcBorders/>
            <w:shd w:fill="auto" w:val="clear"/>
            <w:vAlign w:val="bottom"/>
          </w:tcPr>
          <w:p>
            <w:pPr>
              <w:pStyle w:val="TableContents"/>
              <w:spacing w:before="0" w:after="283"/>
              <w:jc w:val="right"/>
              <w:rPr>
                <w:rFonts w:ascii="times" w:hAnsi="times"/>
                <w:sz w:val="14"/>
              </w:rPr>
            </w:pPr>
            <w:r>
              <w:rPr>
                <w:rFonts w:ascii="times" w:hAnsi="times"/>
                <w:sz w:val="14"/>
              </w:rPr>
              <w:t>148,885</w:t>
            </w:r>
          </w:p>
        </w:tc>
        <w:tc>
          <w:tcPr>
            <w:tcW w:w="146"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rFonts w:ascii="times" w:hAnsi="times"/>
                <w:sz w:val="14"/>
              </w:rPr>
            </w:pPr>
            <w:r>
              <w:rPr>
                <w:rFonts w:ascii="times" w:hAnsi="times"/>
                <w:sz w:val="14"/>
              </w:rPr>
              <w:t>$</w:t>
            </w:r>
          </w:p>
        </w:tc>
        <w:tc>
          <w:tcPr>
            <w:tcW w:w="835" w:type="dxa"/>
            <w:tcBorders/>
            <w:shd w:fill="auto" w:val="clear"/>
            <w:vAlign w:val="bottom"/>
          </w:tcPr>
          <w:p>
            <w:pPr>
              <w:pStyle w:val="TableContents"/>
              <w:spacing w:before="0" w:after="283"/>
              <w:jc w:val="right"/>
              <w:rPr>
                <w:rFonts w:ascii="times" w:hAnsi="times"/>
                <w:sz w:val="14"/>
              </w:rPr>
            </w:pPr>
            <w:r>
              <w:rPr>
                <w:rFonts w:ascii="times" w:hAnsi="times"/>
                <w:sz w:val="14"/>
              </w:rPr>
              <w:t>196,133</w:t>
            </w:r>
          </w:p>
        </w:tc>
        <w:tc>
          <w:tcPr>
            <w:tcW w:w="146"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rFonts w:ascii="times" w:hAnsi="times"/>
                <w:sz w:val="14"/>
              </w:rPr>
            </w:pPr>
            <w:r>
              <w:rPr>
                <w:rFonts w:ascii="times" w:hAnsi="times"/>
                <w:sz w:val="14"/>
              </w:rPr>
              <w:t>$</w:t>
            </w:r>
          </w:p>
        </w:tc>
        <w:tc>
          <w:tcPr>
            <w:tcW w:w="835" w:type="dxa"/>
            <w:tcBorders/>
            <w:shd w:fill="auto" w:val="clear"/>
            <w:vAlign w:val="bottom"/>
          </w:tcPr>
          <w:p>
            <w:pPr>
              <w:pStyle w:val="TableContents"/>
              <w:spacing w:before="0" w:after="283"/>
              <w:jc w:val="right"/>
              <w:rPr>
                <w:rFonts w:ascii="times" w:hAnsi="times"/>
                <w:sz w:val="14"/>
              </w:rPr>
            </w:pPr>
            <w:r>
              <w:rPr>
                <w:rFonts w:ascii="times" w:hAnsi="times"/>
                <w:sz w:val="14"/>
              </w:rPr>
              <w:t>233,656</w:t>
            </w:r>
          </w:p>
        </w:tc>
        <w:tc>
          <w:tcPr>
            <w:tcW w:w="146"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rFonts w:ascii="times" w:hAnsi="times"/>
                <w:sz w:val="14"/>
              </w:rPr>
            </w:pPr>
            <w:r>
              <w:rPr>
                <w:rFonts w:ascii="times" w:hAnsi="times"/>
                <w:sz w:val="14"/>
              </w:rPr>
              <w:t>$</w:t>
            </w:r>
          </w:p>
        </w:tc>
        <w:tc>
          <w:tcPr>
            <w:tcW w:w="835" w:type="dxa"/>
            <w:tcBorders/>
            <w:shd w:fill="auto" w:val="clear"/>
            <w:vAlign w:val="bottom"/>
          </w:tcPr>
          <w:p>
            <w:pPr>
              <w:pStyle w:val="TableContents"/>
              <w:spacing w:before="0" w:after="283"/>
              <w:jc w:val="right"/>
              <w:rPr>
                <w:rFonts w:ascii="times" w:hAnsi="times"/>
                <w:sz w:val="14"/>
              </w:rPr>
            </w:pPr>
            <w:r>
              <w:rPr>
                <w:rFonts w:ascii="times" w:hAnsi="times"/>
                <w:sz w:val="14"/>
              </w:rPr>
              <w:t>131,590</w:t>
            </w:r>
          </w:p>
        </w:tc>
        <w:tc>
          <w:tcPr>
            <w:tcW w:w="146"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rFonts w:ascii="times" w:hAnsi="times"/>
                <w:sz w:val="14"/>
              </w:rPr>
            </w:pPr>
            <w:r>
              <w:rPr>
                <w:rFonts w:ascii="times" w:hAnsi="times"/>
                <w:sz w:val="14"/>
              </w:rPr>
              <w:t>$</w:t>
            </w:r>
          </w:p>
        </w:tc>
        <w:tc>
          <w:tcPr>
            <w:tcW w:w="835" w:type="dxa"/>
            <w:tcBorders/>
            <w:shd w:fill="auto" w:val="clear"/>
            <w:vAlign w:val="bottom"/>
          </w:tcPr>
          <w:p>
            <w:pPr>
              <w:pStyle w:val="TableContents"/>
              <w:spacing w:before="0" w:after="283"/>
              <w:jc w:val="right"/>
              <w:rPr>
                <w:rFonts w:ascii="times" w:hAnsi="times"/>
                <w:sz w:val="14"/>
              </w:rPr>
            </w:pPr>
            <w:r>
              <w:rPr>
                <w:rFonts w:ascii="times" w:hAnsi="times"/>
                <w:sz w:val="14"/>
              </w:rPr>
              <w:t>205,538</w:t>
            </w:r>
          </w:p>
        </w:tc>
        <w:tc>
          <w:tcPr>
            <w:tcW w:w="153" w:type="dxa"/>
            <w:tcBorders/>
            <w:shd w:fill="auto" w:val="clear"/>
            <w:vAlign w:val="bottom"/>
          </w:tcPr>
          <w:p>
            <w:pPr>
              <w:pStyle w:val="TableContents"/>
              <w:spacing w:before="0" w:after="283"/>
              <w:rPr/>
            </w:pPr>
            <w:r>
              <w:rPr/>
              <w:t> </w:t>
            </w:r>
          </w:p>
        </w:tc>
      </w:tr>
      <w:tr>
        <w:trPr/>
        <w:tc>
          <w:tcPr>
            <w:tcW w:w="4674" w:type="dxa"/>
            <w:tcBorders/>
            <w:shd w:fill="auto" w:val="clear"/>
            <w:vAlign w:val="bottom"/>
          </w:tcPr>
          <w:p>
            <w:pPr>
              <w:pStyle w:val="TableContents"/>
              <w:spacing w:before="0" w:after="283"/>
              <w:ind w:left="140" w:right="0" w:hanging="140"/>
              <w:rPr>
                <w:rFonts w:ascii="times" w:hAnsi="times"/>
                <w:sz w:val="14"/>
              </w:rPr>
            </w:pPr>
            <w:r>
              <w:rPr>
                <w:rFonts w:ascii="times" w:hAnsi="times"/>
                <w:sz w:val="14"/>
              </w:rPr>
              <w:t>Impairment loss on vessels</w:t>
            </w:r>
          </w:p>
        </w:tc>
        <w:tc>
          <w:tcPr>
            <w:tcW w:w="144"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835" w:type="dxa"/>
            <w:tcBorders/>
            <w:shd w:fill="auto" w:val="clear"/>
            <w:vAlign w:val="bottom"/>
          </w:tcPr>
          <w:p>
            <w:pPr>
              <w:pStyle w:val="TableContents"/>
              <w:spacing w:before="0" w:after="283"/>
              <w:jc w:val="right"/>
              <w:rPr>
                <w:rFonts w:ascii="times" w:hAnsi="times"/>
                <w:sz w:val="14"/>
              </w:rPr>
            </w:pPr>
            <w:r>
              <w:rPr>
                <w:rFonts w:ascii="times" w:hAnsi="times"/>
                <w:sz w:val="14"/>
              </w:rPr>
              <w:t></w:t>
            </w:r>
          </w:p>
        </w:tc>
        <w:tc>
          <w:tcPr>
            <w:tcW w:w="146"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835" w:type="dxa"/>
            <w:tcBorders/>
            <w:shd w:fill="auto" w:val="clear"/>
            <w:vAlign w:val="bottom"/>
          </w:tcPr>
          <w:p>
            <w:pPr>
              <w:pStyle w:val="TableContents"/>
              <w:spacing w:before="0" w:after="283"/>
              <w:jc w:val="right"/>
              <w:rPr>
                <w:rFonts w:ascii="times" w:hAnsi="times"/>
                <w:sz w:val="14"/>
              </w:rPr>
            </w:pPr>
            <w:r>
              <w:rPr>
                <w:rFonts w:ascii="times" w:hAnsi="times"/>
                <w:sz w:val="14"/>
              </w:rPr>
              <w:t></w:t>
            </w:r>
          </w:p>
        </w:tc>
        <w:tc>
          <w:tcPr>
            <w:tcW w:w="146"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835" w:type="dxa"/>
            <w:tcBorders/>
            <w:shd w:fill="auto" w:val="clear"/>
            <w:vAlign w:val="bottom"/>
          </w:tcPr>
          <w:p>
            <w:pPr>
              <w:pStyle w:val="TableContents"/>
              <w:spacing w:before="0" w:after="283"/>
              <w:jc w:val="right"/>
              <w:rPr>
                <w:rFonts w:ascii="times" w:hAnsi="times"/>
                <w:sz w:val="14"/>
              </w:rPr>
            </w:pPr>
            <w:r>
              <w:rPr>
                <w:rFonts w:ascii="times" w:hAnsi="times"/>
                <w:sz w:val="14"/>
              </w:rPr>
              <w:t></w:t>
            </w:r>
          </w:p>
        </w:tc>
        <w:tc>
          <w:tcPr>
            <w:tcW w:w="146"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835" w:type="dxa"/>
            <w:tcBorders/>
            <w:shd w:fill="auto" w:val="clear"/>
            <w:vAlign w:val="bottom"/>
          </w:tcPr>
          <w:p>
            <w:pPr>
              <w:pStyle w:val="TableContents"/>
              <w:spacing w:before="0" w:after="283"/>
              <w:jc w:val="right"/>
              <w:rPr>
                <w:rFonts w:ascii="times" w:hAnsi="times"/>
                <w:sz w:val="14"/>
              </w:rPr>
            </w:pPr>
            <w:r>
              <w:rPr>
                <w:rFonts w:ascii="times" w:hAnsi="times"/>
                <w:sz w:val="14"/>
              </w:rPr>
              <w:t>138,848</w:t>
            </w:r>
          </w:p>
        </w:tc>
        <w:tc>
          <w:tcPr>
            <w:tcW w:w="146"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835" w:type="dxa"/>
            <w:tcBorders/>
            <w:shd w:fill="auto" w:val="clear"/>
            <w:vAlign w:val="bottom"/>
          </w:tcPr>
          <w:p>
            <w:pPr>
              <w:pStyle w:val="TableContents"/>
              <w:spacing w:before="0" w:after="283"/>
              <w:jc w:val="right"/>
              <w:rPr>
                <w:rFonts w:ascii="times" w:hAnsi="times"/>
                <w:sz w:val="14"/>
              </w:rPr>
            </w:pPr>
            <w:r>
              <w:rPr>
                <w:rFonts w:ascii="times" w:hAnsi="times"/>
                <w:sz w:val="14"/>
              </w:rPr>
              <w:t>23,923</w:t>
            </w:r>
          </w:p>
        </w:tc>
        <w:tc>
          <w:tcPr>
            <w:tcW w:w="153" w:type="dxa"/>
            <w:tcBorders/>
            <w:shd w:fill="auto" w:val="clear"/>
            <w:vAlign w:val="bottom"/>
          </w:tcPr>
          <w:p>
            <w:pPr>
              <w:pStyle w:val="TableContents"/>
              <w:spacing w:before="0" w:after="283"/>
              <w:rPr/>
            </w:pPr>
            <w:r>
              <w:rPr/>
              <w:t> </w:t>
            </w:r>
          </w:p>
        </w:tc>
      </w:tr>
      <w:tr>
        <w:trPr/>
        <w:tc>
          <w:tcPr>
            <w:tcW w:w="4674" w:type="dxa"/>
            <w:tcBorders/>
            <w:shd w:fill="auto" w:val="clear"/>
            <w:vAlign w:val="bottom"/>
          </w:tcPr>
          <w:p>
            <w:pPr>
              <w:pStyle w:val="TableContents"/>
              <w:spacing w:before="0" w:after="283"/>
              <w:ind w:left="140" w:right="0" w:hanging="140"/>
              <w:rPr>
                <w:rFonts w:ascii="times" w:hAnsi="times"/>
                <w:sz w:val="14"/>
              </w:rPr>
            </w:pPr>
            <w:r>
              <w:rPr>
                <w:rFonts w:ascii="times" w:hAnsi="times"/>
                <w:sz w:val="14"/>
              </w:rPr>
              <w:t>Restructuring costs</w:t>
            </w:r>
          </w:p>
        </w:tc>
        <w:tc>
          <w:tcPr>
            <w:tcW w:w="144"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835" w:type="dxa"/>
            <w:tcBorders/>
            <w:shd w:fill="auto" w:val="clear"/>
            <w:vAlign w:val="bottom"/>
          </w:tcPr>
          <w:p>
            <w:pPr>
              <w:pStyle w:val="TableContents"/>
              <w:spacing w:before="0" w:after="283"/>
              <w:jc w:val="right"/>
              <w:rPr>
                <w:rFonts w:ascii="times" w:hAnsi="times"/>
                <w:sz w:val="14"/>
              </w:rPr>
            </w:pPr>
            <w:r>
              <w:rPr>
                <w:rFonts w:ascii="times" w:hAnsi="times"/>
                <w:sz w:val="14"/>
              </w:rPr>
              <w:t></w:t>
            </w:r>
          </w:p>
        </w:tc>
        <w:tc>
          <w:tcPr>
            <w:tcW w:w="146"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835" w:type="dxa"/>
            <w:tcBorders/>
            <w:shd w:fill="auto" w:val="clear"/>
            <w:vAlign w:val="bottom"/>
          </w:tcPr>
          <w:p>
            <w:pPr>
              <w:pStyle w:val="TableContents"/>
              <w:spacing w:before="0" w:after="283"/>
              <w:jc w:val="right"/>
              <w:rPr>
                <w:rFonts w:ascii="times" w:hAnsi="times"/>
                <w:sz w:val="14"/>
              </w:rPr>
            </w:pPr>
            <w:r>
              <w:rPr>
                <w:rFonts w:ascii="times" w:hAnsi="times"/>
                <w:sz w:val="14"/>
              </w:rPr>
              <w:t></w:t>
            </w:r>
          </w:p>
        </w:tc>
        <w:tc>
          <w:tcPr>
            <w:tcW w:w="146"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835" w:type="dxa"/>
            <w:tcBorders/>
            <w:shd w:fill="auto" w:val="clear"/>
            <w:vAlign w:val="bottom"/>
          </w:tcPr>
          <w:p>
            <w:pPr>
              <w:pStyle w:val="TableContents"/>
              <w:spacing w:before="0" w:after="283"/>
              <w:jc w:val="right"/>
              <w:rPr>
                <w:rFonts w:ascii="times" w:hAnsi="times"/>
                <w:sz w:val="14"/>
              </w:rPr>
            </w:pPr>
            <w:r>
              <w:rPr>
                <w:rFonts w:ascii="times" w:hAnsi="times"/>
                <w:sz w:val="14"/>
              </w:rPr>
              <w:t></w:t>
            </w:r>
          </w:p>
        </w:tc>
        <w:tc>
          <w:tcPr>
            <w:tcW w:w="146"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835" w:type="dxa"/>
            <w:tcBorders/>
            <w:shd w:fill="auto" w:val="clear"/>
            <w:vAlign w:val="bottom"/>
          </w:tcPr>
          <w:p>
            <w:pPr>
              <w:pStyle w:val="TableContents"/>
              <w:spacing w:before="0" w:after="283"/>
              <w:jc w:val="right"/>
              <w:rPr>
                <w:rFonts w:ascii="times" w:hAnsi="times"/>
                <w:sz w:val="14"/>
              </w:rPr>
            </w:pPr>
            <w:r>
              <w:rPr>
                <w:rFonts w:ascii="times" w:hAnsi="times"/>
                <w:sz w:val="14"/>
              </w:rPr>
              <w:t></w:t>
            </w:r>
          </w:p>
        </w:tc>
        <w:tc>
          <w:tcPr>
            <w:tcW w:w="146"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835" w:type="dxa"/>
            <w:tcBorders/>
            <w:shd w:fill="auto" w:val="clear"/>
            <w:vAlign w:val="bottom"/>
          </w:tcPr>
          <w:p>
            <w:pPr>
              <w:pStyle w:val="TableContents"/>
              <w:spacing w:before="0" w:after="283"/>
              <w:jc w:val="right"/>
              <w:rPr>
                <w:rFonts w:ascii="times" w:hAnsi="times"/>
                <w:sz w:val="14"/>
              </w:rPr>
            </w:pPr>
            <w:r>
              <w:rPr>
                <w:rFonts w:ascii="times" w:hAnsi="times"/>
                <w:sz w:val="14"/>
              </w:rPr>
              <w:t xml:space="preserve">1,174 </w:t>
            </w:r>
          </w:p>
        </w:tc>
        <w:tc>
          <w:tcPr>
            <w:tcW w:w="153" w:type="dxa"/>
            <w:tcBorders/>
            <w:shd w:fill="auto" w:val="clear"/>
            <w:vAlign w:val="bottom"/>
          </w:tcPr>
          <w:p>
            <w:pPr>
              <w:pStyle w:val="TableContents"/>
              <w:spacing w:before="0" w:after="283"/>
              <w:rPr/>
            </w:pPr>
            <w:r>
              <w:rPr/>
              <w:t> </w:t>
            </w:r>
          </w:p>
        </w:tc>
      </w:tr>
      <w:tr>
        <w:trPr/>
        <w:tc>
          <w:tcPr>
            <w:tcW w:w="4674" w:type="dxa"/>
            <w:tcBorders/>
            <w:shd w:fill="FFFFFF" w:val="clear"/>
            <w:vAlign w:val="bottom"/>
          </w:tcPr>
          <w:p>
            <w:pPr>
              <w:pStyle w:val="TableContents"/>
              <w:spacing w:before="0" w:after="283"/>
              <w:rPr/>
            </w:pPr>
            <w:r>
              <w:rPr/>
              <w:t>​</w:t>
            </w:r>
          </w:p>
        </w:tc>
        <w:tc>
          <w:tcPr>
            <w:tcW w:w="144" w:type="dxa"/>
            <w:tcBorders/>
            <w:shd w:fill="FFFFFF" w:val="clear"/>
            <w:vAlign w:val="bottom"/>
          </w:tcPr>
          <w:p>
            <w:pPr>
              <w:pStyle w:val="TableContents"/>
              <w:spacing w:before="0" w:after="283"/>
              <w:rPr/>
            </w:pPr>
            <w:r>
              <w:rPr/>
              <w:t>​</w:t>
            </w:r>
          </w:p>
        </w:tc>
        <w:tc>
          <w:tcPr>
            <w:tcW w:w="95" w:type="dxa"/>
            <w:tcBorders>
              <w:bottom w:val="single" w:sz="8" w:space="0" w:color="000000"/>
            </w:tcBorders>
            <w:shd w:fill="FFFFFF" w:val="clear"/>
            <w:tcMar>
              <w:bottom w:w="28" w:type="dxa"/>
            </w:tcMar>
            <w:vAlign w:val="bottom"/>
          </w:tcPr>
          <w:p>
            <w:pPr>
              <w:pStyle w:val="TableContents"/>
              <w:spacing w:before="0" w:after="283"/>
              <w:rPr/>
            </w:pPr>
            <w:r>
              <w:rPr/>
              <w:t xml:space="preserve">​ </w:t>
            </w:r>
          </w:p>
        </w:tc>
        <w:tc>
          <w:tcPr>
            <w:tcW w:w="835" w:type="dxa"/>
            <w:tcBorders>
              <w:bottom w:val="single" w:sz="8" w:space="0" w:color="000000"/>
            </w:tcBorders>
            <w:shd w:fill="FFFFFF" w:val="clear"/>
            <w:tcMar>
              <w:bottom w:w="28" w:type="dxa"/>
            </w:tcMar>
            <w:vAlign w:val="bottom"/>
          </w:tcPr>
          <w:p>
            <w:pPr>
              <w:pStyle w:val="TableContents"/>
              <w:spacing w:before="0" w:after="283"/>
              <w:jc w:val="right"/>
              <w:rPr/>
            </w:pPr>
            <w:r>
              <w:rPr/>
              <w:t xml:space="preserve">​ </w:t>
            </w:r>
          </w:p>
        </w:tc>
        <w:tc>
          <w:tcPr>
            <w:tcW w:w="146" w:type="dxa"/>
            <w:tcBorders/>
            <w:shd w:fill="FFFFFF" w:val="clear"/>
            <w:vAlign w:val="bottom"/>
          </w:tcPr>
          <w:p>
            <w:pPr>
              <w:pStyle w:val="TableContents"/>
              <w:spacing w:before="0" w:after="283"/>
              <w:rPr/>
            </w:pPr>
            <w:r>
              <w:rPr/>
              <w:t>​</w:t>
            </w:r>
          </w:p>
        </w:tc>
        <w:tc>
          <w:tcPr>
            <w:tcW w:w="95" w:type="dxa"/>
            <w:tcBorders>
              <w:bottom w:val="single" w:sz="8" w:space="0" w:color="000000"/>
            </w:tcBorders>
            <w:shd w:fill="FFFFFF" w:val="clear"/>
            <w:tcMar>
              <w:bottom w:w="28" w:type="dxa"/>
            </w:tcMar>
            <w:vAlign w:val="bottom"/>
          </w:tcPr>
          <w:p>
            <w:pPr>
              <w:pStyle w:val="TableContents"/>
              <w:spacing w:before="0" w:after="283"/>
              <w:rPr/>
            </w:pPr>
            <w:r>
              <w:rPr/>
              <w:t xml:space="preserve">​ </w:t>
            </w:r>
          </w:p>
        </w:tc>
        <w:tc>
          <w:tcPr>
            <w:tcW w:w="835" w:type="dxa"/>
            <w:tcBorders>
              <w:bottom w:val="single" w:sz="8" w:space="0" w:color="000000"/>
            </w:tcBorders>
            <w:shd w:fill="FFFFFF" w:val="clear"/>
            <w:tcMar>
              <w:bottom w:w="28" w:type="dxa"/>
            </w:tcMar>
            <w:vAlign w:val="bottom"/>
          </w:tcPr>
          <w:p>
            <w:pPr>
              <w:pStyle w:val="TableContents"/>
              <w:spacing w:before="0" w:after="283"/>
              <w:jc w:val="right"/>
              <w:rPr/>
            </w:pPr>
            <w:r>
              <w:rPr/>
              <w:t xml:space="preserve">​ </w:t>
            </w:r>
          </w:p>
        </w:tc>
        <w:tc>
          <w:tcPr>
            <w:tcW w:w="146" w:type="dxa"/>
            <w:tcBorders/>
            <w:shd w:fill="FFFFFF" w:val="clear"/>
            <w:vAlign w:val="bottom"/>
          </w:tcPr>
          <w:p>
            <w:pPr>
              <w:pStyle w:val="TableContents"/>
              <w:spacing w:before="0" w:after="283"/>
              <w:rPr/>
            </w:pPr>
            <w:r>
              <w:rPr/>
              <w:t>​</w:t>
            </w:r>
          </w:p>
        </w:tc>
        <w:tc>
          <w:tcPr>
            <w:tcW w:w="95" w:type="dxa"/>
            <w:tcBorders>
              <w:bottom w:val="single" w:sz="8" w:space="0" w:color="000000"/>
            </w:tcBorders>
            <w:shd w:fill="FFFFFF" w:val="clear"/>
            <w:tcMar>
              <w:bottom w:w="28" w:type="dxa"/>
            </w:tcMar>
            <w:vAlign w:val="bottom"/>
          </w:tcPr>
          <w:p>
            <w:pPr>
              <w:pStyle w:val="TableContents"/>
              <w:spacing w:before="0" w:after="283"/>
              <w:rPr/>
            </w:pPr>
            <w:r>
              <w:rPr/>
              <w:t xml:space="preserve">​ </w:t>
            </w:r>
          </w:p>
        </w:tc>
        <w:tc>
          <w:tcPr>
            <w:tcW w:w="835" w:type="dxa"/>
            <w:tcBorders>
              <w:bottom w:val="single" w:sz="8" w:space="0" w:color="000000"/>
            </w:tcBorders>
            <w:shd w:fill="FFFFFF" w:val="clear"/>
            <w:tcMar>
              <w:bottom w:w="28" w:type="dxa"/>
            </w:tcMar>
            <w:vAlign w:val="bottom"/>
          </w:tcPr>
          <w:p>
            <w:pPr>
              <w:pStyle w:val="TableContents"/>
              <w:spacing w:before="0" w:after="283"/>
              <w:jc w:val="right"/>
              <w:rPr/>
            </w:pPr>
            <w:r>
              <w:rPr/>
              <w:t xml:space="preserve">​ </w:t>
            </w:r>
          </w:p>
        </w:tc>
        <w:tc>
          <w:tcPr>
            <w:tcW w:w="146" w:type="dxa"/>
            <w:tcBorders/>
            <w:shd w:fill="FFFFFF" w:val="clear"/>
            <w:vAlign w:val="bottom"/>
          </w:tcPr>
          <w:p>
            <w:pPr>
              <w:pStyle w:val="TableContents"/>
              <w:spacing w:before="0" w:after="283"/>
              <w:rPr/>
            </w:pPr>
            <w:r>
              <w:rPr/>
              <w:t>​</w:t>
            </w:r>
          </w:p>
        </w:tc>
        <w:tc>
          <w:tcPr>
            <w:tcW w:w="95" w:type="dxa"/>
            <w:tcBorders>
              <w:bottom w:val="single" w:sz="8" w:space="0" w:color="000000"/>
            </w:tcBorders>
            <w:shd w:fill="FFFFFF" w:val="clear"/>
            <w:tcMar>
              <w:bottom w:w="28" w:type="dxa"/>
            </w:tcMar>
            <w:vAlign w:val="bottom"/>
          </w:tcPr>
          <w:p>
            <w:pPr>
              <w:pStyle w:val="TableContents"/>
              <w:spacing w:before="0" w:after="283"/>
              <w:rPr/>
            </w:pPr>
            <w:r>
              <w:rPr/>
              <w:t xml:space="preserve">​ </w:t>
            </w:r>
          </w:p>
        </w:tc>
        <w:tc>
          <w:tcPr>
            <w:tcW w:w="835" w:type="dxa"/>
            <w:tcBorders>
              <w:bottom w:val="single" w:sz="8" w:space="0" w:color="000000"/>
            </w:tcBorders>
            <w:shd w:fill="FFFFFF" w:val="clear"/>
            <w:tcMar>
              <w:bottom w:w="28" w:type="dxa"/>
            </w:tcMar>
            <w:vAlign w:val="bottom"/>
          </w:tcPr>
          <w:p>
            <w:pPr>
              <w:pStyle w:val="TableContents"/>
              <w:spacing w:before="0" w:after="283"/>
              <w:jc w:val="right"/>
              <w:rPr/>
            </w:pPr>
            <w:r>
              <w:rPr/>
              <w:t xml:space="preserve">​ </w:t>
            </w:r>
          </w:p>
        </w:tc>
        <w:tc>
          <w:tcPr>
            <w:tcW w:w="146" w:type="dxa"/>
            <w:tcBorders/>
            <w:shd w:fill="FFFFFF" w:val="clear"/>
            <w:vAlign w:val="bottom"/>
          </w:tcPr>
          <w:p>
            <w:pPr>
              <w:pStyle w:val="TableContents"/>
              <w:spacing w:before="0" w:after="283"/>
              <w:rPr/>
            </w:pPr>
            <w:r>
              <w:rPr/>
              <w:t>​</w:t>
            </w:r>
          </w:p>
        </w:tc>
        <w:tc>
          <w:tcPr>
            <w:tcW w:w="95" w:type="dxa"/>
            <w:tcBorders>
              <w:bottom w:val="single" w:sz="8" w:space="0" w:color="000000"/>
            </w:tcBorders>
            <w:shd w:fill="FFFFFF" w:val="clear"/>
            <w:tcMar>
              <w:bottom w:w="28" w:type="dxa"/>
            </w:tcMar>
            <w:vAlign w:val="bottom"/>
          </w:tcPr>
          <w:p>
            <w:pPr>
              <w:pStyle w:val="TableContents"/>
              <w:spacing w:before="0" w:after="283"/>
              <w:rPr/>
            </w:pPr>
            <w:r>
              <w:rPr/>
              <w:t xml:space="preserve">​ </w:t>
            </w:r>
          </w:p>
        </w:tc>
        <w:tc>
          <w:tcPr>
            <w:tcW w:w="835" w:type="dxa"/>
            <w:tcBorders>
              <w:bottom w:val="single" w:sz="8" w:space="0" w:color="000000"/>
            </w:tcBorders>
            <w:shd w:fill="FFFFFF" w:val="clear"/>
            <w:tcMar>
              <w:bottom w:w="28" w:type="dxa"/>
            </w:tcMar>
            <w:vAlign w:val="bottom"/>
          </w:tcPr>
          <w:p>
            <w:pPr>
              <w:pStyle w:val="TableContents"/>
              <w:spacing w:before="0" w:after="283"/>
              <w:jc w:val="right"/>
              <w:rPr/>
            </w:pPr>
            <w:r>
              <w:rPr/>
              <w:t xml:space="preserve">​ </w:t>
            </w:r>
          </w:p>
        </w:tc>
        <w:tc>
          <w:tcPr>
            <w:tcW w:w="153" w:type="dxa"/>
            <w:tcBorders/>
            <w:shd w:fill="FFFFFF" w:val="clear"/>
            <w:vAlign w:val="bottom"/>
          </w:tcPr>
          <w:p>
            <w:pPr>
              <w:pStyle w:val="TableContents"/>
              <w:spacing w:before="0" w:after="283"/>
              <w:rPr/>
            </w:pPr>
            <w:r>
              <w:rPr/>
              <w:t>​</w:t>
            </w:r>
          </w:p>
        </w:tc>
      </w:tr>
      <w:tr>
        <w:trPr/>
        <w:tc>
          <w:tcPr>
            <w:tcW w:w="4674" w:type="dxa"/>
            <w:tcBorders/>
            <w:shd w:fill="auto" w:val="clear"/>
            <w:vAlign w:val="bottom"/>
          </w:tcPr>
          <w:p>
            <w:pPr>
              <w:pStyle w:val="TableContents"/>
              <w:spacing w:before="0" w:after="283"/>
              <w:ind w:left="140" w:right="0" w:hanging="140"/>
              <w:rPr>
                <w:rFonts w:ascii="times" w:hAnsi="times"/>
                <w:b/>
                <w:sz w:val="14"/>
              </w:rPr>
            </w:pPr>
            <w:r>
              <w:rPr>
                <w:rFonts w:ascii="times" w:hAnsi="times"/>
                <w:b/>
                <w:sz w:val="14"/>
              </w:rPr>
              <w:t>Adjusted EBITDA</w:t>
            </w:r>
          </w:p>
        </w:tc>
        <w:tc>
          <w:tcPr>
            <w:tcW w:w="144"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rFonts w:ascii="times" w:hAnsi="times"/>
                <w:b/>
                <w:sz w:val="14"/>
              </w:rPr>
            </w:pPr>
            <w:r>
              <w:rPr>
                <w:rFonts w:ascii="times" w:hAnsi="times"/>
                <w:b/>
                <w:sz w:val="14"/>
              </w:rPr>
              <w:t>$</w:t>
            </w:r>
          </w:p>
        </w:tc>
        <w:tc>
          <w:tcPr>
            <w:tcW w:w="835" w:type="dxa"/>
            <w:tcBorders/>
            <w:shd w:fill="auto" w:val="clear"/>
            <w:vAlign w:val="bottom"/>
          </w:tcPr>
          <w:p>
            <w:pPr>
              <w:pStyle w:val="TableContents"/>
              <w:spacing w:before="0" w:after="283"/>
              <w:jc w:val="right"/>
              <w:rPr>
                <w:rFonts w:ascii="times" w:hAnsi="times"/>
                <w:b/>
                <w:sz w:val="14"/>
              </w:rPr>
            </w:pPr>
            <w:r>
              <w:rPr>
                <w:rFonts w:ascii="times" w:hAnsi="times"/>
                <w:b/>
                <w:sz w:val="14"/>
              </w:rPr>
              <w:t>148,885</w:t>
            </w:r>
          </w:p>
        </w:tc>
        <w:tc>
          <w:tcPr>
            <w:tcW w:w="146"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rFonts w:ascii="times" w:hAnsi="times"/>
                <w:b/>
                <w:sz w:val="14"/>
              </w:rPr>
            </w:pPr>
            <w:r>
              <w:rPr>
                <w:rFonts w:ascii="times" w:hAnsi="times"/>
                <w:b/>
                <w:sz w:val="14"/>
              </w:rPr>
              <w:t>$</w:t>
            </w:r>
          </w:p>
        </w:tc>
        <w:tc>
          <w:tcPr>
            <w:tcW w:w="835" w:type="dxa"/>
            <w:tcBorders/>
            <w:shd w:fill="auto" w:val="clear"/>
            <w:vAlign w:val="bottom"/>
          </w:tcPr>
          <w:p>
            <w:pPr>
              <w:pStyle w:val="TableContents"/>
              <w:spacing w:before="0" w:after="283"/>
              <w:jc w:val="right"/>
              <w:rPr>
                <w:rFonts w:ascii="times" w:hAnsi="times"/>
                <w:b/>
                <w:sz w:val="14"/>
              </w:rPr>
            </w:pPr>
            <w:r>
              <w:rPr>
                <w:rFonts w:ascii="times" w:hAnsi="times"/>
                <w:b/>
                <w:sz w:val="14"/>
              </w:rPr>
              <w:t>196,133</w:t>
            </w:r>
          </w:p>
        </w:tc>
        <w:tc>
          <w:tcPr>
            <w:tcW w:w="146"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rFonts w:ascii="times" w:hAnsi="times"/>
                <w:b/>
                <w:sz w:val="14"/>
              </w:rPr>
            </w:pPr>
            <w:r>
              <w:rPr>
                <w:rFonts w:ascii="times" w:hAnsi="times"/>
                <w:b/>
                <w:sz w:val="14"/>
              </w:rPr>
              <w:t>$</w:t>
            </w:r>
          </w:p>
        </w:tc>
        <w:tc>
          <w:tcPr>
            <w:tcW w:w="835" w:type="dxa"/>
            <w:tcBorders/>
            <w:shd w:fill="auto" w:val="clear"/>
            <w:vAlign w:val="bottom"/>
          </w:tcPr>
          <w:p>
            <w:pPr>
              <w:pStyle w:val="TableContents"/>
              <w:spacing w:before="0" w:after="283"/>
              <w:jc w:val="right"/>
              <w:rPr>
                <w:rFonts w:ascii="times" w:hAnsi="times"/>
                <w:b/>
                <w:sz w:val="14"/>
              </w:rPr>
            </w:pPr>
            <w:r>
              <w:rPr>
                <w:rFonts w:ascii="times" w:hAnsi="times"/>
                <w:b/>
                <w:sz w:val="14"/>
              </w:rPr>
              <w:t>233,656</w:t>
            </w:r>
          </w:p>
        </w:tc>
        <w:tc>
          <w:tcPr>
            <w:tcW w:w="146"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rFonts w:ascii="times" w:hAnsi="times"/>
                <w:b/>
                <w:sz w:val="14"/>
              </w:rPr>
            </w:pPr>
            <w:r>
              <w:rPr>
                <w:rFonts w:ascii="times" w:hAnsi="times"/>
                <w:b/>
                <w:sz w:val="14"/>
              </w:rPr>
              <w:t>$</w:t>
            </w:r>
          </w:p>
        </w:tc>
        <w:tc>
          <w:tcPr>
            <w:tcW w:w="835" w:type="dxa"/>
            <w:tcBorders/>
            <w:shd w:fill="auto" w:val="clear"/>
            <w:vAlign w:val="bottom"/>
          </w:tcPr>
          <w:p>
            <w:pPr>
              <w:pStyle w:val="TableContents"/>
              <w:spacing w:before="0" w:after="283"/>
              <w:jc w:val="right"/>
              <w:rPr>
                <w:rFonts w:ascii="times" w:hAnsi="times"/>
                <w:b/>
                <w:sz w:val="14"/>
              </w:rPr>
            </w:pPr>
            <w:r>
              <w:rPr>
                <w:rFonts w:ascii="times" w:hAnsi="times"/>
                <w:b/>
                <w:sz w:val="14"/>
              </w:rPr>
              <w:t>270,438</w:t>
            </w:r>
          </w:p>
        </w:tc>
        <w:tc>
          <w:tcPr>
            <w:tcW w:w="146"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rFonts w:ascii="times" w:hAnsi="times"/>
                <w:b/>
                <w:sz w:val="14"/>
              </w:rPr>
            </w:pPr>
            <w:r>
              <w:rPr>
                <w:rFonts w:ascii="times" w:hAnsi="times"/>
                <w:b/>
                <w:sz w:val="14"/>
              </w:rPr>
              <w:t>$</w:t>
            </w:r>
          </w:p>
        </w:tc>
        <w:tc>
          <w:tcPr>
            <w:tcW w:w="835" w:type="dxa"/>
            <w:tcBorders/>
            <w:shd w:fill="auto" w:val="clear"/>
            <w:vAlign w:val="bottom"/>
          </w:tcPr>
          <w:p>
            <w:pPr>
              <w:pStyle w:val="TableContents"/>
              <w:spacing w:before="0" w:after="283"/>
              <w:jc w:val="right"/>
              <w:rPr>
                <w:rFonts w:ascii="times" w:hAnsi="times"/>
                <w:b/>
                <w:sz w:val="14"/>
              </w:rPr>
            </w:pPr>
            <w:r>
              <w:rPr>
                <w:rFonts w:ascii="times" w:hAnsi="times"/>
                <w:b/>
                <w:sz w:val="14"/>
              </w:rPr>
              <w:t>230,635</w:t>
            </w:r>
          </w:p>
        </w:tc>
        <w:tc>
          <w:tcPr>
            <w:tcW w:w="153" w:type="dxa"/>
            <w:tcBorders/>
            <w:shd w:fill="auto" w:val="clear"/>
            <w:vAlign w:val="bottom"/>
          </w:tcPr>
          <w:p>
            <w:pPr>
              <w:pStyle w:val="TableContents"/>
              <w:spacing w:before="0" w:after="283"/>
              <w:rPr/>
            </w:pPr>
            <w:r>
              <w:rPr/>
              <w:t> </w:t>
            </w:r>
          </w:p>
        </w:tc>
      </w:tr>
      <w:tr>
        <w:trPr/>
        <w:tc>
          <w:tcPr>
            <w:tcW w:w="4674" w:type="dxa"/>
            <w:tcBorders/>
            <w:shd w:fill="FFFFFF" w:val="clear"/>
            <w:vAlign w:val="bottom"/>
          </w:tcPr>
          <w:p>
            <w:pPr>
              <w:pStyle w:val="TableContents"/>
              <w:spacing w:before="0" w:after="283"/>
              <w:rPr/>
            </w:pPr>
            <w:r>
              <w:rPr/>
              <w:t>​</w:t>
            </w:r>
          </w:p>
        </w:tc>
        <w:tc>
          <w:tcPr>
            <w:tcW w:w="144" w:type="dxa"/>
            <w:tcBorders/>
            <w:shd w:fill="FFFFFF" w:val="clear"/>
            <w:vAlign w:val="bottom"/>
          </w:tcPr>
          <w:p>
            <w:pPr>
              <w:pStyle w:val="TableContents"/>
              <w:spacing w:before="0" w:after="283"/>
              <w:rPr/>
            </w:pPr>
            <w:r>
              <w:rPr/>
              <w:t>​</w:t>
            </w:r>
          </w:p>
        </w:tc>
        <w:tc>
          <w:tcPr>
            <w:tcW w:w="95" w:type="dxa"/>
            <w:tcBorders>
              <w:bottom w:val="single" w:sz="8" w:space="0" w:color="000000"/>
            </w:tcBorders>
            <w:shd w:fill="FFFFFF" w:val="clear"/>
            <w:tcMar>
              <w:bottom w:w="28" w:type="dxa"/>
            </w:tcMar>
            <w:vAlign w:val="bottom"/>
          </w:tcPr>
          <w:p>
            <w:pPr>
              <w:pStyle w:val="TableContents"/>
              <w:spacing w:before="0" w:after="283"/>
              <w:rPr/>
            </w:pPr>
            <w:r>
              <w:rPr/>
              <w:t xml:space="preserve">​ </w:t>
            </w:r>
          </w:p>
        </w:tc>
        <w:tc>
          <w:tcPr>
            <w:tcW w:w="835" w:type="dxa"/>
            <w:tcBorders>
              <w:bottom w:val="single" w:sz="8" w:space="0" w:color="000000"/>
            </w:tcBorders>
            <w:shd w:fill="FFFFFF" w:val="clear"/>
            <w:tcMar>
              <w:bottom w:w="28" w:type="dxa"/>
            </w:tcMar>
            <w:vAlign w:val="bottom"/>
          </w:tcPr>
          <w:p>
            <w:pPr>
              <w:pStyle w:val="TableContents"/>
              <w:spacing w:before="0" w:after="283"/>
              <w:jc w:val="right"/>
              <w:rPr/>
            </w:pPr>
            <w:r>
              <w:rPr/>
              <w:t xml:space="preserve">​ </w:t>
            </w:r>
          </w:p>
        </w:tc>
        <w:tc>
          <w:tcPr>
            <w:tcW w:w="146" w:type="dxa"/>
            <w:tcBorders/>
            <w:shd w:fill="FFFFFF" w:val="clear"/>
            <w:vAlign w:val="bottom"/>
          </w:tcPr>
          <w:p>
            <w:pPr>
              <w:pStyle w:val="TableContents"/>
              <w:spacing w:before="0" w:after="283"/>
              <w:rPr/>
            </w:pPr>
            <w:r>
              <w:rPr/>
              <w:t>​</w:t>
            </w:r>
          </w:p>
        </w:tc>
        <w:tc>
          <w:tcPr>
            <w:tcW w:w="95" w:type="dxa"/>
            <w:tcBorders>
              <w:bottom w:val="single" w:sz="8" w:space="0" w:color="000000"/>
            </w:tcBorders>
            <w:shd w:fill="FFFFFF" w:val="clear"/>
            <w:tcMar>
              <w:bottom w:w="28" w:type="dxa"/>
            </w:tcMar>
            <w:vAlign w:val="bottom"/>
          </w:tcPr>
          <w:p>
            <w:pPr>
              <w:pStyle w:val="TableContents"/>
              <w:spacing w:before="0" w:after="283"/>
              <w:rPr/>
            </w:pPr>
            <w:r>
              <w:rPr/>
              <w:t xml:space="preserve">​ </w:t>
            </w:r>
          </w:p>
        </w:tc>
        <w:tc>
          <w:tcPr>
            <w:tcW w:w="835" w:type="dxa"/>
            <w:tcBorders>
              <w:bottom w:val="single" w:sz="8" w:space="0" w:color="000000"/>
            </w:tcBorders>
            <w:shd w:fill="FFFFFF" w:val="clear"/>
            <w:tcMar>
              <w:bottom w:w="28" w:type="dxa"/>
            </w:tcMar>
            <w:vAlign w:val="bottom"/>
          </w:tcPr>
          <w:p>
            <w:pPr>
              <w:pStyle w:val="TableContents"/>
              <w:spacing w:before="0" w:after="283"/>
              <w:jc w:val="right"/>
              <w:rPr/>
            </w:pPr>
            <w:r>
              <w:rPr/>
              <w:t xml:space="preserve">​ </w:t>
            </w:r>
          </w:p>
        </w:tc>
        <w:tc>
          <w:tcPr>
            <w:tcW w:w="146" w:type="dxa"/>
            <w:tcBorders/>
            <w:shd w:fill="FFFFFF" w:val="clear"/>
            <w:vAlign w:val="bottom"/>
          </w:tcPr>
          <w:p>
            <w:pPr>
              <w:pStyle w:val="TableContents"/>
              <w:spacing w:before="0" w:after="283"/>
              <w:rPr/>
            </w:pPr>
            <w:r>
              <w:rPr/>
              <w:t>​</w:t>
            </w:r>
          </w:p>
        </w:tc>
        <w:tc>
          <w:tcPr>
            <w:tcW w:w="95" w:type="dxa"/>
            <w:tcBorders>
              <w:bottom w:val="single" w:sz="8" w:space="0" w:color="000000"/>
            </w:tcBorders>
            <w:shd w:fill="FFFFFF" w:val="clear"/>
            <w:tcMar>
              <w:bottom w:w="28" w:type="dxa"/>
            </w:tcMar>
            <w:vAlign w:val="bottom"/>
          </w:tcPr>
          <w:p>
            <w:pPr>
              <w:pStyle w:val="TableContents"/>
              <w:spacing w:before="0" w:after="283"/>
              <w:rPr/>
            </w:pPr>
            <w:r>
              <w:rPr/>
              <w:t xml:space="preserve">​ </w:t>
            </w:r>
          </w:p>
        </w:tc>
        <w:tc>
          <w:tcPr>
            <w:tcW w:w="835" w:type="dxa"/>
            <w:tcBorders>
              <w:bottom w:val="single" w:sz="8" w:space="0" w:color="000000"/>
            </w:tcBorders>
            <w:shd w:fill="FFFFFF" w:val="clear"/>
            <w:tcMar>
              <w:bottom w:w="28" w:type="dxa"/>
            </w:tcMar>
            <w:vAlign w:val="bottom"/>
          </w:tcPr>
          <w:p>
            <w:pPr>
              <w:pStyle w:val="TableContents"/>
              <w:spacing w:before="0" w:after="283"/>
              <w:jc w:val="right"/>
              <w:rPr/>
            </w:pPr>
            <w:r>
              <w:rPr/>
              <w:t xml:space="preserve">​ </w:t>
            </w:r>
          </w:p>
        </w:tc>
        <w:tc>
          <w:tcPr>
            <w:tcW w:w="146" w:type="dxa"/>
            <w:tcBorders/>
            <w:shd w:fill="FFFFFF" w:val="clear"/>
            <w:vAlign w:val="bottom"/>
          </w:tcPr>
          <w:p>
            <w:pPr>
              <w:pStyle w:val="TableContents"/>
              <w:spacing w:before="0" w:after="283"/>
              <w:rPr/>
            </w:pPr>
            <w:r>
              <w:rPr/>
              <w:t>​</w:t>
            </w:r>
          </w:p>
        </w:tc>
        <w:tc>
          <w:tcPr>
            <w:tcW w:w="95" w:type="dxa"/>
            <w:tcBorders>
              <w:bottom w:val="single" w:sz="8" w:space="0" w:color="000000"/>
            </w:tcBorders>
            <w:shd w:fill="FFFFFF" w:val="clear"/>
            <w:tcMar>
              <w:bottom w:w="28" w:type="dxa"/>
            </w:tcMar>
            <w:vAlign w:val="bottom"/>
          </w:tcPr>
          <w:p>
            <w:pPr>
              <w:pStyle w:val="TableContents"/>
              <w:spacing w:before="0" w:after="283"/>
              <w:rPr/>
            </w:pPr>
            <w:r>
              <w:rPr/>
              <w:t xml:space="preserve">​ </w:t>
            </w:r>
          </w:p>
        </w:tc>
        <w:tc>
          <w:tcPr>
            <w:tcW w:w="835" w:type="dxa"/>
            <w:tcBorders>
              <w:bottom w:val="single" w:sz="8" w:space="0" w:color="000000"/>
            </w:tcBorders>
            <w:shd w:fill="FFFFFF" w:val="clear"/>
            <w:tcMar>
              <w:bottom w:w="28" w:type="dxa"/>
            </w:tcMar>
            <w:vAlign w:val="bottom"/>
          </w:tcPr>
          <w:p>
            <w:pPr>
              <w:pStyle w:val="TableContents"/>
              <w:spacing w:before="0" w:after="283"/>
              <w:jc w:val="right"/>
              <w:rPr/>
            </w:pPr>
            <w:r>
              <w:rPr/>
              <w:t xml:space="preserve">​ </w:t>
            </w:r>
          </w:p>
        </w:tc>
        <w:tc>
          <w:tcPr>
            <w:tcW w:w="146" w:type="dxa"/>
            <w:tcBorders/>
            <w:shd w:fill="FFFFFF" w:val="clear"/>
            <w:vAlign w:val="bottom"/>
          </w:tcPr>
          <w:p>
            <w:pPr>
              <w:pStyle w:val="TableContents"/>
              <w:spacing w:before="0" w:after="283"/>
              <w:rPr/>
            </w:pPr>
            <w:r>
              <w:rPr/>
              <w:t>​</w:t>
            </w:r>
          </w:p>
        </w:tc>
        <w:tc>
          <w:tcPr>
            <w:tcW w:w="95" w:type="dxa"/>
            <w:tcBorders>
              <w:bottom w:val="single" w:sz="8" w:space="0" w:color="000000"/>
            </w:tcBorders>
            <w:shd w:fill="FFFFFF" w:val="clear"/>
            <w:tcMar>
              <w:bottom w:w="28" w:type="dxa"/>
            </w:tcMar>
            <w:vAlign w:val="bottom"/>
          </w:tcPr>
          <w:p>
            <w:pPr>
              <w:pStyle w:val="TableContents"/>
              <w:spacing w:before="0" w:after="283"/>
              <w:rPr/>
            </w:pPr>
            <w:r>
              <w:rPr/>
              <w:t xml:space="preserve">​ </w:t>
            </w:r>
          </w:p>
        </w:tc>
        <w:tc>
          <w:tcPr>
            <w:tcW w:w="835" w:type="dxa"/>
            <w:tcBorders>
              <w:bottom w:val="single" w:sz="8" w:space="0" w:color="000000"/>
            </w:tcBorders>
            <w:shd w:fill="FFFFFF" w:val="clear"/>
            <w:tcMar>
              <w:bottom w:w="28" w:type="dxa"/>
            </w:tcMar>
            <w:vAlign w:val="bottom"/>
          </w:tcPr>
          <w:p>
            <w:pPr>
              <w:pStyle w:val="TableContents"/>
              <w:spacing w:before="0" w:after="283"/>
              <w:jc w:val="right"/>
              <w:rPr/>
            </w:pPr>
            <w:r>
              <w:rPr/>
              <w:t xml:space="preserve">​ </w:t>
            </w:r>
          </w:p>
        </w:tc>
        <w:tc>
          <w:tcPr>
            <w:tcW w:w="153" w:type="dxa"/>
            <w:tcBorders/>
            <w:shd w:fill="FFFFFF" w:val="clear"/>
            <w:vAlign w:val="bottom"/>
          </w:tcPr>
          <w:p>
            <w:pPr>
              <w:pStyle w:val="TableContents"/>
              <w:spacing w:before="0" w:after="283"/>
              <w:rPr/>
            </w:pPr>
            <w:r>
              <w:rPr/>
              <w:t>​</w:t>
            </w:r>
          </w:p>
        </w:tc>
      </w:tr>
      <w:tr>
        <w:trPr/>
        <w:tc>
          <w:tcPr>
            <w:tcW w:w="4674" w:type="dxa"/>
            <w:tcBorders/>
            <w:shd w:fill="auto" w:val="clear"/>
            <w:vAlign w:val="bottom"/>
          </w:tcPr>
          <w:p>
            <w:pPr>
              <w:pStyle w:val="TableContents"/>
              <w:spacing w:before="0" w:after="283"/>
              <w:ind w:left="140" w:right="0" w:hanging="140"/>
              <w:rPr>
                <w:rFonts w:ascii="times" w:hAnsi="times"/>
                <w:sz w:val="14"/>
              </w:rPr>
            </w:pPr>
            <w:r>
              <w:rPr>
                <w:rFonts w:ascii="times" w:hAnsi="times"/>
                <w:sz w:val="14"/>
              </w:rPr>
              <w:t>Financial costs (excluding amortization of loan fees and lease expense) and realized gain/(loss) on derivatives</w:t>
            </w:r>
          </w:p>
        </w:tc>
        <w:tc>
          <w:tcPr>
            <w:tcW w:w="144"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835" w:type="dxa"/>
            <w:tcBorders/>
            <w:shd w:fill="auto" w:val="clear"/>
            <w:vAlign w:val="bottom"/>
          </w:tcPr>
          <w:p>
            <w:pPr>
              <w:pStyle w:val="TableContents"/>
              <w:spacing w:before="0" w:after="283"/>
              <w:jc w:val="right"/>
              <w:rPr>
                <w:rFonts w:ascii="times" w:hAnsi="times"/>
                <w:sz w:val="14"/>
              </w:rPr>
            </w:pPr>
            <w:r>
              <w:rPr>
                <w:rFonts w:ascii="times" w:hAnsi="times"/>
                <w:sz w:val="14"/>
              </w:rPr>
              <w:t>(26,929</w:t>
            </w:r>
          </w:p>
        </w:tc>
        <w:tc>
          <w:tcPr>
            <w:tcW w:w="146" w:type="dxa"/>
            <w:tcBorders/>
            <w:shd w:fill="auto" w:val="clear"/>
            <w:vAlign w:val="bottom"/>
          </w:tcPr>
          <w:p>
            <w:pPr>
              <w:pStyle w:val="TableContents"/>
              <w:spacing w:before="0" w:after="283"/>
              <w:rPr>
                <w:rFonts w:ascii="times" w:hAnsi="times"/>
                <w:sz w:val="14"/>
              </w:rPr>
            </w:pPr>
            <w:r>
              <w:rPr>
                <w:rFonts w:ascii="times" w:hAnsi="times"/>
                <w:sz w:val="14"/>
              </w:rPr>
              <w:t>)</w:t>
            </w:r>
          </w:p>
        </w:tc>
        <w:tc>
          <w:tcPr>
            <w:tcW w:w="95" w:type="dxa"/>
            <w:tcBorders/>
            <w:shd w:fill="auto" w:val="clear"/>
            <w:vAlign w:val="bottom"/>
          </w:tcPr>
          <w:p>
            <w:pPr>
              <w:pStyle w:val="TableContents"/>
              <w:spacing w:before="0" w:after="283"/>
              <w:rPr/>
            </w:pPr>
            <w:r>
              <w:rPr/>
              <w:t> </w:t>
            </w:r>
          </w:p>
        </w:tc>
        <w:tc>
          <w:tcPr>
            <w:tcW w:w="835" w:type="dxa"/>
            <w:tcBorders/>
            <w:shd w:fill="auto" w:val="clear"/>
            <w:vAlign w:val="bottom"/>
          </w:tcPr>
          <w:p>
            <w:pPr>
              <w:pStyle w:val="TableContents"/>
              <w:spacing w:before="0" w:after="283"/>
              <w:jc w:val="right"/>
              <w:rPr>
                <w:rFonts w:ascii="times" w:hAnsi="times"/>
                <w:sz w:val="14"/>
              </w:rPr>
            </w:pPr>
            <w:r>
              <w:rPr>
                <w:rFonts w:ascii="times" w:hAnsi="times"/>
                <w:sz w:val="14"/>
              </w:rPr>
              <w:t>(41,722</w:t>
            </w:r>
          </w:p>
        </w:tc>
        <w:tc>
          <w:tcPr>
            <w:tcW w:w="146" w:type="dxa"/>
            <w:tcBorders/>
            <w:shd w:fill="auto" w:val="clear"/>
            <w:vAlign w:val="bottom"/>
          </w:tcPr>
          <w:p>
            <w:pPr>
              <w:pStyle w:val="TableContents"/>
              <w:spacing w:before="0" w:after="283"/>
              <w:rPr>
                <w:rFonts w:ascii="times" w:hAnsi="times"/>
                <w:sz w:val="14"/>
              </w:rPr>
            </w:pPr>
            <w:r>
              <w:rPr>
                <w:rFonts w:ascii="times" w:hAnsi="times"/>
                <w:sz w:val="14"/>
              </w:rPr>
              <w:t>)</w:t>
            </w:r>
          </w:p>
        </w:tc>
        <w:tc>
          <w:tcPr>
            <w:tcW w:w="95" w:type="dxa"/>
            <w:tcBorders/>
            <w:shd w:fill="auto" w:val="clear"/>
            <w:vAlign w:val="bottom"/>
          </w:tcPr>
          <w:p>
            <w:pPr>
              <w:pStyle w:val="TableContents"/>
              <w:spacing w:before="0" w:after="283"/>
              <w:rPr/>
            </w:pPr>
            <w:r>
              <w:rPr/>
              <w:t> </w:t>
            </w:r>
          </w:p>
        </w:tc>
        <w:tc>
          <w:tcPr>
            <w:tcW w:w="835" w:type="dxa"/>
            <w:tcBorders/>
            <w:shd w:fill="auto" w:val="clear"/>
            <w:vAlign w:val="bottom"/>
          </w:tcPr>
          <w:p>
            <w:pPr>
              <w:pStyle w:val="TableContents"/>
              <w:spacing w:before="0" w:after="283"/>
              <w:jc w:val="right"/>
              <w:rPr>
                <w:rFonts w:ascii="times" w:hAnsi="times"/>
                <w:sz w:val="14"/>
              </w:rPr>
            </w:pPr>
            <w:r>
              <w:rPr>
                <w:rFonts w:ascii="times" w:hAnsi="times"/>
                <w:sz w:val="14"/>
              </w:rPr>
              <w:t>(52,876</w:t>
            </w:r>
          </w:p>
        </w:tc>
        <w:tc>
          <w:tcPr>
            <w:tcW w:w="146" w:type="dxa"/>
            <w:tcBorders/>
            <w:shd w:fill="auto" w:val="clear"/>
            <w:vAlign w:val="bottom"/>
          </w:tcPr>
          <w:p>
            <w:pPr>
              <w:pStyle w:val="TableContents"/>
              <w:spacing w:before="0" w:after="283"/>
              <w:rPr>
                <w:rFonts w:ascii="times" w:hAnsi="times"/>
                <w:sz w:val="14"/>
              </w:rPr>
            </w:pPr>
            <w:r>
              <w:rPr>
                <w:rFonts w:ascii="times" w:hAnsi="times"/>
                <w:sz w:val="14"/>
              </w:rPr>
              <w:t>)</w:t>
            </w:r>
          </w:p>
        </w:tc>
        <w:tc>
          <w:tcPr>
            <w:tcW w:w="95" w:type="dxa"/>
            <w:tcBorders/>
            <w:shd w:fill="auto" w:val="clear"/>
            <w:vAlign w:val="bottom"/>
          </w:tcPr>
          <w:p>
            <w:pPr>
              <w:pStyle w:val="TableContents"/>
              <w:spacing w:before="0" w:after="283"/>
              <w:rPr/>
            </w:pPr>
            <w:r>
              <w:rPr/>
              <w:t> </w:t>
            </w:r>
          </w:p>
        </w:tc>
        <w:tc>
          <w:tcPr>
            <w:tcW w:w="835" w:type="dxa"/>
            <w:tcBorders/>
            <w:shd w:fill="auto" w:val="clear"/>
            <w:vAlign w:val="bottom"/>
          </w:tcPr>
          <w:p>
            <w:pPr>
              <w:pStyle w:val="TableContents"/>
              <w:spacing w:before="0" w:after="283"/>
              <w:jc w:val="right"/>
              <w:rPr>
                <w:rFonts w:ascii="times" w:hAnsi="times"/>
                <w:sz w:val="14"/>
              </w:rPr>
            </w:pPr>
            <w:r>
              <w:rPr>
                <w:rFonts w:ascii="times" w:hAnsi="times"/>
                <w:sz w:val="14"/>
              </w:rPr>
              <w:t>(62,507</w:t>
            </w:r>
          </w:p>
        </w:tc>
        <w:tc>
          <w:tcPr>
            <w:tcW w:w="146" w:type="dxa"/>
            <w:tcBorders/>
            <w:shd w:fill="auto" w:val="clear"/>
            <w:vAlign w:val="bottom"/>
          </w:tcPr>
          <w:p>
            <w:pPr>
              <w:pStyle w:val="TableContents"/>
              <w:spacing w:before="0" w:after="283"/>
              <w:rPr>
                <w:rFonts w:ascii="times" w:hAnsi="times"/>
                <w:sz w:val="14"/>
              </w:rPr>
            </w:pPr>
            <w:r>
              <w:rPr>
                <w:rFonts w:ascii="times" w:hAnsi="times"/>
                <w:sz w:val="14"/>
              </w:rPr>
              <w:t>)</w:t>
            </w:r>
          </w:p>
        </w:tc>
        <w:tc>
          <w:tcPr>
            <w:tcW w:w="95" w:type="dxa"/>
            <w:tcBorders/>
            <w:shd w:fill="auto" w:val="clear"/>
            <w:vAlign w:val="bottom"/>
          </w:tcPr>
          <w:p>
            <w:pPr>
              <w:pStyle w:val="TableContents"/>
              <w:spacing w:before="0" w:after="283"/>
              <w:rPr/>
            </w:pPr>
            <w:r>
              <w:rPr/>
              <w:t> </w:t>
            </w:r>
          </w:p>
        </w:tc>
        <w:tc>
          <w:tcPr>
            <w:tcW w:w="835" w:type="dxa"/>
            <w:tcBorders/>
            <w:shd w:fill="auto" w:val="clear"/>
            <w:vAlign w:val="bottom"/>
          </w:tcPr>
          <w:p>
            <w:pPr>
              <w:pStyle w:val="TableContents"/>
              <w:spacing w:before="0" w:after="283"/>
              <w:jc w:val="right"/>
              <w:rPr>
                <w:rFonts w:ascii="times" w:hAnsi="times"/>
                <w:sz w:val="14"/>
              </w:rPr>
            </w:pPr>
            <w:r>
              <w:rPr>
                <w:rFonts w:ascii="times" w:hAnsi="times"/>
                <w:sz w:val="14"/>
              </w:rPr>
              <w:t>(49,882</w:t>
            </w:r>
          </w:p>
        </w:tc>
        <w:tc>
          <w:tcPr>
            <w:tcW w:w="153" w:type="dxa"/>
            <w:tcBorders/>
            <w:shd w:fill="auto" w:val="clear"/>
            <w:vAlign w:val="bottom"/>
          </w:tcPr>
          <w:p>
            <w:pPr>
              <w:pStyle w:val="TableContents"/>
              <w:spacing w:before="0" w:after="283"/>
              <w:rPr>
                <w:rFonts w:ascii="times" w:hAnsi="times"/>
                <w:sz w:val="14"/>
              </w:rPr>
            </w:pPr>
            <w:r>
              <w:rPr>
                <w:rFonts w:ascii="times" w:hAnsi="times"/>
                <w:sz w:val="14"/>
              </w:rPr>
              <w:t>)</w:t>
            </w:r>
          </w:p>
        </w:tc>
      </w:tr>
      <w:tr>
        <w:trPr/>
        <w:tc>
          <w:tcPr>
            <w:tcW w:w="4674" w:type="dxa"/>
            <w:tcBorders/>
            <w:shd w:fill="auto" w:val="clear"/>
            <w:vAlign w:val="bottom"/>
          </w:tcPr>
          <w:p>
            <w:pPr>
              <w:pStyle w:val="TableContents"/>
              <w:spacing w:before="0" w:after="283"/>
              <w:ind w:left="140" w:right="0" w:hanging="140"/>
              <w:rPr>
                <w:rFonts w:ascii="times" w:hAnsi="times"/>
              </w:rPr>
            </w:pPr>
            <w:r>
              <w:rPr>
                <w:rFonts w:ascii="times" w:hAnsi="times"/>
                <w:sz w:val="14"/>
              </w:rPr>
              <w:t>Dry-docking capital reserve</w:t>
            </w:r>
            <w:r>
              <w:rPr>
                <w:rFonts w:ascii="times" w:hAnsi="times"/>
                <w:b/>
                <w:sz w:val="14"/>
              </w:rPr>
              <w:t>**</w:t>
            </w:r>
          </w:p>
        </w:tc>
        <w:tc>
          <w:tcPr>
            <w:tcW w:w="144"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835" w:type="dxa"/>
            <w:tcBorders/>
            <w:shd w:fill="auto" w:val="clear"/>
            <w:vAlign w:val="bottom"/>
          </w:tcPr>
          <w:p>
            <w:pPr>
              <w:pStyle w:val="TableContents"/>
              <w:spacing w:before="0" w:after="283"/>
              <w:jc w:val="right"/>
              <w:rPr>
                <w:rFonts w:ascii="times" w:hAnsi="times"/>
                <w:sz w:val="14"/>
              </w:rPr>
            </w:pPr>
            <w:r>
              <w:rPr>
                <w:rFonts w:ascii="times" w:hAnsi="times"/>
                <w:sz w:val="14"/>
              </w:rPr>
              <w:t>(8,829</w:t>
            </w:r>
          </w:p>
        </w:tc>
        <w:tc>
          <w:tcPr>
            <w:tcW w:w="146" w:type="dxa"/>
            <w:tcBorders/>
            <w:shd w:fill="auto" w:val="clear"/>
            <w:vAlign w:val="bottom"/>
          </w:tcPr>
          <w:p>
            <w:pPr>
              <w:pStyle w:val="TableContents"/>
              <w:spacing w:before="0" w:after="283"/>
              <w:rPr>
                <w:rFonts w:ascii="times" w:hAnsi="times"/>
                <w:sz w:val="14"/>
              </w:rPr>
            </w:pPr>
            <w:r>
              <w:rPr>
                <w:rFonts w:ascii="times" w:hAnsi="times"/>
                <w:sz w:val="14"/>
              </w:rPr>
              <w:t>)</w:t>
            </w:r>
          </w:p>
        </w:tc>
        <w:tc>
          <w:tcPr>
            <w:tcW w:w="95" w:type="dxa"/>
            <w:tcBorders/>
            <w:shd w:fill="auto" w:val="clear"/>
            <w:vAlign w:val="bottom"/>
          </w:tcPr>
          <w:p>
            <w:pPr>
              <w:pStyle w:val="TableContents"/>
              <w:spacing w:before="0" w:after="283"/>
              <w:rPr/>
            </w:pPr>
            <w:r>
              <w:rPr/>
              <w:t> </w:t>
            </w:r>
          </w:p>
        </w:tc>
        <w:tc>
          <w:tcPr>
            <w:tcW w:w="835" w:type="dxa"/>
            <w:tcBorders/>
            <w:shd w:fill="auto" w:val="clear"/>
            <w:vAlign w:val="bottom"/>
          </w:tcPr>
          <w:p>
            <w:pPr>
              <w:pStyle w:val="TableContents"/>
              <w:spacing w:before="0" w:after="283"/>
              <w:jc w:val="right"/>
              <w:rPr>
                <w:rFonts w:ascii="times" w:hAnsi="times"/>
                <w:sz w:val="14"/>
              </w:rPr>
            </w:pPr>
            <w:r>
              <w:rPr>
                <w:rFonts w:ascii="times" w:hAnsi="times"/>
                <w:sz w:val="14"/>
              </w:rPr>
              <w:t>(12,234</w:t>
            </w:r>
          </w:p>
        </w:tc>
        <w:tc>
          <w:tcPr>
            <w:tcW w:w="146" w:type="dxa"/>
            <w:tcBorders/>
            <w:shd w:fill="auto" w:val="clear"/>
            <w:vAlign w:val="bottom"/>
          </w:tcPr>
          <w:p>
            <w:pPr>
              <w:pStyle w:val="TableContents"/>
              <w:spacing w:before="0" w:after="283"/>
              <w:rPr>
                <w:rFonts w:ascii="times" w:hAnsi="times"/>
                <w:sz w:val="14"/>
              </w:rPr>
            </w:pPr>
            <w:r>
              <w:rPr>
                <w:rFonts w:ascii="times" w:hAnsi="times"/>
                <w:sz w:val="14"/>
              </w:rPr>
              <w:t>)</w:t>
            </w:r>
          </w:p>
        </w:tc>
        <w:tc>
          <w:tcPr>
            <w:tcW w:w="95" w:type="dxa"/>
            <w:tcBorders/>
            <w:shd w:fill="auto" w:val="clear"/>
            <w:vAlign w:val="bottom"/>
          </w:tcPr>
          <w:p>
            <w:pPr>
              <w:pStyle w:val="TableContents"/>
              <w:spacing w:before="0" w:after="283"/>
              <w:rPr/>
            </w:pPr>
            <w:r>
              <w:rPr/>
              <w:t> </w:t>
            </w:r>
          </w:p>
        </w:tc>
        <w:tc>
          <w:tcPr>
            <w:tcW w:w="835" w:type="dxa"/>
            <w:tcBorders/>
            <w:shd w:fill="auto" w:val="clear"/>
            <w:vAlign w:val="bottom"/>
          </w:tcPr>
          <w:p>
            <w:pPr>
              <w:pStyle w:val="TableContents"/>
              <w:spacing w:before="0" w:after="283"/>
              <w:jc w:val="right"/>
              <w:rPr>
                <w:rFonts w:ascii="times" w:hAnsi="times"/>
                <w:sz w:val="14"/>
              </w:rPr>
            </w:pPr>
            <w:r>
              <w:rPr>
                <w:rFonts w:ascii="times" w:hAnsi="times"/>
                <w:sz w:val="14"/>
              </w:rPr>
              <w:t>(13,890</w:t>
            </w:r>
          </w:p>
        </w:tc>
        <w:tc>
          <w:tcPr>
            <w:tcW w:w="146" w:type="dxa"/>
            <w:tcBorders/>
            <w:shd w:fill="auto" w:val="clear"/>
            <w:vAlign w:val="bottom"/>
          </w:tcPr>
          <w:p>
            <w:pPr>
              <w:pStyle w:val="TableContents"/>
              <w:spacing w:before="0" w:after="283"/>
              <w:rPr>
                <w:rFonts w:ascii="times" w:hAnsi="times"/>
                <w:sz w:val="14"/>
              </w:rPr>
            </w:pPr>
            <w:r>
              <w:rPr>
                <w:rFonts w:ascii="times" w:hAnsi="times"/>
                <w:sz w:val="14"/>
              </w:rPr>
              <w:t>)</w:t>
            </w:r>
          </w:p>
        </w:tc>
        <w:tc>
          <w:tcPr>
            <w:tcW w:w="95" w:type="dxa"/>
            <w:tcBorders/>
            <w:shd w:fill="auto" w:val="clear"/>
            <w:vAlign w:val="bottom"/>
          </w:tcPr>
          <w:p>
            <w:pPr>
              <w:pStyle w:val="TableContents"/>
              <w:spacing w:before="0" w:after="283"/>
              <w:rPr/>
            </w:pPr>
            <w:r>
              <w:rPr/>
              <w:t> </w:t>
            </w:r>
          </w:p>
        </w:tc>
        <w:tc>
          <w:tcPr>
            <w:tcW w:w="835" w:type="dxa"/>
            <w:tcBorders/>
            <w:shd w:fill="auto" w:val="clear"/>
            <w:vAlign w:val="bottom"/>
          </w:tcPr>
          <w:p>
            <w:pPr>
              <w:pStyle w:val="TableContents"/>
              <w:spacing w:before="0" w:after="283"/>
              <w:jc w:val="right"/>
              <w:rPr>
                <w:rFonts w:ascii="times" w:hAnsi="times"/>
                <w:sz w:val="14"/>
              </w:rPr>
            </w:pPr>
            <w:r>
              <w:rPr>
                <w:rFonts w:ascii="times" w:hAnsi="times"/>
                <w:sz w:val="14"/>
              </w:rPr>
              <w:t>(16,392</w:t>
            </w:r>
          </w:p>
        </w:tc>
        <w:tc>
          <w:tcPr>
            <w:tcW w:w="146" w:type="dxa"/>
            <w:tcBorders/>
            <w:shd w:fill="auto" w:val="clear"/>
            <w:vAlign w:val="bottom"/>
          </w:tcPr>
          <w:p>
            <w:pPr>
              <w:pStyle w:val="TableContents"/>
              <w:spacing w:before="0" w:after="283"/>
              <w:rPr>
                <w:rFonts w:ascii="times" w:hAnsi="times"/>
                <w:sz w:val="14"/>
              </w:rPr>
            </w:pPr>
            <w:r>
              <w:rPr>
                <w:rFonts w:ascii="times" w:hAnsi="times"/>
                <w:sz w:val="14"/>
              </w:rPr>
              <w:t>)</w:t>
            </w:r>
          </w:p>
        </w:tc>
        <w:tc>
          <w:tcPr>
            <w:tcW w:w="95" w:type="dxa"/>
            <w:tcBorders/>
            <w:shd w:fill="auto" w:val="clear"/>
            <w:vAlign w:val="bottom"/>
          </w:tcPr>
          <w:p>
            <w:pPr>
              <w:pStyle w:val="TableContents"/>
              <w:spacing w:before="0" w:after="283"/>
              <w:rPr/>
            </w:pPr>
            <w:r>
              <w:rPr/>
              <w:t> </w:t>
            </w:r>
          </w:p>
        </w:tc>
        <w:tc>
          <w:tcPr>
            <w:tcW w:w="835" w:type="dxa"/>
            <w:tcBorders/>
            <w:shd w:fill="auto" w:val="clear"/>
            <w:vAlign w:val="bottom"/>
          </w:tcPr>
          <w:p>
            <w:pPr>
              <w:pStyle w:val="TableContents"/>
              <w:spacing w:before="0" w:after="283"/>
              <w:jc w:val="right"/>
              <w:rPr>
                <w:rFonts w:ascii="times" w:hAnsi="times"/>
                <w:sz w:val="14"/>
              </w:rPr>
            </w:pPr>
            <w:r>
              <w:rPr>
                <w:rFonts w:ascii="times" w:hAnsi="times"/>
                <w:sz w:val="14"/>
              </w:rPr>
              <w:t>(16,108</w:t>
            </w:r>
          </w:p>
        </w:tc>
        <w:tc>
          <w:tcPr>
            <w:tcW w:w="153" w:type="dxa"/>
            <w:tcBorders/>
            <w:shd w:fill="auto" w:val="clear"/>
            <w:vAlign w:val="bottom"/>
          </w:tcPr>
          <w:p>
            <w:pPr>
              <w:pStyle w:val="TableContents"/>
              <w:spacing w:before="0" w:after="283"/>
              <w:rPr>
                <w:rFonts w:ascii="times" w:hAnsi="times"/>
                <w:sz w:val="14"/>
              </w:rPr>
            </w:pPr>
            <w:r>
              <w:rPr>
                <w:rFonts w:ascii="times" w:hAnsi="times"/>
                <w:sz w:val="14"/>
              </w:rPr>
              <w:t>)</w:t>
            </w:r>
          </w:p>
        </w:tc>
      </w:tr>
      <w:tr>
        <w:trPr/>
        <w:tc>
          <w:tcPr>
            <w:tcW w:w="4674" w:type="dxa"/>
            <w:tcBorders/>
            <w:shd w:fill="auto" w:val="clear"/>
            <w:vAlign w:val="bottom"/>
          </w:tcPr>
          <w:p>
            <w:pPr>
              <w:pStyle w:val="TableContents"/>
              <w:spacing w:before="0" w:after="283"/>
              <w:ind w:left="140" w:right="0" w:hanging="140"/>
              <w:rPr>
                <w:rFonts w:ascii="times" w:hAnsi="times"/>
              </w:rPr>
            </w:pPr>
            <w:r>
              <w:rPr>
                <w:rFonts w:ascii="times" w:hAnsi="times"/>
                <w:sz w:val="14"/>
              </w:rPr>
              <w:t>Replacement capital reserve</w:t>
            </w:r>
            <w:r>
              <w:rPr>
                <w:rFonts w:ascii="times" w:hAnsi="times"/>
                <w:b/>
                <w:sz w:val="14"/>
              </w:rPr>
              <w:t>**</w:t>
            </w:r>
          </w:p>
        </w:tc>
        <w:tc>
          <w:tcPr>
            <w:tcW w:w="144"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835" w:type="dxa"/>
            <w:tcBorders/>
            <w:shd w:fill="auto" w:val="clear"/>
            <w:vAlign w:val="bottom"/>
          </w:tcPr>
          <w:p>
            <w:pPr>
              <w:pStyle w:val="TableContents"/>
              <w:spacing w:before="0" w:after="283"/>
              <w:jc w:val="right"/>
              <w:rPr>
                <w:rFonts w:ascii="times" w:hAnsi="times"/>
                <w:sz w:val="14"/>
              </w:rPr>
            </w:pPr>
            <w:r>
              <w:rPr>
                <w:rFonts w:ascii="times" w:hAnsi="times"/>
                <w:sz w:val="14"/>
              </w:rPr>
              <w:t>(29,467</w:t>
            </w:r>
          </w:p>
        </w:tc>
        <w:tc>
          <w:tcPr>
            <w:tcW w:w="146" w:type="dxa"/>
            <w:tcBorders/>
            <w:shd w:fill="auto" w:val="clear"/>
            <w:vAlign w:val="bottom"/>
          </w:tcPr>
          <w:p>
            <w:pPr>
              <w:pStyle w:val="TableContents"/>
              <w:spacing w:before="0" w:after="283"/>
              <w:rPr>
                <w:rFonts w:ascii="times" w:hAnsi="times"/>
                <w:sz w:val="14"/>
              </w:rPr>
            </w:pPr>
            <w:r>
              <w:rPr>
                <w:rFonts w:ascii="times" w:hAnsi="times"/>
                <w:sz w:val="14"/>
              </w:rPr>
              <w:t>)</w:t>
            </w:r>
          </w:p>
        </w:tc>
        <w:tc>
          <w:tcPr>
            <w:tcW w:w="95" w:type="dxa"/>
            <w:tcBorders/>
            <w:shd w:fill="auto" w:val="clear"/>
            <w:vAlign w:val="bottom"/>
          </w:tcPr>
          <w:p>
            <w:pPr>
              <w:pStyle w:val="TableContents"/>
              <w:spacing w:before="0" w:after="283"/>
              <w:rPr/>
            </w:pPr>
            <w:r>
              <w:rPr/>
              <w:t> </w:t>
            </w:r>
          </w:p>
        </w:tc>
        <w:tc>
          <w:tcPr>
            <w:tcW w:w="835" w:type="dxa"/>
            <w:tcBorders/>
            <w:shd w:fill="auto" w:val="clear"/>
            <w:vAlign w:val="bottom"/>
          </w:tcPr>
          <w:p>
            <w:pPr>
              <w:pStyle w:val="TableContents"/>
              <w:spacing w:before="0" w:after="283"/>
              <w:jc w:val="right"/>
              <w:rPr>
                <w:rFonts w:ascii="times" w:hAnsi="times"/>
                <w:sz w:val="14"/>
              </w:rPr>
            </w:pPr>
            <w:r>
              <w:rPr>
                <w:rFonts w:ascii="times" w:hAnsi="times"/>
                <w:sz w:val="14"/>
              </w:rPr>
              <w:t>(33,877</w:t>
            </w:r>
          </w:p>
        </w:tc>
        <w:tc>
          <w:tcPr>
            <w:tcW w:w="146" w:type="dxa"/>
            <w:tcBorders/>
            <w:shd w:fill="auto" w:val="clear"/>
            <w:vAlign w:val="bottom"/>
          </w:tcPr>
          <w:p>
            <w:pPr>
              <w:pStyle w:val="TableContents"/>
              <w:spacing w:before="0" w:after="283"/>
              <w:rPr>
                <w:rFonts w:ascii="times" w:hAnsi="times"/>
                <w:sz w:val="14"/>
              </w:rPr>
            </w:pPr>
            <w:r>
              <w:rPr>
                <w:rFonts w:ascii="times" w:hAnsi="times"/>
                <w:sz w:val="14"/>
              </w:rPr>
              <w:t>)</w:t>
            </w:r>
          </w:p>
        </w:tc>
        <w:tc>
          <w:tcPr>
            <w:tcW w:w="95" w:type="dxa"/>
            <w:tcBorders/>
            <w:shd w:fill="auto" w:val="clear"/>
            <w:vAlign w:val="bottom"/>
          </w:tcPr>
          <w:p>
            <w:pPr>
              <w:pStyle w:val="TableContents"/>
              <w:spacing w:before="0" w:after="283"/>
              <w:rPr/>
            </w:pPr>
            <w:r>
              <w:rPr/>
              <w:t> </w:t>
            </w:r>
          </w:p>
        </w:tc>
        <w:tc>
          <w:tcPr>
            <w:tcW w:w="835" w:type="dxa"/>
            <w:tcBorders/>
            <w:shd w:fill="auto" w:val="clear"/>
            <w:vAlign w:val="bottom"/>
          </w:tcPr>
          <w:p>
            <w:pPr>
              <w:pStyle w:val="TableContents"/>
              <w:spacing w:before="0" w:after="283"/>
              <w:jc w:val="right"/>
              <w:rPr>
                <w:rFonts w:ascii="times" w:hAnsi="times"/>
                <w:sz w:val="14"/>
              </w:rPr>
            </w:pPr>
            <w:r>
              <w:rPr>
                <w:rFonts w:ascii="times" w:hAnsi="times"/>
                <w:sz w:val="14"/>
              </w:rPr>
              <w:t>(35,450</w:t>
            </w:r>
          </w:p>
        </w:tc>
        <w:tc>
          <w:tcPr>
            <w:tcW w:w="146" w:type="dxa"/>
            <w:tcBorders/>
            <w:shd w:fill="auto" w:val="clear"/>
            <w:vAlign w:val="bottom"/>
          </w:tcPr>
          <w:p>
            <w:pPr>
              <w:pStyle w:val="TableContents"/>
              <w:spacing w:before="0" w:after="283"/>
              <w:rPr>
                <w:rFonts w:ascii="times" w:hAnsi="times"/>
                <w:sz w:val="14"/>
              </w:rPr>
            </w:pPr>
            <w:r>
              <w:rPr>
                <w:rFonts w:ascii="times" w:hAnsi="times"/>
                <w:sz w:val="14"/>
              </w:rPr>
              <w:t>)</w:t>
            </w:r>
          </w:p>
        </w:tc>
        <w:tc>
          <w:tcPr>
            <w:tcW w:w="95" w:type="dxa"/>
            <w:tcBorders/>
            <w:shd w:fill="auto" w:val="clear"/>
            <w:vAlign w:val="bottom"/>
          </w:tcPr>
          <w:p>
            <w:pPr>
              <w:pStyle w:val="TableContents"/>
              <w:spacing w:before="0" w:after="283"/>
              <w:rPr/>
            </w:pPr>
            <w:r>
              <w:rPr/>
              <w:t> </w:t>
            </w:r>
          </w:p>
        </w:tc>
        <w:tc>
          <w:tcPr>
            <w:tcW w:w="835" w:type="dxa"/>
            <w:tcBorders/>
            <w:shd w:fill="auto" w:val="clear"/>
            <w:vAlign w:val="bottom"/>
          </w:tcPr>
          <w:p>
            <w:pPr>
              <w:pStyle w:val="TableContents"/>
              <w:spacing w:before="0" w:after="283"/>
              <w:jc w:val="right"/>
              <w:rPr>
                <w:rFonts w:ascii="times" w:hAnsi="times"/>
                <w:sz w:val="14"/>
              </w:rPr>
            </w:pPr>
            <w:r>
              <w:rPr>
                <w:rFonts w:ascii="times" w:hAnsi="times"/>
                <w:sz w:val="14"/>
              </w:rPr>
              <w:t>(38,103</w:t>
            </w:r>
          </w:p>
        </w:tc>
        <w:tc>
          <w:tcPr>
            <w:tcW w:w="146" w:type="dxa"/>
            <w:tcBorders/>
            <w:shd w:fill="auto" w:val="clear"/>
            <w:vAlign w:val="bottom"/>
          </w:tcPr>
          <w:p>
            <w:pPr>
              <w:pStyle w:val="TableContents"/>
              <w:spacing w:before="0" w:after="283"/>
              <w:rPr>
                <w:rFonts w:ascii="times" w:hAnsi="times"/>
                <w:sz w:val="14"/>
              </w:rPr>
            </w:pPr>
            <w:r>
              <w:rPr>
                <w:rFonts w:ascii="times" w:hAnsi="times"/>
                <w:sz w:val="14"/>
              </w:rPr>
              <w:t>)</w:t>
            </w:r>
          </w:p>
        </w:tc>
        <w:tc>
          <w:tcPr>
            <w:tcW w:w="95" w:type="dxa"/>
            <w:tcBorders/>
            <w:shd w:fill="auto" w:val="clear"/>
            <w:vAlign w:val="bottom"/>
          </w:tcPr>
          <w:p>
            <w:pPr>
              <w:pStyle w:val="TableContents"/>
              <w:spacing w:before="0" w:after="283"/>
              <w:rPr/>
            </w:pPr>
            <w:r>
              <w:rPr/>
              <w:t> </w:t>
            </w:r>
          </w:p>
        </w:tc>
        <w:tc>
          <w:tcPr>
            <w:tcW w:w="835" w:type="dxa"/>
            <w:tcBorders/>
            <w:shd w:fill="auto" w:val="clear"/>
            <w:vAlign w:val="bottom"/>
          </w:tcPr>
          <w:p>
            <w:pPr>
              <w:pStyle w:val="TableContents"/>
              <w:spacing w:before="0" w:after="283"/>
              <w:jc w:val="right"/>
              <w:rPr>
                <w:rFonts w:ascii="times" w:hAnsi="times"/>
                <w:sz w:val="14"/>
              </w:rPr>
            </w:pPr>
            <w:r>
              <w:rPr>
                <w:rFonts w:ascii="times" w:hAnsi="times"/>
                <w:sz w:val="14"/>
              </w:rPr>
              <w:t>(43,076</w:t>
            </w:r>
          </w:p>
        </w:tc>
        <w:tc>
          <w:tcPr>
            <w:tcW w:w="153" w:type="dxa"/>
            <w:tcBorders/>
            <w:shd w:fill="auto" w:val="clear"/>
            <w:vAlign w:val="bottom"/>
          </w:tcPr>
          <w:p>
            <w:pPr>
              <w:pStyle w:val="TableContents"/>
              <w:spacing w:before="0" w:after="283"/>
              <w:rPr>
                <w:rFonts w:ascii="times" w:hAnsi="times"/>
                <w:sz w:val="14"/>
              </w:rPr>
            </w:pPr>
            <w:r>
              <w:rPr>
                <w:rFonts w:ascii="times" w:hAnsi="times"/>
                <w:sz w:val="14"/>
              </w:rPr>
              <w:t>)</w:t>
            </w:r>
          </w:p>
        </w:tc>
      </w:tr>
      <w:tr>
        <w:trPr/>
        <w:tc>
          <w:tcPr>
            <w:tcW w:w="4674" w:type="dxa"/>
            <w:tcBorders/>
            <w:shd w:fill="auto" w:val="clear"/>
            <w:vAlign w:val="bottom"/>
          </w:tcPr>
          <w:p>
            <w:pPr>
              <w:pStyle w:val="TableContents"/>
              <w:spacing w:before="0" w:after="283"/>
              <w:ind w:left="140" w:right="0" w:hanging="140"/>
              <w:rPr>
                <w:rFonts w:ascii="times" w:hAnsi="times"/>
                <w:sz w:val="14"/>
              </w:rPr>
            </w:pPr>
            <w:r>
              <w:rPr>
                <w:rFonts w:ascii="times" w:hAnsi="times"/>
                <w:sz w:val="14"/>
              </w:rPr>
              <w:t>Paid and accrued preferred equity distribution</w:t>
            </w:r>
          </w:p>
        </w:tc>
        <w:tc>
          <w:tcPr>
            <w:tcW w:w="144"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835" w:type="dxa"/>
            <w:tcBorders/>
            <w:shd w:fill="auto" w:val="clear"/>
            <w:vAlign w:val="bottom"/>
          </w:tcPr>
          <w:p>
            <w:pPr>
              <w:pStyle w:val="TableContents"/>
              <w:spacing w:before="0" w:after="283"/>
              <w:jc w:val="right"/>
              <w:rPr>
                <w:rFonts w:ascii="times" w:hAnsi="times"/>
                <w:sz w:val="14"/>
              </w:rPr>
            </w:pPr>
            <w:r>
              <w:rPr>
                <w:rFonts w:ascii="times" w:hAnsi="times"/>
                <w:sz w:val="14"/>
              </w:rPr>
              <w:t></w:t>
            </w:r>
          </w:p>
        </w:tc>
        <w:tc>
          <w:tcPr>
            <w:tcW w:w="146"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835" w:type="dxa"/>
            <w:tcBorders/>
            <w:shd w:fill="auto" w:val="clear"/>
            <w:vAlign w:val="bottom"/>
          </w:tcPr>
          <w:p>
            <w:pPr>
              <w:pStyle w:val="TableContents"/>
              <w:spacing w:before="0" w:after="283"/>
              <w:jc w:val="right"/>
              <w:rPr>
                <w:rFonts w:ascii="times" w:hAnsi="times"/>
                <w:sz w:val="14"/>
              </w:rPr>
            </w:pPr>
            <w:r>
              <w:rPr>
                <w:rFonts w:ascii="times" w:hAnsi="times"/>
                <w:sz w:val="14"/>
              </w:rPr>
              <w:t>(7,749</w:t>
            </w:r>
          </w:p>
        </w:tc>
        <w:tc>
          <w:tcPr>
            <w:tcW w:w="146" w:type="dxa"/>
            <w:tcBorders/>
            <w:shd w:fill="auto" w:val="clear"/>
            <w:vAlign w:val="bottom"/>
          </w:tcPr>
          <w:p>
            <w:pPr>
              <w:pStyle w:val="TableContents"/>
              <w:spacing w:before="0" w:after="283"/>
              <w:rPr>
                <w:rFonts w:ascii="times" w:hAnsi="times"/>
                <w:sz w:val="14"/>
              </w:rPr>
            </w:pPr>
            <w:r>
              <w:rPr>
                <w:rFonts w:ascii="times" w:hAnsi="times"/>
                <w:sz w:val="14"/>
              </w:rPr>
              <w:t>)</w:t>
            </w:r>
          </w:p>
        </w:tc>
        <w:tc>
          <w:tcPr>
            <w:tcW w:w="95" w:type="dxa"/>
            <w:tcBorders/>
            <w:shd w:fill="auto" w:val="clear"/>
            <w:vAlign w:val="bottom"/>
          </w:tcPr>
          <w:p>
            <w:pPr>
              <w:pStyle w:val="TableContents"/>
              <w:spacing w:before="0" w:after="283"/>
              <w:rPr/>
            </w:pPr>
            <w:r>
              <w:rPr/>
              <w:t> </w:t>
            </w:r>
          </w:p>
        </w:tc>
        <w:tc>
          <w:tcPr>
            <w:tcW w:w="835" w:type="dxa"/>
            <w:tcBorders/>
            <w:shd w:fill="auto" w:val="clear"/>
            <w:vAlign w:val="bottom"/>
          </w:tcPr>
          <w:p>
            <w:pPr>
              <w:pStyle w:val="TableContents"/>
              <w:spacing w:before="0" w:after="283"/>
              <w:jc w:val="right"/>
              <w:rPr>
                <w:rFonts w:ascii="times" w:hAnsi="times"/>
                <w:sz w:val="14"/>
              </w:rPr>
            </w:pPr>
            <w:r>
              <w:rPr>
                <w:rFonts w:ascii="times" w:hAnsi="times"/>
                <w:sz w:val="14"/>
              </w:rPr>
              <w:t>(22,495</w:t>
            </w:r>
          </w:p>
        </w:tc>
        <w:tc>
          <w:tcPr>
            <w:tcW w:w="146" w:type="dxa"/>
            <w:tcBorders/>
            <w:shd w:fill="auto" w:val="clear"/>
            <w:vAlign w:val="bottom"/>
          </w:tcPr>
          <w:p>
            <w:pPr>
              <w:pStyle w:val="TableContents"/>
              <w:spacing w:before="0" w:after="283"/>
              <w:rPr>
                <w:rFonts w:ascii="times" w:hAnsi="times"/>
                <w:sz w:val="14"/>
              </w:rPr>
            </w:pPr>
            <w:r>
              <w:rPr>
                <w:rFonts w:ascii="times" w:hAnsi="times"/>
                <w:sz w:val="14"/>
              </w:rPr>
              <w:t>)</w:t>
            </w:r>
          </w:p>
        </w:tc>
        <w:tc>
          <w:tcPr>
            <w:tcW w:w="95" w:type="dxa"/>
            <w:tcBorders/>
            <w:shd w:fill="auto" w:val="clear"/>
            <w:vAlign w:val="bottom"/>
          </w:tcPr>
          <w:p>
            <w:pPr>
              <w:pStyle w:val="TableContents"/>
              <w:spacing w:before="0" w:after="283"/>
              <w:rPr/>
            </w:pPr>
            <w:r>
              <w:rPr/>
              <w:t> </w:t>
            </w:r>
          </w:p>
        </w:tc>
        <w:tc>
          <w:tcPr>
            <w:tcW w:w="835" w:type="dxa"/>
            <w:tcBorders/>
            <w:shd w:fill="auto" w:val="clear"/>
            <w:vAlign w:val="bottom"/>
          </w:tcPr>
          <w:p>
            <w:pPr>
              <w:pStyle w:val="TableContents"/>
              <w:spacing w:before="0" w:after="283"/>
              <w:jc w:val="right"/>
              <w:rPr>
                <w:rFonts w:ascii="times" w:hAnsi="times"/>
                <w:sz w:val="14"/>
              </w:rPr>
            </w:pPr>
            <w:r>
              <w:rPr>
                <w:rFonts w:ascii="times" w:hAnsi="times"/>
                <w:sz w:val="14"/>
              </w:rPr>
              <w:t>(30,328</w:t>
            </w:r>
          </w:p>
        </w:tc>
        <w:tc>
          <w:tcPr>
            <w:tcW w:w="146" w:type="dxa"/>
            <w:tcBorders/>
            <w:shd w:fill="auto" w:val="clear"/>
            <w:vAlign w:val="bottom"/>
          </w:tcPr>
          <w:p>
            <w:pPr>
              <w:pStyle w:val="TableContents"/>
              <w:spacing w:before="0" w:after="283"/>
              <w:rPr>
                <w:rFonts w:ascii="times" w:hAnsi="times"/>
                <w:sz w:val="14"/>
              </w:rPr>
            </w:pPr>
            <w:r>
              <w:rPr>
                <w:rFonts w:ascii="times" w:hAnsi="times"/>
                <w:sz w:val="14"/>
              </w:rPr>
              <w:t>)</w:t>
            </w:r>
          </w:p>
        </w:tc>
        <w:tc>
          <w:tcPr>
            <w:tcW w:w="95" w:type="dxa"/>
            <w:tcBorders/>
            <w:shd w:fill="auto" w:val="clear"/>
            <w:vAlign w:val="bottom"/>
          </w:tcPr>
          <w:p>
            <w:pPr>
              <w:pStyle w:val="TableContents"/>
              <w:spacing w:before="0" w:after="283"/>
              <w:rPr/>
            </w:pPr>
            <w:r>
              <w:rPr/>
              <w:t> </w:t>
            </w:r>
          </w:p>
        </w:tc>
        <w:tc>
          <w:tcPr>
            <w:tcW w:w="835" w:type="dxa"/>
            <w:tcBorders/>
            <w:shd w:fill="auto" w:val="clear"/>
            <w:vAlign w:val="bottom"/>
          </w:tcPr>
          <w:p>
            <w:pPr>
              <w:pStyle w:val="TableContents"/>
              <w:spacing w:before="0" w:after="283"/>
              <w:jc w:val="right"/>
              <w:rPr>
                <w:rFonts w:ascii="times" w:hAnsi="times"/>
                <w:sz w:val="14"/>
              </w:rPr>
            </w:pPr>
            <w:r>
              <w:rPr>
                <w:rFonts w:ascii="times" w:hAnsi="times"/>
                <w:sz w:val="14"/>
              </w:rPr>
              <w:t>(30,328</w:t>
            </w:r>
          </w:p>
        </w:tc>
        <w:tc>
          <w:tcPr>
            <w:tcW w:w="153" w:type="dxa"/>
            <w:tcBorders/>
            <w:shd w:fill="auto" w:val="clear"/>
            <w:vAlign w:val="bottom"/>
          </w:tcPr>
          <w:p>
            <w:pPr>
              <w:pStyle w:val="TableContents"/>
              <w:spacing w:before="0" w:after="283"/>
              <w:rPr>
                <w:rFonts w:ascii="times" w:hAnsi="times"/>
                <w:sz w:val="14"/>
              </w:rPr>
            </w:pPr>
            <w:r>
              <w:rPr>
                <w:rFonts w:ascii="times" w:hAnsi="times"/>
                <w:sz w:val="14"/>
              </w:rPr>
              <w:t xml:space="preserve">) </w:t>
            </w:r>
          </w:p>
        </w:tc>
      </w:tr>
      <w:tr>
        <w:trPr/>
        <w:tc>
          <w:tcPr>
            <w:tcW w:w="4674" w:type="dxa"/>
            <w:tcBorders/>
            <w:shd w:fill="FFFFFF" w:val="clear"/>
            <w:vAlign w:val="bottom"/>
          </w:tcPr>
          <w:p>
            <w:pPr>
              <w:pStyle w:val="TableContents"/>
              <w:spacing w:before="0" w:after="283"/>
              <w:rPr/>
            </w:pPr>
            <w:r>
              <w:rPr/>
              <w:t>​</w:t>
            </w:r>
          </w:p>
        </w:tc>
        <w:tc>
          <w:tcPr>
            <w:tcW w:w="144" w:type="dxa"/>
            <w:tcBorders/>
            <w:shd w:fill="FFFFFF" w:val="clear"/>
            <w:vAlign w:val="bottom"/>
          </w:tcPr>
          <w:p>
            <w:pPr>
              <w:pStyle w:val="TableContents"/>
              <w:spacing w:before="0" w:after="283"/>
              <w:rPr/>
            </w:pPr>
            <w:r>
              <w:rPr/>
              <w:t>​</w:t>
            </w:r>
          </w:p>
        </w:tc>
        <w:tc>
          <w:tcPr>
            <w:tcW w:w="95" w:type="dxa"/>
            <w:tcBorders>
              <w:bottom w:val="single" w:sz="8" w:space="0" w:color="000000"/>
            </w:tcBorders>
            <w:shd w:fill="FFFFFF" w:val="clear"/>
            <w:tcMar>
              <w:bottom w:w="28" w:type="dxa"/>
            </w:tcMar>
            <w:vAlign w:val="bottom"/>
          </w:tcPr>
          <w:p>
            <w:pPr>
              <w:pStyle w:val="TableContents"/>
              <w:spacing w:before="0" w:after="283"/>
              <w:rPr/>
            </w:pPr>
            <w:r>
              <w:rPr/>
              <w:t xml:space="preserve">​ </w:t>
            </w:r>
          </w:p>
        </w:tc>
        <w:tc>
          <w:tcPr>
            <w:tcW w:w="835" w:type="dxa"/>
            <w:tcBorders>
              <w:bottom w:val="single" w:sz="8" w:space="0" w:color="000000"/>
            </w:tcBorders>
            <w:shd w:fill="FFFFFF" w:val="clear"/>
            <w:tcMar>
              <w:bottom w:w="28" w:type="dxa"/>
            </w:tcMar>
            <w:vAlign w:val="bottom"/>
          </w:tcPr>
          <w:p>
            <w:pPr>
              <w:pStyle w:val="TableContents"/>
              <w:spacing w:before="0" w:after="283"/>
              <w:jc w:val="right"/>
              <w:rPr/>
            </w:pPr>
            <w:r>
              <w:rPr/>
              <w:t xml:space="preserve">​ </w:t>
            </w:r>
          </w:p>
        </w:tc>
        <w:tc>
          <w:tcPr>
            <w:tcW w:w="146" w:type="dxa"/>
            <w:tcBorders/>
            <w:shd w:fill="FFFFFF" w:val="clear"/>
            <w:vAlign w:val="bottom"/>
          </w:tcPr>
          <w:p>
            <w:pPr>
              <w:pStyle w:val="TableContents"/>
              <w:spacing w:before="0" w:after="283"/>
              <w:rPr/>
            </w:pPr>
            <w:r>
              <w:rPr/>
              <w:t>​</w:t>
            </w:r>
          </w:p>
        </w:tc>
        <w:tc>
          <w:tcPr>
            <w:tcW w:w="95" w:type="dxa"/>
            <w:tcBorders>
              <w:bottom w:val="single" w:sz="8" w:space="0" w:color="000000"/>
            </w:tcBorders>
            <w:shd w:fill="FFFFFF" w:val="clear"/>
            <w:tcMar>
              <w:bottom w:w="28" w:type="dxa"/>
            </w:tcMar>
            <w:vAlign w:val="bottom"/>
          </w:tcPr>
          <w:p>
            <w:pPr>
              <w:pStyle w:val="TableContents"/>
              <w:spacing w:before="0" w:after="283"/>
              <w:rPr/>
            </w:pPr>
            <w:r>
              <w:rPr/>
              <w:t xml:space="preserve">​ </w:t>
            </w:r>
          </w:p>
        </w:tc>
        <w:tc>
          <w:tcPr>
            <w:tcW w:w="835" w:type="dxa"/>
            <w:tcBorders>
              <w:bottom w:val="single" w:sz="8" w:space="0" w:color="000000"/>
            </w:tcBorders>
            <w:shd w:fill="FFFFFF" w:val="clear"/>
            <w:tcMar>
              <w:bottom w:w="28" w:type="dxa"/>
            </w:tcMar>
            <w:vAlign w:val="bottom"/>
          </w:tcPr>
          <w:p>
            <w:pPr>
              <w:pStyle w:val="TableContents"/>
              <w:spacing w:before="0" w:after="283"/>
              <w:jc w:val="right"/>
              <w:rPr/>
            </w:pPr>
            <w:r>
              <w:rPr/>
              <w:t xml:space="preserve">​ </w:t>
            </w:r>
          </w:p>
        </w:tc>
        <w:tc>
          <w:tcPr>
            <w:tcW w:w="146" w:type="dxa"/>
            <w:tcBorders/>
            <w:shd w:fill="FFFFFF" w:val="clear"/>
            <w:vAlign w:val="bottom"/>
          </w:tcPr>
          <w:p>
            <w:pPr>
              <w:pStyle w:val="TableContents"/>
              <w:spacing w:before="0" w:after="283"/>
              <w:rPr/>
            </w:pPr>
            <w:r>
              <w:rPr/>
              <w:t>​</w:t>
            </w:r>
          </w:p>
        </w:tc>
        <w:tc>
          <w:tcPr>
            <w:tcW w:w="95" w:type="dxa"/>
            <w:tcBorders>
              <w:bottom w:val="single" w:sz="8" w:space="0" w:color="000000"/>
            </w:tcBorders>
            <w:shd w:fill="FFFFFF" w:val="clear"/>
            <w:tcMar>
              <w:bottom w:w="28" w:type="dxa"/>
            </w:tcMar>
            <w:vAlign w:val="bottom"/>
          </w:tcPr>
          <w:p>
            <w:pPr>
              <w:pStyle w:val="TableContents"/>
              <w:spacing w:before="0" w:after="283"/>
              <w:rPr/>
            </w:pPr>
            <w:r>
              <w:rPr/>
              <w:t xml:space="preserve">​ </w:t>
            </w:r>
          </w:p>
        </w:tc>
        <w:tc>
          <w:tcPr>
            <w:tcW w:w="835" w:type="dxa"/>
            <w:tcBorders>
              <w:bottom w:val="single" w:sz="8" w:space="0" w:color="000000"/>
            </w:tcBorders>
            <w:shd w:fill="FFFFFF" w:val="clear"/>
            <w:tcMar>
              <w:bottom w:w="28" w:type="dxa"/>
            </w:tcMar>
            <w:vAlign w:val="bottom"/>
          </w:tcPr>
          <w:p>
            <w:pPr>
              <w:pStyle w:val="TableContents"/>
              <w:spacing w:before="0" w:after="283"/>
              <w:jc w:val="right"/>
              <w:rPr/>
            </w:pPr>
            <w:r>
              <w:rPr/>
              <w:t xml:space="preserve">​ </w:t>
            </w:r>
          </w:p>
        </w:tc>
        <w:tc>
          <w:tcPr>
            <w:tcW w:w="146" w:type="dxa"/>
            <w:tcBorders/>
            <w:shd w:fill="FFFFFF" w:val="clear"/>
            <w:vAlign w:val="bottom"/>
          </w:tcPr>
          <w:p>
            <w:pPr>
              <w:pStyle w:val="TableContents"/>
              <w:spacing w:before="0" w:after="283"/>
              <w:rPr/>
            </w:pPr>
            <w:r>
              <w:rPr/>
              <w:t>​</w:t>
            </w:r>
          </w:p>
        </w:tc>
        <w:tc>
          <w:tcPr>
            <w:tcW w:w="95" w:type="dxa"/>
            <w:tcBorders>
              <w:bottom w:val="single" w:sz="8" w:space="0" w:color="000000"/>
            </w:tcBorders>
            <w:shd w:fill="FFFFFF" w:val="clear"/>
            <w:tcMar>
              <w:bottom w:w="28" w:type="dxa"/>
            </w:tcMar>
            <w:vAlign w:val="bottom"/>
          </w:tcPr>
          <w:p>
            <w:pPr>
              <w:pStyle w:val="TableContents"/>
              <w:spacing w:before="0" w:after="283"/>
              <w:rPr/>
            </w:pPr>
            <w:r>
              <w:rPr/>
              <w:t xml:space="preserve">​ </w:t>
            </w:r>
          </w:p>
        </w:tc>
        <w:tc>
          <w:tcPr>
            <w:tcW w:w="835" w:type="dxa"/>
            <w:tcBorders>
              <w:bottom w:val="single" w:sz="8" w:space="0" w:color="000000"/>
            </w:tcBorders>
            <w:shd w:fill="FFFFFF" w:val="clear"/>
            <w:tcMar>
              <w:bottom w:w="28" w:type="dxa"/>
            </w:tcMar>
            <w:vAlign w:val="bottom"/>
          </w:tcPr>
          <w:p>
            <w:pPr>
              <w:pStyle w:val="TableContents"/>
              <w:spacing w:before="0" w:after="283"/>
              <w:jc w:val="right"/>
              <w:rPr/>
            </w:pPr>
            <w:r>
              <w:rPr/>
              <w:t xml:space="preserve">​ </w:t>
            </w:r>
          </w:p>
        </w:tc>
        <w:tc>
          <w:tcPr>
            <w:tcW w:w="146" w:type="dxa"/>
            <w:tcBorders/>
            <w:shd w:fill="FFFFFF" w:val="clear"/>
            <w:vAlign w:val="bottom"/>
          </w:tcPr>
          <w:p>
            <w:pPr>
              <w:pStyle w:val="TableContents"/>
              <w:spacing w:before="0" w:after="283"/>
              <w:rPr/>
            </w:pPr>
            <w:r>
              <w:rPr/>
              <w:t>​</w:t>
            </w:r>
          </w:p>
        </w:tc>
        <w:tc>
          <w:tcPr>
            <w:tcW w:w="95" w:type="dxa"/>
            <w:tcBorders>
              <w:bottom w:val="single" w:sz="8" w:space="0" w:color="000000"/>
            </w:tcBorders>
            <w:shd w:fill="FFFFFF" w:val="clear"/>
            <w:tcMar>
              <w:bottom w:w="28" w:type="dxa"/>
            </w:tcMar>
            <w:vAlign w:val="bottom"/>
          </w:tcPr>
          <w:p>
            <w:pPr>
              <w:pStyle w:val="TableContents"/>
              <w:spacing w:before="0" w:after="283"/>
              <w:rPr/>
            </w:pPr>
            <w:r>
              <w:rPr/>
              <w:t xml:space="preserve">​ </w:t>
            </w:r>
          </w:p>
        </w:tc>
        <w:tc>
          <w:tcPr>
            <w:tcW w:w="835" w:type="dxa"/>
            <w:tcBorders>
              <w:bottom w:val="single" w:sz="8" w:space="0" w:color="000000"/>
            </w:tcBorders>
            <w:shd w:fill="FFFFFF" w:val="clear"/>
            <w:tcMar>
              <w:bottom w:w="28" w:type="dxa"/>
            </w:tcMar>
            <w:vAlign w:val="bottom"/>
          </w:tcPr>
          <w:p>
            <w:pPr>
              <w:pStyle w:val="TableContents"/>
              <w:spacing w:before="0" w:after="283"/>
              <w:jc w:val="right"/>
              <w:rPr/>
            </w:pPr>
            <w:r>
              <w:rPr/>
              <w:t xml:space="preserve">​ </w:t>
            </w:r>
          </w:p>
        </w:tc>
        <w:tc>
          <w:tcPr>
            <w:tcW w:w="153" w:type="dxa"/>
            <w:tcBorders/>
            <w:shd w:fill="FFFFFF" w:val="clear"/>
            <w:vAlign w:val="bottom"/>
          </w:tcPr>
          <w:p>
            <w:pPr>
              <w:pStyle w:val="TableContents"/>
              <w:spacing w:before="0" w:after="283"/>
              <w:rPr/>
            </w:pPr>
            <w:r>
              <w:rPr/>
              <w:t>​</w:t>
            </w:r>
          </w:p>
        </w:tc>
      </w:tr>
      <w:tr>
        <w:trPr/>
        <w:tc>
          <w:tcPr>
            <w:tcW w:w="4674" w:type="dxa"/>
            <w:tcBorders/>
            <w:shd w:fill="auto" w:val="clear"/>
            <w:vAlign w:val="bottom"/>
          </w:tcPr>
          <w:p>
            <w:pPr>
              <w:pStyle w:val="TableContents"/>
              <w:spacing w:before="0" w:after="283"/>
              <w:ind w:left="140" w:right="0" w:hanging="140"/>
              <w:rPr>
                <w:rFonts w:ascii="times" w:hAnsi="times"/>
                <w:b/>
                <w:sz w:val="14"/>
              </w:rPr>
            </w:pPr>
            <w:r>
              <w:rPr>
                <w:rFonts w:ascii="times" w:hAnsi="times"/>
                <w:b/>
                <w:sz w:val="14"/>
              </w:rPr>
              <w:t>Distributable cash flow</w:t>
            </w:r>
          </w:p>
        </w:tc>
        <w:tc>
          <w:tcPr>
            <w:tcW w:w="144"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835" w:type="dxa"/>
            <w:tcBorders/>
            <w:shd w:fill="auto" w:val="clear"/>
            <w:vAlign w:val="bottom"/>
          </w:tcPr>
          <w:p>
            <w:pPr>
              <w:pStyle w:val="TableContents"/>
              <w:spacing w:before="0" w:after="283"/>
              <w:jc w:val="right"/>
              <w:rPr>
                <w:rFonts w:ascii="times" w:hAnsi="times"/>
                <w:b/>
                <w:sz w:val="14"/>
              </w:rPr>
            </w:pPr>
            <w:r>
              <w:rPr>
                <w:rFonts w:ascii="times" w:hAnsi="times"/>
                <w:b/>
                <w:sz w:val="14"/>
              </w:rPr>
              <w:t>83,660</w:t>
            </w:r>
          </w:p>
        </w:tc>
        <w:tc>
          <w:tcPr>
            <w:tcW w:w="146"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835" w:type="dxa"/>
            <w:tcBorders/>
            <w:shd w:fill="auto" w:val="clear"/>
            <w:vAlign w:val="bottom"/>
          </w:tcPr>
          <w:p>
            <w:pPr>
              <w:pStyle w:val="TableContents"/>
              <w:spacing w:before="0" w:after="283"/>
              <w:jc w:val="right"/>
              <w:rPr>
                <w:rFonts w:ascii="times" w:hAnsi="times"/>
                <w:b/>
                <w:sz w:val="14"/>
              </w:rPr>
            </w:pPr>
            <w:r>
              <w:rPr>
                <w:rFonts w:ascii="times" w:hAnsi="times"/>
                <w:b/>
                <w:sz w:val="14"/>
              </w:rPr>
              <w:t>100,551</w:t>
            </w:r>
          </w:p>
        </w:tc>
        <w:tc>
          <w:tcPr>
            <w:tcW w:w="146"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835" w:type="dxa"/>
            <w:tcBorders/>
            <w:shd w:fill="auto" w:val="clear"/>
            <w:vAlign w:val="bottom"/>
          </w:tcPr>
          <w:p>
            <w:pPr>
              <w:pStyle w:val="TableContents"/>
              <w:spacing w:before="0" w:after="283"/>
              <w:jc w:val="right"/>
              <w:rPr>
                <w:rFonts w:ascii="times" w:hAnsi="times"/>
                <w:b/>
                <w:sz w:val="14"/>
              </w:rPr>
            </w:pPr>
            <w:r>
              <w:rPr>
                <w:rFonts w:ascii="times" w:hAnsi="times"/>
                <w:b/>
                <w:sz w:val="14"/>
              </w:rPr>
              <w:t>108,945</w:t>
            </w:r>
          </w:p>
        </w:tc>
        <w:tc>
          <w:tcPr>
            <w:tcW w:w="146"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835" w:type="dxa"/>
            <w:tcBorders/>
            <w:shd w:fill="auto" w:val="clear"/>
            <w:vAlign w:val="bottom"/>
          </w:tcPr>
          <w:p>
            <w:pPr>
              <w:pStyle w:val="TableContents"/>
              <w:spacing w:before="0" w:after="283"/>
              <w:jc w:val="right"/>
              <w:rPr>
                <w:rFonts w:ascii="times" w:hAnsi="times"/>
                <w:b/>
                <w:sz w:val="14"/>
              </w:rPr>
            </w:pPr>
            <w:r>
              <w:rPr>
                <w:rFonts w:ascii="times" w:hAnsi="times"/>
                <w:b/>
                <w:sz w:val="14"/>
              </w:rPr>
              <w:t>123,108</w:t>
            </w:r>
          </w:p>
        </w:tc>
        <w:tc>
          <w:tcPr>
            <w:tcW w:w="146"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835" w:type="dxa"/>
            <w:tcBorders/>
            <w:shd w:fill="auto" w:val="clear"/>
            <w:vAlign w:val="bottom"/>
          </w:tcPr>
          <w:p>
            <w:pPr>
              <w:pStyle w:val="TableContents"/>
              <w:spacing w:before="0" w:after="283"/>
              <w:jc w:val="right"/>
              <w:rPr>
                <w:rFonts w:ascii="times" w:hAnsi="times"/>
                <w:b/>
                <w:sz w:val="14"/>
              </w:rPr>
            </w:pPr>
            <w:r>
              <w:rPr>
                <w:rFonts w:ascii="times" w:hAnsi="times"/>
                <w:b/>
                <w:sz w:val="14"/>
              </w:rPr>
              <w:t>91,241</w:t>
            </w:r>
          </w:p>
        </w:tc>
        <w:tc>
          <w:tcPr>
            <w:tcW w:w="153" w:type="dxa"/>
            <w:tcBorders/>
            <w:shd w:fill="auto" w:val="clear"/>
            <w:vAlign w:val="bottom"/>
          </w:tcPr>
          <w:p>
            <w:pPr>
              <w:pStyle w:val="TableContents"/>
              <w:spacing w:before="0" w:after="283"/>
              <w:rPr/>
            </w:pPr>
            <w:r>
              <w:rPr/>
              <w:t> </w:t>
            </w:r>
          </w:p>
        </w:tc>
      </w:tr>
      <w:tr>
        <w:trPr/>
        <w:tc>
          <w:tcPr>
            <w:tcW w:w="4674" w:type="dxa"/>
            <w:tcBorders/>
            <w:shd w:fill="FFFFFF" w:val="clear"/>
            <w:vAlign w:val="bottom"/>
          </w:tcPr>
          <w:p>
            <w:pPr>
              <w:pStyle w:val="TableContents"/>
              <w:spacing w:before="0" w:after="283"/>
              <w:rPr/>
            </w:pPr>
            <w:r>
              <w:rPr/>
              <w:t>​</w:t>
            </w:r>
          </w:p>
        </w:tc>
        <w:tc>
          <w:tcPr>
            <w:tcW w:w="144" w:type="dxa"/>
            <w:tcBorders/>
            <w:shd w:fill="FFFFFF" w:val="clear"/>
            <w:vAlign w:val="bottom"/>
          </w:tcPr>
          <w:p>
            <w:pPr>
              <w:pStyle w:val="TableContents"/>
              <w:spacing w:before="0" w:after="283"/>
              <w:rPr/>
            </w:pPr>
            <w:r>
              <w:rPr/>
              <w:t>​</w:t>
            </w:r>
          </w:p>
        </w:tc>
        <w:tc>
          <w:tcPr>
            <w:tcW w:w="95" w:type="dxa"/>
            <w:tcBorders>
              <w:bottom w:val="single" w:sz="8" w:space="0" w:color="000000"/>
            </w:tcBorders>
            <w:shd w:fill="FFFFFF" w:val="clear"/>
            <w:tcMar>
              <w:bottom w:w="28" w:type="dxa"/>
            </w:tcMar>
            <w:vAlign w:val="bottom"/>
          </w:tcPr>
          <w:p>
            <w:pPr>
              <w:pStyle w:val="TableContents"/>
              <w:spacing w:before="0" w:after="283"/>
              <w:rPr/>
            </w:pPr>
            <w:r>
              <w:rPr/>
              <w:t xml:space="preserve">​ </w:t>
            </w:r>
          </w:p>
        </w:tc>
        <w:tc>
          <w:tcPr>
            <w:tcW w:w="835" w:type="dxa"/>
            <w:tcBorders>
              <w:bottom w:val="single" w:sz="8" w:space="0" w:color="000000"/>
            </w:tcBorders>
            <w:shd w:fill="FFFFFF" w:val="clear"/>
            <w:tcMar>
              <w:bottom w:w="28" w:type="dxa"/>
            </w:tcMar>
            <w:vAlign w:val="bottom"/>
          </w:tcPr>
          <w:p>
            <w:pPr>
              <w:pStyle w:val="TableContents"/>
              <w:spacing w:before="0" w:after="283"/>
              <w:jc w:val="right"/>
              <w:rPr/>
            </w:pPr>
            <w:r>
              <w:rPr/>
              <w:t xml:space="preserve">​ </w:t>
            </w:r>
          </w:p>
        </w:tc>
        <w:tc>
          <w:tcPr>
            <w:tcW w:w="146" w:type="dxa"/>
            <w:tcBorders/>
            <w:shd w:fill="FFFFFF" w:val="clear"/>
            <w:vAlign w:val="bottom"/>
          </w:tcPr>
          <w:p>
            <w:pPr>
              <w:pStyle w:val="TableContents"/>
              <w:spacing w:before="0" w:after="283"/>
              <w:rPr/>
            </w:pPr>
            <w:r>
              <w:rPr/>
              <w:t>​</w:t>
            </w:r>
          </w:p>
        </w:tc>
        <w:tc>
          <w:tcPr>
            <w:tcW w:w="95" w:type="dxa"/>
            <w:tcBorders>
              <w:bottom w:val="single" w:sz="8" w:space="0" w:color="000000"/>
            </w:tcBorders>
            <w:shd w:fill="FFFFFF" w:val="clear"/>
            <w:tcMar>
              <w:bottom w:w="28" w:type="dxa"/>
            </w:tcMar>
            <w:vAlign w:val="bottom"/>
          </w:tcPr>
          <w:p>
            <w:pPr>
              <w:pStyle w:val="TableContents"/>
              <w:spacing w:before="0" w:after="283"/>
              <w:rPr/>
            </w:pPr>
            <w:r>
              <w:rPr/>
              <w:t xml:space="preserve">​ </w:t>
            </w:r>
          </w:p>
        </w:tc>
        <w:tc>
          <w:tcPr>
            <w:tcW w:w="835" w:type="dxa"/>
            <w:tcBorders>
              <w:bottom w:val="single" w:sz="8" w:space="0" w:color="000000"/>
            </w:tcBorders>
            <w:shd w:fill="FFFFFF" w:val="clear"/>
            <w:tcMar>
              <w:bottom w:w="28" w:type="dxa"/>
            </w:tcMar>
            <w:vAlign w:val="bottom"/>
          </w:tcPr>
          <w:p>
            <w:pPr>
              <w:pStyle w:val="TableContents"/>
              <w:spacing w:before="0" w:after="283"/>
              <w:jc w:val="right"/>
              <w:rPr/>
            </w:pPr>
            <w:r>
              <w:rPr/>
              <w:t xml:space="preserve">​ </w:t>
            </w:r>
          </w:p>
        </w:tc>
        <w:tc>
          <w:tcPr>
            <w:tcW w:w="146" w:type="dxa"/>
            <w:tcBorders/>
            <w:shd w:fill="FFFFFF" w:val="clear"/>
            <w:vAlign w:val="bottom"/>
          </w:tcPr>
          <w:p>
            <w:pPr>
              <w:pStyle w:val="TableContents"/>
              <w:spacing w:before="0" w:after="283"/>
              <w:rPr/>
            </w:pPr>
            <w:r>
              <w:rPr/>
              <w:t>​</w:t>
            </w:r>
          </w:p>
        </w:tc>
        <w:tc>
          <w:tcPr>
            <w:tcW w:w="95" w:type="dxa"/>
            <w:tcBorders>
              <w:bottom w:val="single" w:sz="8" w:space="0" w:color="000000"/>
            </w:tcBorders>
            <w:shd w:fill="FFFFFF" w:val="clear"/>
            <w:tcMar>
              <w:bottom w:w="28" w:type="dxa"/>
            </w:tcMar>
            <w:vAlign w:val="bottom"/>
          </w:tcPr>
          <w:p>
            <w:pPr>
              <w:pStyle w:val="TableContents"/>
              <w:spacing w:before="0" w:after="283"/>
              <w:rPr/>
            </w:pPr>
            <w:r>
              <w:rPr/>
              <w:t xml:space="preserve">​ </w:t>
            </w:r>
          </w:p>
        </w:tc>
        <w:tc>
          <w:tcPr>
            <w:tcW w:w="835" w:type="dxa"/>
            <w:tcBorders>
              <w:bottom w:val="single" w:sz="8" w:space="0" w:color="000000"/>
            </w:tcBorders>
            <w:shd w:fill="FFFFFF" w:val="clear"/>
            <w:tcMar>
              <w:bottom w:w="28" w:type="dxa"/>
            </w:tcMar>
            <w:vAlign w:val="bottom"/>
          </w:tcPr>
          <w:p>
            <w:pPr>
              <w:pStyle w:val="TableContents"/>
              <w:spacing w:before="0" w:after="283"/>
              <w:jc w:val="right"/>
              <w:rPr/>
            </w:pPr>
            <w:r>
              <w:rPr/>
              <w:t xml:space="preserve">​ </w:t>
            </w:r>
          </w:p>
        </w:tc>
        <w:tc>
          <w:tcPr>
            <w:tcW w:w="146" w:type="dxa"/>
            <w:tcBorders/>
            <w:shd w:fill="FFFFFF" w:val="clear"/>
            <w:vAlign w:val="bottom"/>
          </w:tcPr>
          <w:p>
            <w:pPr>
              <w:pStyle w:val="TableContents"/>
              <w:spacing w:before="0" w:after="283"/>
              <w:rPr/>
            </w:pPr>
            <w:r>
              <w:rPr/>
              <w:t>​</w:t>
            </w:r>
          </w:p>
        </w:tc>
        <w:tc>
          <w:tcPr>
            <w:tcW w:w="95" w:type="dxa"/>
            <w:tcBorders>
              <w:bottom w:val="single" w:sz="8" w:space="0" w:color="000000"/>
            </w:tcBorders>
            <w:shd w:fill="FFFFFF" w:val="clear"/>
            <w:tcMar>
              <w:bottom w:w="28" w:type="dxa"/>
            </w:tcMar>
            <w:vAlign w:val="bottom"/>
          </w:tcPr>
          <w:p>
            <w:pPr>
              <w:pStyle w:val="TableContents"/>
              <w:spacing w:before="0" w:after="283"/>
              <w:rPr/>
            </w:pPr>
            <w:r>
              <w:rPr/>
              <w:t xml:space="preserve">​ </w:t>
            </w:r>
          </w:p>
        </w:tc>
        <w:tc>
          <w:tcPr>
            <w:tcW w:w="835" w:type="dxa"/>
            <w:tcBorders>
              <w:bottom w:val="single" w:sz="8" w:space="0" w:color="000000"/>
            </w:tcBorders>
            <w:shd w:fill="FFFFFF" w:val="clear"/>
            <w:tcMar>
              <w:bottom w:w="28" w:type="dxa"/>
            </w:tcMar>
            <w:vAlign w:val="bottom"/>
          </w:tcPr>
          <w:p>
            <w:pPr>
              <w:pStyle w:val="TableContents"/>
              <w:spacing w:before="0" w:after="283"/>
              <w:jc w:val="right"/>
              <w:rPr/>
            </w:pPr>
            <w:r>
              <w:rPr/>
              <w:t xml:space="preserve">​ </w:t>
            </w:r>
          </w:p>
        </w:tc>
        <w:tc>
          <w:tcPr>
            <w:tcW w:w="146" w:type="dxa"/>
            <w:tcBorders/>
            <w:shd w:fill="FFFFFF" w:val="clear"/>
            <w:vAlign w:val="bottom"/>
          </w:tcPr>
          <w:p>
            <w:pPr>
              <w:pStyle w:val="TableContents"/>
              <w:spacing w:before="0" w:after="283"/>
              <w:rPr/>
            </w:pPr>
            <w:r>
              <w:rPr/>
              <w:t>​</w:t>
            </w:r>
          </w:p>
        </w:tc>
        <w:tc>
          <w:tcPr>
            <w:tcW w:w="95" w:type="dxa"/>
            <w:tcBorders>
              <w:bottom w:val="single" w:sz="8" w:space="0" w:color="000000"/>
            </w:tcBorders>
            <w:shd w:fill="FFFFFF" w:val="clear"/>
            <w:tcMar>
              <w:bottom w:w="28" w:type="dxa"/>
            </w:tcMar>
            <w:vAlign w:val="bottom"/>
          </w:tcPr>
          <w:p>
            <w:pPr>
              <w:pStyle w:val="TableContents"/>
              <w:spacing w:before="0" w:after="283"/>
              <w:rPr/>
            </w:pPr>
            <w:r>
              <w:rPr/>
              <w:t xml:space="preserve">​ </w:t>
            </w:r>
          </w:p>
        </w:tc>
        <w:tc>
          <w:tcPr>
            <w:tcW w:w="835" w:type="dxa"/>
            <w:tcBorders>
              <w:bottom w:val="single" w:sz="8" w:space="0" w:color="000000"/>
            </w:tcBorders>
            <w:shd w:fill="FFFFFF" w:val="clear"/>
            <w:tcMar>
              <w:bottom w:w="28" w:type="dxa"/>
            </w:tcMar>
            <w:vAlign w:val="bottom"/>
          </w:tcPr>
          <w:p>
            <w:pPr>
              <w:pStyle w:val="TableContents"/>
              <w:spacing w:before="0" w:after="283"/>
              <w:jc w:val="right"/>
              <w:rPr/>
            </w:pPr>
            <w:r>
              <w:rPr/>
              <w:t xml:space="preserve">​ </w:t>
            </w:r>
          </w:p>
        </w:tc>
        <w:tc>
          <w:tcPr>
            <w:tcW w:w="153" w:type="dxa"/>
            <w:tcBorders/>
            <w:shd w:fill="FFFFFF" w:val="clear"/>
            <w:vAlign w:val="bottom"/>
          </w:tcPr>
          <w:p>
            <w:pPr>
              <w:pStyle w:val="TableContents"/>
              <w:spacing w:before="0" w:after="283"/>
              <w:rPr/>
            </w:pPr>
            <w:r>
              <w:rPr/>
              <w:t>​</w:t>
            </w:r>
          </w:p>
        </w:tc>
      </w:tr>
      <w:tr>
        <w:trPr/>
        <w:tc>
          <w:tcPr>
            <w:tcW w:w="4674" w:type="dxa"/>
            <w:tcBorders/>
            <w:shd w:fill="auto" w:val="clear"/>
            <w:vAlign w:val="bottom"/>
          </w:tcPr>
          <w:p>
            <w:pPr>
              <w:pStyle w:val="TableContents"/>
              <w:spacing w:before="0" w:after="283"/>
              <w:ind w:left="140" w:right="0" w:hanging="140"/>
              <w:rPr>
                <w:rFonts w:ascii="times" w:hAnsi="times"/>
              </w:rPr>
            </w:pPr>
            <w:r>
              <w:rPr>
                <w:rFonts w:ascii="times" w:hAnsi="times"/>
                <w:sz w:val="14"/>
              </w:rPr>
              <w:t>Other reserves</w:t>
            </w:r>
            <w:r>
              <w:rPr>
                <w:rFonts w:ascii="times" w:hAnsi="times"/>
                <w:b/>
                <w:sz w:val="14"/>
              </w:rPr>
              <w:t>***</w:t>
            </w:r>
          </w:p>
        </w:tc>
        <w:tc>
          <w:tcPr>
            <w:tcW w:w="144"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835" w:type="dxa"/>
            <w:tcBorders/>
            <w:shd w:fill="auto" w:val="clear"/>
            <w:vAlign w:val="bottom"/>
          </w:tcPr>
          <w:p>
            <w:pPr>
              <w:pStyle w:val="TableContents"/>
              <w:spacing w:before="0" w:after="283"/>
              <w:jc w:val="right"/>
              <w:rPr>
                <w:rFonts w:ascii="times" w:hAnsi="times"/>
                <w:sz w:val="14"/>
              </w:rPr>
            </w:pPr>
            <w:r>
              <w:rPr>
                <w:rFonts w:ascii="times" w:hAnsi="times"/>
                <w:sz w:val="14"/>
              </w:rPr>
              <w:t>(14,244</w:t>
            </w:r>
          </w:p>
        </w:tc>
        <w:tc>
          <w:tcPr>
            <w:tcW w:w="146" w:type="dxa"/>
            <w:tcBorders/>
            <w:shd w:fill="auto" w:val="clear"/>
            <w:vAlign w:val="bottom"/>
          </w:tcPr>
          <w:p>
            <w:pPr>
              <w:pStyle w:val="TableContents"/>
              <w:spacing w:before="0" w:after="283"/>
              <w:rPr>
                <w:rFonts w:ascii="times" w:hAnsi="times"/>
                <w:sz w:val="14"/>
              </w:rPr>
            </w:pPr>
            <w:r>
              <w:rPr>
                <w:rFonts w:ascii="times" w:hAnsi="times"/>
                <w:sz w:val="14"/>
              </w:rPr>
              <w:t>)</w:t>
            </w:r>
          </w:p>
        </w:tc>
        <w:tc>
          <w:tcPr>
            <w:tcW w:w="95" w:type="dxa"/>
            <w:tcBorders/>
            <w:shd w:fill="auto" w:val="clear"/>
            <w:vAlign w:val="bottom"/>
          </w:tcPr>
          <w:p>
            <w:pPr>
              <w:pStyle w:val="TableContents"/>
              <w:spacing w:before="0" w:after="283"/>
              <w:rPr/>
            </w:pPr>
            <w:r>
              <w:rPr/>
              <w:t> </w:t>
            </w:r>
          </w:p>
        </w:tc>
        <w:tc>
          <w:tcPr>
            <w:tcW w:w="835" w:type="dxa"/>
            <w:tcBorders/>
            <w:shd w:fill="auto" w:val="clear"/>
            <w:vAlign w:val="bottom"/>
          </w:tcPr>
          <w:p>
            <w:pPr>
              <w:pStyle w:val="TableContents"/>
              <w:spacing w:before="0" w:after="283"/>
              <w:jc w:val="right"/>
              <w:rPr>
                <w:rFonts w:ascii="times" w:hAnsi="times"/>
                <w:sz w:val="14"/>
              </w:rPr>
            </w:pPr>
            <w:r>
              <w:rPr>
                <w:rFonts w:ascii="times" w:hAnsi="times"/>
                <w:sz w:val="14"/>
              </w:rPr>
              <w:t>(14,207</w:t>
            </w:r>
          </w:p>
        </w:tc>
        <w:tc>
          <w:tcPr>
            <w:tcW w:w="146" w:type="dxa"/>
            <w:tcBorders/>
            <w:shd w:fill="auto" w:val="clear"/>
            <w:vAlign w:val="bottom"/>
          </w:tcPr>
          <w:p>
            <w:pPr>
              <w:pStyle w:val="TableContents"/>
              <w:spacing w:before="0" w:after="283"/>
              <w:rPr>
                <w:rFonts w:ascii="times" w:hAnsi="times"/>
                <w:sz w:val="14"/>
              </w:rPr>
            </w:pPr>
            <w:r>
              <w:rPr>
                <w:rFonts w:ascii="times" w:hAnsi="times"/>
                <w:sz w:val="14"/>
              </w:rPr>
              <w:t>)</w:t>
            </w:r>
          </w:p>
        </w:tc>
        <w:tc>
          <w:tcPr>
            <w:tcW w:w="95" w:type="dxa"/>
            <w:tcBorders/>
            <w:shd w:fill="auto" w:val="clear"/>
            <w:vAlign w:val="bottom"/>
          </w:tcPr>
          <w:p>
            <w:pPr>
              <w:pStyle w:val="TableContents"/>
              <w:spacing w:before="0" w:after="283"/>
              <w:rPr/>
            </w:pPr>
            <w:r>
              <w:rPr/>
              <w:t> </w:t>
            </w:r>
          </w:p>
        </w:tc>
        <w:tc>
          <w:tcPr>
            <w:tcW w:w="835" w:type="dxa"/>
            <w:tcBorders/>
            <w:shd w:fill="auto" w:val="clear"/>
            <w:vAlign w:val="bottom"/>
          </w:tcPr>
          <w:p>
            <w:pPr>
              <w:pStyle w:val="TableContents"/>
              <w:spacing w:before="0" w:after="283"/>
              <w:jc w:val="right"/>
              <w:rPr>
                <w:rFonts w:ascii="times" w:hAnsi="times"/>
                <w:sz w:val="14"/>
              </w:rPr>
            </w:pPr>
            <w:r>
              <w:rPr>
                <w:rFonts w:ascii="times" w:hAnsi="times"/>
                <w:sz w:val="14"/>
              </w:rPr>
              <w:t>(7,756</w:t>
            </w:r>
          </w:p>
        </w:tc>
        <w:tc>
          <w:tcPr>
            <w:tcW w:w="146" w:type="dxa"/>
            <w:tcBorders/>
            <w:shd w:fill="auto" w:val="clear"/>
            <w:vAlign w:val="bottom"/>
          </w:tcPr>
          <w:p>
            <w:pPr>
              <w:pStyle w:val="TableContents"/>
              <w:spacing w:before="0" w:after="283"/>
              <w:rPr>
                <w:rFonts w:ascii="times" w:hAnsi="times"/>
                <w:sz w:val="14"/>
              </w:rPr>
            </w:pPr>
            <w:r>
              <w:rPr>
                <w:rFonts w:ascii="times" w:hAnsi="times"/>
                <w:sz w:val="14"/>
              </w:rPr>
              <w:t>)</w:t>
            </w:r>
          </w:p>
        </w:tc>
        <w:tc>
          <w:tcPr>
            <w:tcW w:w="95" w:type="dxa"/>
            <w:tcBorders/>
            <w:shd w:fill="auto" w:val="clear"/>
            <w:vAlign w:val="bottom"/>
          </w:tcPr>
          <w:p>
            <w:pPr>
              <w:pStyle w:val="TableContents"/>
              <w:spacing w:before="0" w:after="283"/>
              <w:rPr/>
            </w:pPr>
            <w:r>
              <w:rPr/>
              <w:t> </w:t>
            </w:r>
          </w:p>
        </w:tc>
        <w:tc>
          <w:tcPr>
            <w:tcW w:w="835" w:type="dxa"/>
            <w:tcBorders/>
            <w:shd w:fill="auto" w:val="clear"/>
            <w:vAlign w:val="bottom"/>
          </w:tcPr>
          <w:p>
            <w:pPr>
              <w:pStyle w:val="TableContents"/>
              <w:spacing w:before="0" w:after="283"/>
              <w:jc w:val="right"/>
              <w:rPr>
                <w:rFonts w:ascii="times" w:hAnsi="times"/>
                <w:sz w:val="14"/>
              </w:rPr>
            </w:pPr>
            <w:r>
              <w:rPr>
                <w:rFonts w:ascii="times" w:hAnsi="times"/>
                <w:sz w:val="14"/>
              </w:rPr>
              <w:t>(16,258</w:t>
            </w:r>
          </w:p>
        </w:tc>
        <w:tc>
          <w:tcPr>
            <w:tcW w:w="146" w:type="dxa"/>
            <w:tcBorders/>
            <w:shd w:fill="auto" w:val="clear"/>
            <w:vAlign w:val="bottom"/>
          </w:tcPr>
          <w:p>
            <w:pPr>
              <w:pStyle w:val="TableContents"/>
              <w:spacing w:before="0" w:after="283"/>
              <w:rPr>
                <w:rFonts w:ascii="times" w:hAnsi="times"/>
                <w:sz w:val="14"/>
              </w:rPr>
            </w:pPr>
            <w:r>
              <w:rPr>
                <w:rFonts w:ascii="times" w:hAnsi="times"/>
                <w:sz w:val="14"/>
              </w:rPr>
              <w:t>)</w:t>
            </w:r>
          </w:p>
        </w:tc>
        <w:tc>
          <w:tcPr>
            <w:tcW w:w="95" w:type="dxa"/>
            <w:tcBorders/>
            <w:shd w:fill="auto" w:val="clear"/>
            <w:vAlign w:val="bottom"/>
          </w:tcPr>
          <w:p>
            <w:pPr>
              <w:pStyle w:val="TableContents"/>
              <w:spacing w:before="0" w:after="283"/>
              <w:rPr/>
            </w:pPr>
            <w:r>
              <w:rPr/>
              <w:t> </w:t>
            </w:r>
          </w:p>
        </w:tc>
        <w:tc>
          <w:tcPr>
            <w:tcW w:w="835" w:type="dxa"/>
            <w:tcBorders/>
            <w:shd w:fill="auto" w:val="clear"/>
            <w:vAlign w:val="bottom"/>
          </w:tcPr>
          <w:p>
            <w:pPr>
              <w:pStyle w:val="TableContents"/>
              <w:spacing w:before="0" w:after="283"/>
              <w:jc w:val="right"/>
              <w:rPr>
                <w:rFonts w:ascii="times" w:hAnsi="times"/>
                <w:sz w:val="14"/>
              </w:rPr>
            </w:pPr>
            <w:r>
              <w:rPr>
                <w:rFonts w:ascii="times" w:hAnsi="times"/>
                <w:sz w:val="14"/>
              </w:rPr>
              <w:t>(78,282</w:t>
            </w:r>
          </w:p>
        </w:tc>
        <w:tc>
          <w:tcPr>
            <w:tcW w:w="153" w:type="dxa"/>
            <w:tcBorders/>
            <w:shd w:fill="auto" w:val="clear"/>
            <w:vAlign w:val="bottom"/>
          </w:tcPr>
          <w:p>
            <w:pPr>
              <w:pStyle w:val="TableContents"/>
              <w:spacing w:before="0" w:after="283"/>
              <w:rPr>
                <w:rFonts w:ascii="times" w:hAnsi="times"/>
                <w:sz w:val="14"/>
              </w:rPr>
            </w:pPr>
            <w:r>
              <w:rPr>
                <w:rFonts w:ascii="times" w:hAnsi="times"/>
                <w:sz w:val="14"/>
              </w:rPr>
              <w:t xml:space="preserve">) </w:t>
            </w:r>
          </w:p>
        </w:tc>
      </w:tr>
      <w:tr>
        <w:trPr/>
        <w:tc>
          <w:tcPr>
            <w:tcW w:w="4674" w:type="dxa"/>
            <w:tcBorders/>
            <w:shd w:fill="FFFFFF" w:val="clear"/>
            <w:vAlign w:val="bottom"/>
          </w:tcPr>
          <w:p>
            <w:pPr>
              <w:pStyle w:val="TableContents"/>
              <w:spacing w:before="0" w:after="283"/>
              <w:rPr/>
            </w:pPr>
            <w:r>
              <w:rPr/>
              <w:t>​</w:t>
            </w:r>
          </w:p>
        </w:tc>
        <w:tc>
          <w:tcPr>
            <w:tcW w:w="144" w:type="dxa"/>
            <w:tcBorders/>
            <w:shd w:fill="FFFFFF" w:val="clear"/>
            <w:vAlign w:val="bottom"/>
          </w:tcPr>
          <w:p>
            <w:pPr>
              <w:pStyle w:val="TableContents"/>
              <w:spacing w:before="0" w:after="283"/>
              <w:rPr/>
            </w:pPr>
            <w:r>
              <w:rPr/>
              <w:t>​</w:t>
            </w:r>
          </w:p>
        </w:tc>
        <w:tc>
          <w:tcPr>
            <w:tcW w:w="95" w:type="dxa"/>
            <w:tcBorders>
              <w:bottom w:val="single" w:sz="8" w:space="0" w:color="000000"/>
            </w:tcBorders>
            <w:shd w:fill="FFFFFF" w:val="clear"/>
            <w:tcMar>
              <w:bottom w:w="28" w:type="dxa"/>
            </w:tcMar>
            <w:vAlign w:val="bottom"/>
          </w:tcPr>
          <w:p>
            <w:pPr>
              <w:pStyle w:val="TableContents"/>
              <w:spacing w:before="0" w:after="283"/>
              <w:rPr/>
            </w:pPr>
            <w:r>
              <w:rPr/>
              <w:t xml:space="preserve">​ </w:t>
            </w:r>
          </w:p>
        </w:tc>
        <w:tc>
          <w:tcPr>
            <w:tcW w:w="835" w:type="dxa"/>
            <w:tcBorders>
              <w:bottom w:val="single" w:sz="8" w:space="0" w:color="000000"/>
            </w:tcBorders>
            <w:shd w:fill="FFFFFF" w:val="clear"/>
            <w:tcMar>
              <w:bottom w:w="28" w:type="dxa"/>
            </w:tcMar>
            <w:vAlign w:val="bottom"/>
          </w:tcPr>
          <w:p>
            <w:pPr>
              <w:pStyle w:val="TableContents"/>
              <w:spacing w:before="0" w:after="283"/>
              <w:jc w:val="right"/>
              <w:rPr/>
            </w:pPr>
            <w:r>
              <w:rPr/>
              <w:t xml:space="preserve">​ </w:t>
            </w:r>
          </w:p>
        </w:tc>
        <w:tc>
          <w:tcPr>
            <w:tcW w:w="146" w:type="dxa"/>
            <w:tcBorders/>
            <w:shd w:fill="FFFFFF" w:val="clear"/>
            <w:vAlign w:val="bottom"/>
          </w:tcPr>
          <w:p>
            <w:pPr>
              <w:pStyle w:val="TableContents"/>
              <w:spacing w:before="0" w:after="283"/>
              <w:rPr/>
            </w:pPr>
            <w:r>
              <w:rPr/>
              <w:t>​</w:t>
            </w:r>
          </w:p>
        </w:tc>
        <w:tc>
          <w:tcPr>
            <w:tcW w:w="95" w:type="dxa"/>
            <w:tcBorders>
              <w:bottom w:val="single" w:sz="8" w:space="0" w:color="000000"/>
            </w:tcBorders>
            <w:shd w:fill="FFFFFF" w:val="clear"/>
            <w:tcMar>
              <w:bottom w:w="28" w:type="dxa"/>
            </w:tcMar>
            <w:vAlign w:val="bottom"/>
          </w:tcPr>
          <w:p>
            <w:pPr>
              <w:pStyle w:val="TableContents"/>
              <w:spacing w:before="0" w:after="283"/>
              <w:rPr/>
            </w:pPr>
            <w:r>
              <w:rPr/>
              <w:t xml:space="preserve">​ </w:t>
            </w:r>
          </w:p>
        </w:tc>
        <w:tc>
          <w:tcPr>
            <w:tcW w:w="835" w:type="dxa"/>
            <w:tcBorders>
              <w:bottom w:val="single" w:sz="8" w:space="0" w:color="000000"/>
            </w:tcBorders>
            <w:shd w:fill="FFFFFF" w:val="clear"/>
            <w:tcMar>
              <w:bottom w:w="28" w:type="dxa"/>
            </w:tcMar>
            <w:vAlign w:val="bottom"/>
          </w:tcPr>
          <w:p>
            <w:pPr>
              <w:pStyle w:val="TableContents"/>
              <w:spacing w:before="0" w:after="283"/>
              <w:jc w:val="right"/>
              <w:rPr/>
            </w:pPr>
            <w:r>
              <w:rPr/>
              <w:t xml:space="preserve">​ </w:t>
            </w:r>
          </w:p>
        </w:tc>
        <w:tc>
          <w:tcPr>
            <w:tcW w:w="146" w:type="dxa"/>
            <w:tcBorders/>
            <w:shd w:fill="FFFFFF" w:val="clear"/>
            <w:vAlign w:val="bottom"/>
          </w:tcPr>
          <w:p>
            <w:pPr>
              <w:pStyle w:val="TableContents"/>
              <w:spacing w:before="0" w:after="283"/>
              <w:rPr/>
            </w:pPr>
            <w:r>
              <w:rPr/>
              <w:t>​</w:t>
            </w:r>
          </w:p>
        </w:tc>
        <w:tc>
          <w:tcPr>
            <w:tcW w:w="95" w:type="dxa"/>
            <w:tcBorders>
              <w:bottom w:val="single" w:sz="8" w:space="0" w:color="000000"/>
            </w:tcBorders>
            <w:shd w:fill="FFFFFF" w:val="clear"/>
            <w:tcMar>
              <w:bottom w:w="28" w:type="dxa"/>
            </w:tcMar>
            <w:vAlign w:val="bottom"/>
          </w:tcPr>
          <w:p>
            <w:pPr>
              <w:pStyle w:val="TableContents"/>
              <w:spacing w:before="0" w:after="283"/>
              <w:rPr/>
            </w:pPr>
            <w:r>
              <w:rPr/>
              <w:t xml:space="preserve">​ </w:t>
            </w:r>
          </w:p>
        </w:tc>
        <w:tc>
          <w:tcPr>
            <w:tcW w:w="835" w:type="dxa"/>
            <w:tcBorders>
              <w:bottom w:val="single" w:sz="8" w:space="0" w:color="000000"/>
            </w:tcBorders>
            <w:shd w:fill="FFFFFF" w:val="clear"/>
            <w:tcMar>
              <w:bottom w:w="28" w:type="dxa"/>
            </w:tcMar>
            <w:vAlign w:val="bottom"/>
          </w:tcPr>
          <w:p>
            <w:pPr>
              <w:pStyle w:val="TableContents"/>
              <w:spacing w:before="0" w:after="283"/>
              <w:jc w:val="right"/>
              <w:rPr/>
            </w:pPr>
            <w:r>
              <w:rPr/>
              <w:t xml:space="preserve">​ </w:t>
            </w:r>
          </w:p>
        </w:tc>
        <w:tc>
          <w:tcPr>
            <w:tcW w:w="146" w:type="dxa"/>
            <w:tcBorders/>
            <w:shd w:fill="FFFFFF" w:val="clear"/>
            <w:vAlign w:val="bottom"/>
          </w:tcPr>
          <w:p>
            <w:pPr>
              <w:pStyle w:val="TableContents"/>
              <w:spacing w:before="0" w:after="283"/>
              <w:rPr/>
            </w:pPr>
            <w:r>
              <w:rPr/>
              <w:t>​</w:t>
            </w:r>
          </w:p>
        </w:tc>
        <w:tc>
          <w:tcPr>
            <w:tcW w:w="95" w:type="dxa"/>
            <w:tcBorders>
              <w:bottom w:val="single" w:sz="8" w:space="0" w:color="000000"/>
            </w:tcBorders>
            <w:shd w:fill="FFFFFF" w:val="clear"/>
            <w:tcMar>
              <w:bottom w:w="28" w:type="dxa"/>
            </w:tcMar>
            <w:vAlign w:val="bottom"/>
          </w:tcPr>
          <w:p>
            <w:pPr>
              <w:pStyle w:val="TableContents"/>
              <w:spacing w:before="0" w:after="283"/>
              <w:rPr/>
            </w:pPr>
            <w:r>
              <w:rPr/>
              <w:t xml:space="preserve">​ </w:t>
            </w:r>
          </w:p>
        </w:tc>
        <w:tc>
          <w:tcPr>
            <w:tcW w:w="835" w:type="dxa"/>
            <w:tcBorders>
              <w:bottom w:val="single" w:sz="8" w:space="0" w:color="000000"/>
            </w:tcBorders>
            <w:shd w:fill="FFFFFF" w:val="clear"/>
            <w:tcMar>
              <w:bottom w:w="28" w:type="dxa"/>
            </w:tcMar>
            <w:vAlign w:val="bottom"/>
          </w:tcPr>
          <w:p>
            <w:pPr>
              <w:pStyle w:val="TableContents"/>
              <w:spacing w:before="0" w:after="283"/>
              <w:jc w:val="right"/>
              <w:rPr/>
            </w:pPr>
            <w:r>
              <w:rPr/>
              <w:t xml:space="preserve">​ </w:t>
            </w:r>
          </w:p>
        </w:tc>
        <w:tc>
          <w:tcPr>
            <w:tcW w:w="146" w:type="dxa"/>
            <w:tcBorders/>
            <w:shd w:fill="FFFFFF" w:val="clear"/>
            <w:vAlign w:val="bottom"/>
          </w:tcPr>
          <w:p>
            <w:pPr>
              <w:pStyle w:val="TableContents"/>
              <w:spacing w:before="0" w:after="283"/>
              <w:rPr/>
            </w:pPr>
            <w:r>
              <w:rPr/>
              <w:t>​</w:t>
            </w:r>
          </w:p>
        </w:tc>
        <w:tc>
          <w:tcPr>
            <w:tcW w:w="95" w:type="dxa"/>
            <w:tcBorders>
              <w:bottom w:val="single" w:sz="8" w:space="0" w:color="000000"/>
            </w:tcBorders>
            <w:shd w:fill="FFFFFF" w:val="clear"/>
            <w:tcMar>
              <w:bottom w:w="28" w:type="dxa"/>
            </w:tcMar>
            <w:vAlign w:val="bottom"/>
          </w:tcPr>
          <w:p>
            <w:pPr>
              <w:pStyle w:val="TableContents"/>
              <w:spacing w:before="0" w:after="283"/>
              <w:rPr/>
            </w:pPr>
            <w:r>
              <w:rPr/>
              <w:t xml:space="preserve">​ </w:t>
            </w:r>
          </w:p>
        </w:tc>
        <w:tc>
          <w:tcPr>
            <w:tcW w:w="835" w:type="dxa"/>
            <w:tcBorders>
              <w:bottom w:val="single" w:sz="8" w:space="0" w:color="000000"/>
            </w:tcBorders>
            <w:shd w:fill="FFFFFF" w:val="clear"/>
            <w:tcMar>
              <w:bottom w:w="28" w:type="dxa"/>
            </w:tcMar>
            <w:vAlign w:val="bottom"/>
          </w:tcPr>
          <w:p>
            <w:pPr>
              <w:pStyle w:val="TableContents"/>
              <w:spacing w:before="0" w:after="283"/>
              <w:jc w:val="right"/>
              <w:rPr/>
            </w:pPr>
            <w:r>
              <w:rPr/>
              <w:t xml:space="preserve">​ </w:t>
            </w:r>
          </w:p>
        </w:tc>
        <w:tc>
          <w:tcPr>
            <w:tcW w:w="153" w:type="dxa"/>
            <w:tcBorders/>
            <w:shd w:fill="FFFFFF" w:val="clear"/>
            <w:vAlign w:val="bottom"/>
          </w:tcPr>
          <w:p>
            <w:pPr>
              <w:pStyle w:val="TableContents"/>
              <w:spacing w:before="0" w:after="283"/>
              <w:rPr/>
            </w:pPr>
            <w:r>
              <w:rPr/>
              <w:t>​</w:t>
            </w:r>
          </w:p>
        </w:tc>
      </w:tr>
      <w:tr>
        <w:trPr/>
        <w:tc>
          <w:tcPr>
            <w:tcW w:w="4674" w:type="dxa"/>
            <w:tcBorders/>
            <w:shd w:fill="auto" w:val="clear"/>
            <w:vAlign w:val="bottom"/>
          </w:tcPr>
          <w:p>
            <w:pPr>
              <w:pStyle w:val="TableContents"/>
              <w:spacing w:before="0" w:after="283"/>
              <w:ind w:left="140" w:right="0" w:hanging="140"/>
              <w:rPr>
                <w:rFonts w:ascii="times" w:hAnsi="times"/>
                <w:b/>
                <w:sz w:val="14"/>
              </w:rPr>
            </w:pPr>
            <w:r>
              <w:rPr>
                <w:rFonts w:ascii="times" w:hAnsi="times"/>
                <w:b/>
                <w:sz w:val="14"/>
              </w:rPr>
              <w:t>Cash distributions****</w:t>
            </w:r>
          </w:p>
        </w:tc>
        <w:tc>
          <w:tcPr>
            <w:tcW w:w="144"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rFonts w:ascii="times" w:hAnsi="times"/>
                <w:b/>
                <w:sz w:val="14"/>
              </w:rPr>
            </w:pPr>
            <w:r>
              <w:rPr>
                <w:rFonts w:ascii="times" w:hAnsi="times"/>
                <w:b/>
                <w:sz w:val="14"/>
              </w:rPr>
              <w:t>$</w:t>
            </w:r>
          </w:p>
        </w:tc>
        <w:tc>
          <w:tcPr>
            <w:tcW w:w="835" w:type="dxa"/>
            <w:tcBorders/>
            <w:shd w:fill="auto" w:val="clear"/>
            <w:vAlign w:val="bottom"/>
          </w:tcPr>
          <w:p>
            <w:pPr>
              <w:pStyle w:val="TableContents"/>
              <w:spacing w:before="0" w:after="283"/>
              <w:jc w:val="right"/>
              <w:rPr>
                <w:rFonts w:ascii="times" w:hAnsi="times"/>
                <w:b/>
                <w:sz w:val="14"/>
              </w:rPr>
            </w:pPr>
            <w:r>
              <w:rPr>
                <w:rFonts w:ascii="times" w:hAnsi="times"/>
                <w:b/>
                <w:sz w:val="14"/>
              </w:rPr>
              <w:t>69,416</w:t>
            </w:r>
          </w:p>
        </w:tc>
        <w:tc>
          <w:tcPr>
            <w:tcW w:w="146"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rFonts w:ascii="times" w:hAnsi="times"/>
                <w:b/>
                <w:sz w:val="14"/>
              </w:rPr>
            </w:pPr>
            <w:r>
              <w:rPr>
                <w:rFonts w:ascii="times" w:hAnsi="times"/>
                <w:b/>
                <w:sz w:val="14"/>
              </w:rPr>
              <w:t>$</w:t>
            </w:r>
          </w:p>
        </w:tc>
        <w:tc>
          <w:tcPr>
            <w:tcW w:w="835" w:type="dxa"/>
            <w:tcBorders/>
            <w:shd w:fill="auto" w:val="clear"/>
            <w:vAlign w:val="bottom"/>
          </w:tcPr>
          <w:p>
            <w:pPr>
              <w:pStyle w:val="TableContents"/>
              <w:spacing w:before="0" w:after="283"/>
              <w:jc w:val="right"/>
              <w:rPr>
                <w:rFonts w:ascii="times" w:hAnsi="times"/>
                <w:b/>
                <w:sz w:val="14"/>
              </w:rPr>
            </w:pPr>
            <w:r>
              <w:rPr>
                <w:rFonts w:ascii="times" w:hAnsi="times"/>
                <w:b/>
                <w:sz w:val="14"/>
              </w:rPr>
              <w:t>86,344</w:t>
            </w:r>
          </w:p>
        </w:tc>
        <w:tc>
          <w:tcPr>
            <w:tcW w:w="146"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rFonts w:ascii="times" w:hAnsi="times"/>
                <w:b/>
                <w:sz w:val="14"/>
              </w:rPr>
            </w:pPr>
            <w:r>
              <w:rPr>
                <w:rFonts w:ascii="times" w:hAnsi="times"/>
                <w:b/>
                <w:sz w:val="14"/>
              </w:rPr>
              <w:t>$</w:t>
            </w:r>
          </w:p>
        </w:tc>
        <w:tc>
          <w:tcPr>
            <w:tcW w:w="835" w:type="dxa"/>
            <w:tcBorders/>
            <w:shd w:fill="auto" w:val="clear"/>
            <w:vAlign w:val="bottom"/>
          </w:tcPr>
          <w:p>
            <w:pPr>
              <w:pStyle w:val="TableContents"/>
              <w:spacing w:before="0" w:after="283"/>
              <w:jc w:val="right"/>
              <w:rPr>
                <w:rFonts w:ascii="times" w:hAnsi="times"/>
                <w:b/>
                <w:sz w:val="14"/>
              </w:rPr>
            </w:pPr>
            <w:r>
              <w:rPr>
                <w:rFonts w:ascii="times" w:hAnsi="times"/>
                <w:b/>
                <w:sz w:val="14"/>
              </w:rPr>
              <w:t>101,189</w:t>
            </w:r>
          </w:p>
        </w:tc>
        <w:tc>
          <w:tcPr>
            <w:tcW w:w="146"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rFonts w:ascii="times" w:hAnsi="times"/>
                <w:b/>
                <w:sz w:val="14"/>
              </w:rPr>
            </w:pPr>
            <w:r>
              <w:rPr>
                <w:rFonts w:ascii="times" w:hAnsi="times"/>
                <w:b/>
                <w:sz w:val="14"/>
              </w:rPr>
              <w:t>$</w:t>
            </w:r>
          </w:p>
        </w:tc>
        <w:tc>
          <w:tcPr>
            <w:tcW w:w="835" w:type="dxa"/>
            <w:tcBorders/>
            <w:shd w:fill="auto" w:val="clear"/>
            <w:vAlign w:val="bottom"/>
          </w:tcPr>
          <w:p>
            <w:pPr>
              <w:pStyle w:val="TableContents"/>
              <w:spacing w:before="0" w:after="283"/>
              <w:jc w:val="right"/>
              <w:rPr>
                <w:rFonts w:ascii="times" w:hAnsi="times"/>
                <w:b/>
                <w:sz w:val="14"/>
              </w:rPr>
            </w:pPr>
            <w:r>
              <w:rPr>
                <w:rFonts w:ascii="times" w:hAnsi="times"/>
                <w:b/>
                <w:sz w:val="14"/>
              </w:rPr>
              <w:t>106,850</w:t>
            </w:r>
          </w:p>
        </w:tc>
        <w:tc>
          <w:tcPr>
            <w:tcW w:w="146"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rFonts w:ascii="times" w:hAnsi="times"/>
                <w:b/>
                <w:sz w:val="14"/>
              </w:rPr>
            </w:pPr>
            <w:r>
              <w:rPr>
                <w:rFonts w:ascii="times" w:hAnsi="times"/>
                <w:b/>
                <w:sz w:val="14"/>
              </w:rPr>
              <w:t>$</w:t>
            </w:r>
          </w:p>
        </w:tc>
        <w:tc>
          <w:tcPr>
            <w:tcW w:w="835" w:type="dxa"/>
            <w:tcBorders/>
            <w:shd w:fill="auto" w:val="clear"/>
            <w:vAlign w:val="bottom"/>
          </w:tcPr>
          <w:p>
            <w:pPr>
              <w:pStyle w:val="TableContents"/>
              <w:spacing w:before="0" w:after="283"/>
              <w:jc w:val="right"/>
              <w:rPr>
                <w:rFonts w:ascii="times" w:hAnsi="times"/>
                <w:b/>
                <w:sz w:val="14"/>
              </w:rPr>
            </w:pPr>
            <w:r>
              <w:rPr>
                <w:rFonts w:ascii="times" w:hAnsi="times"/>
                <w:b/>
                <w:sz w:val="14"/>
              </w:rPr>
              <w:t>12,959</w:t>
            </w:r>
          </w:p>
        </w:tc>
        <w:tc>
          <w:tcPr>
            <w:tcW w:w="153" w:type="dxa"/>
            <w:tcBorders/>
            <w:shd w:fill="auto" w:val="clear"/>
            <w:vAlign w:val="bottom"/>
          </w:tcPr>
          <w:p>
            <w:pPr>
              <w:pStyle w:val="TableContents"/>
              <w:spacing w:before="0" w:after="283"/>
              <w:rPr/>
            </w:pPr>
            <w:r>
              <w:rPr/>
              <w:t> </w:t>
            </w:r>
          </w:p>
        </w:tc>
      </w:tr>
      <w:tr>
        <w:trPr/>
        <w:tc>
          <w:tcPr>
            <w:tcW w:w="4674" w:type="dxa"/>
            <w:tcBorders/>
            <w:shd w:fill="FFFFFF" w:val="clear"/>
            <w:vAlign w:val="bottom"/>
          </w:tcPr>
          <w:p>
            <w:pPr>
              <w:pStyle w:val="TableContents"/>
              <w:spacing w:before="0" w:after="283"/>
              <w:rPr/>
            </w:pPr>
            <w:r>
              <w:rPr/>
              <w:t>​</w:t>
            </w:r>
          </w:p>
        </w:tc>
        <w:tc>
          <w:tcPr>
            <w:tcW w:w="144" w:type="dxa"/>
            <w:tcBorders/>
            <w:shd w:fill="FFFFFF" w:val="clear"/>
            <w:vAlign w:val="bottom"/>
          </w:tcPr>
          <w:p>
            <w:pPr>
              <w:pStyle w:val="TableContents"/>
              <w:spacing w:before="0" w:after="283"/>
              <w:rPr/>
            </w:pPr>
            <w:r>
              <w:rPr/>
              <w:t>​</w:t>
            </w:r>
          </w:p>
        </w:tc>
        <w:tc>
          <w:tcPr>
            <w:tcW w:w="95" w:type="dxa"/>
            <w:tcBorders>
              <w:bottom w:val="single" w:sz="8" w:space="0" w:color="000000"/>
            </w:tcBorders>
            <w:shd w:fill="FFFFFF" w:val="clear"/>
            <w:tcMar>
              <w:bottom w:w="28" w:type="dxa"/>
            </w:tcMar>
            <w:vAlign w:val="bottom"/>
          </w:tcPr>
          <w:p>
            <w:pPr>
              <w:pStyle w:val="TableContents"/>
              <w:spacing w:before="0" w:after="283"/>
              <w:rPr/>
            </w:pPr>
            <w:r>
              <w:rPr/>
              <w:t xml:space="preserve">​ </w:t>
            </w:r>
          </w:p>
        </w:tc>
        <w:tc>
          <w:tcPr>
            <w:tcW w:w="835" w:type="dxa"/>
            <w:tcBorders>
              <w:bottom w:val="single" w:sz="8" w:space="0" w:color="000000"/>
            </w:tcBorders>
            <w:shd w:fill="FFFFFF" w:val="clear"/>
            <w:tcMar>
              <w:bottom w:w="28" w:type="dxa"/>
            </w:tcMar>
            <w:vAlign w:val="bottom"/>
          </w:tcPr>
          <w:p>
            <w:pPr>
              <w:pStyle w:val="TableContents"/>
              <w:spacing w:before="0" w:after="283"/>
              <w:jc w:val="right"/>
              <w:rPr/>
            </w:pPr>
            <w:r>
              <w:rPr/>
              <w:t xml:space="preserve">​ </w:t>
            </w:r>
          </w:p>
        </w:tc>
        <w:tc>
          <w:tcPr>
            <w:tcW w:w="146" w:type="dxa"/>
            <w:tcBorders/>
            <w:shd w:fill="FFFFFF" w:val="clear"/>
            <w:vAlign w:val="bottom"/>
          </w:tcPr>
          <w:p>
            <w:pPr>
              <w:pStyle w:val="TableContents"/>
              <w:spacing w:before="0" w:after="283"/>
              <w:rPr/>
            </w:pPr>
            <w:r>
              <w:rPr/>
              <w:t>​</w:t>
            </w:r>
          </w:p>
        </w:tc>
        <w:tc>
          <w:tcPr>
            <w:tcW w:w="95" w:type="dxa"/>
            <w:tcBorders>
              <w:bottom w:val="single" w:sz="8" w:space="0" w:color="000000"/>
            </w:tcBorders>
            <w:shd w:fill="FFFFFF" w:val="clear"/>
            <w:tcMar>
              <w:bottom w:w="28" w:type="dxa"/>
            </w:tcMar>
            <w:vAlign w:val="bottom"/>
          </w:tcPr>
          <w:p>
            <w:pPr>
              <w:pStyle w:val="TableContents"/>
              <w:spacing w:before="0" w:after="283"/>
              <w:rPr/>
            </w:pPr>
            <w:r>
              <w:rPr/>
              <w:t xml:space="preserve">​ </w:t>
            </w:r>
          </w:p>
        </w:tc>
        <w:tc>
          <w:tcPr>
            <w:tcW w:w="835" w:type="dxa"/>
            <w:tcBorders>
              <w:bottom w:val="single" w:sz="8" w:space="0" w:color="000000"/>
            </w:tcBorders>
            <w:shd w:fill="FFFFFF" w:val="clear"/>
            <w:tcMar>
              <w:bottom w:w="28" w:type="dxa"/>
            </w:tcMar>
            <w:vAlign w:val="bottom"/>
          </w:tcPr>
          <w:p>
            <w:pPr>
              <w:pStyle w:val="TableContents"/>
              <w:spacing w:before="0" w:after="283"/>
              <w:jc w:val="right"/>
              <w:rPr/>
            </w:pPr>
            <w:r>
              <w:rPr/>
              <w:t xml:space="preserve">​ </w:t>
            </w:r>
          </w:p>
        </w:tc>
        <w:tc>
          <w:tcPr>
            <w:tcW w:w="146" w:type="dxa"/>
            <w:tcBorders/>
            <w:shd w:fill="FFFFFF" w:val="clear"/>
            <w:vAlign w:val="bottom"/>
          </w:tcPr>
          <w:p>
            <w:pPr>
              <w:pStyle w:val="TableContents"/>
              <w:spacing w:before="0" w:after="283"/>
              <w:rPr/>
            </w:pPr>
            <w:r>
              <w:rPr/>
              <w:t>​</w:t>
            </w:r>
          </w:p>
        </w:tc>
        <w:tc>
          <w:tcPr>
            <w:tcW w:w="95" w:type="dxa"/>
            <w:tcBorders>
              <w:bottom w:val="single" w:sz="8" w:space="0" w:color="000000"/>
            </w:tcBorders>
            <w:shd w:fill="FFFFFF" w:val="clear"/>
            <w:tcMar>
              <w:bottom w:w="28" w:type="dxa"/>
            </w:tcMar>
            <w:vAlign w:val="bottom"/>
          </w:tcPr>
          <w:p>
            <w:pPr>
              <w:pStyle w:val="TableContents"/>
              <w:spacing w:before="0" w:after="283"/>
              <w:rPr/>
            </w:pPr>
            <w:r>
              <w:rPr/>
              <w:t xml:space="preserve">​ </w:t>
            </w:r>
          </w:p>
        </w:tc>
        <w:tc>
          <w:tcPr>
            <w:tcW w:w="835" w:type="dxa"/>
            <w:tcBorders>
              <w:bottom w:val="single" w:sz="8" w:space="0" w:color="000000"/>
            </w:tcBorders>
            <w:shd w:fill="FFFFFF" w:val="clear"/>
            <w:tcMar>
              <w:bottom w:w="28" w:type="dxa"/>
            </w:tcMar>
            <w:vAlign w:val="bottom"/>
          </w:tcPr>
          <w:p>
            <w:pPr>
              <w:pStyle w:val="TableContents"/>
              <w:spacing w:before="0" w:after="283"/>
              <w:jc w:val="right"/>
              <w:rPr/>
            </w:pPr>
            <w:r>
              <w:rPr/>
              <w:t xml:space="preserve">​ </w:t>
            </w:r>
          </w:p>
        </w:tc>
        <w:tc>
          <w:tcPr>
            <w:tcW w:w="146" w:type="dxa"/>
            <w:tcBorders/>
            <w:shd w:fill="FFFFFF" w:val="clear"/>
            <w:vAlign w:val="bottom"/>
          </w:tcPr>
          <w:p>
            <w:pPr>
              <w:pStyle w:val="TableContents"/>
              <w:spacing w:before="0" w:after="283"/>
              <w:rPr/>
            </w:pPr>
            <w:r>
              <w:rPr/>
              <w:t>​</w:t>
            </w:r>
          </w:p>
        </w:tc>
        <w:tc>
          <w:tcPr>
            <w:tcW w:w="95" w:type="dxa"/>
            <w:tcBorders>
              <w:bottom w:val="single" w:sz="8" w:space="0" w:color="000000"/>
            </w:tcBorders>
            <w:shd w:fill="FFFFFF" w:val="clear"/>
            <w:tcMar>
              <w:bottom w:w="28" w:type="dxa"/>
            </w:tcMar>
            <w:vAlign w:val="bottom"/>
          </w:tcPr>
          <w:p>
            <w:pPr>
              <w:pStyle w:val="TableContents"/>
              <w:spacing w:before="0" w:after="283"/>
              <w:rPr/>
            </w:pPr>
            <w:r>
              <w:rPr/>
              <w:t xml:space="preserve">​ </w:t>
            </w:r>
          </w:p>
        </w:tc>
        <w:tc>
          <w:tcPr>
            <w:tcW w:w="835" w:type="dxa"/>
            <w:tcBorders>
              <w:bottom w:val="single" w:sz="8" w:space="0" w:color="000000"/>
            </w:tcBorders>
            <w:shd w:fill="FFFFFF" w:val="clear"/>
            <w:tcMar>
              <w:bottom w:w="28" w:type="dxa"/>
            </w:tcMar>
            <w:vAlign w:val="bottom"/>
          </w:tcPr>
          <w:p>
            <w:pPr>
              <w:pStyle w:val="TableContents"/>
              <w:spacing w:before="0" w:after="283"/>
              <w:jc w:val="right"/>
              <w:rPr/>
            </w:pPr>
            <w:r>
              <w:rPr/>
              <w:t xml:space="preserve">​ </w:t>
            </w:r>
          </w:p>
        </w:tc>
        <w:tc>
          <w:tcPr>
            <w:tcW w:w="146" w:type="dxa"/>
            <w:tcBorders/>
            <w:shd w:fill="FFFFFF" w:val="clear"/>
            <w:vAlign w:val="bottom"/>
          </w:tcPr>
          <w:p>
            <w:pPr>
              <w:pStyle w:val="TableContents"/>
              <w:spacing w:before="0" w:after="283"/>
              <w:rPr/>
            </w:pPr>
            <w:r>
              <w:rPr/>
              <w:t>​</w:t>
            </w:r>
          </w:p>
        </w:tc>
        <w:tc>
          <w:tcPr>
            <w:tcW w:w="95" w:type="dxa"/>
            <w:tcBorders>
              <w:bottom w:val="single" w:sz="8" w:space="0" w:color="000000"/>
            </w:tcBorders>
            <w:shd w:fill="FFFFFF" w:val="clear"/>
            <w:tcMar>
              <w:bottom w:w="28" w:type="dxa"/>
            </w:tcMar>
            <w:vAlign w:val="bottom"/>
          </w:tcPr>
          <w:p>
            <w:pPr>
              <w:pStyle w:val="TableContents"/>
              <w:spacing w:before="0" w:after="283"/>
              <w:rPr/>
            </w:pPr>
            <w:r>
              <w:rPr/>
              <w:t xml:space="preserve">​ </w:t>
            </w:r>
          </w:p>
        </w:tc>
        <w:tc>
          <w:tcPr>
            <w:tcW w:w="835" w:type="dxa"/>
            <w:tcBorders>
              <w:bottom w:val="single" w:sz="8" w:space="0" w:color="000000"/>
            </w:tcBorders>
            <w:shd w:fill="FFFFFF" w:val="clear"/>
            <w:tcMar>
              <w:bottom w:w="28" w:type="dxa"/>
            </w:tcMar>
            <w:vAlign w:val="bottom"/>
          </w:tcPr>
          <w:p>
            <w:pPr>
              <w:pStyle w:val="TableContents"/>
              <w:spacing w:before="0" w:after="283"/>
              <w:jc w:val="right"/>
              <w:rPr/>
            </w:pPr>
            <w:r>
              <w:rPr/>
              <w:t xml:space="preserve">​ </w:t>
            </w:r>
          </w:p>
        </w:tc>
        <w:tc>
          <w:tcPr>
            <w:tcW w:w="153" w:type="dxa"/>
            <w:tcBorders/>
            <w:shd w:fill="FFFFFF" w:val="clear"/>
            <w:vAlign w:val="bottom"/>
          </w:tcPr>
          <w:p>
            <w:pPr>
              <w:pStyle w:val="TableContents"/>
              <w:spacing w:before="0" w:after="283"/>
              <w:rPr/>
            </w:pPr>
            <w:r>
              <w:rPr/>
              <w:t>​</w:t>
            </w:r>
          </w:p>
        </w:tc>
      </w:tr>
      <w:tr>
        <w:trPr/>
        <w:tc>
          <w:tcPr>
            <w:tcW w:w="4674" w:type="dxa"/>
            <w:tcBorders/>
            <w:shd w:fill="FFFFFF" w:val="clear"/>
            <w:vAlign w:val="bottom"/>
          </w:tcPr>
          <w:p>
            <w:pPr>
              <w:pStyle w:val="TableContents"/>
              <w:spacing w:lineRule="atLeast" w:line="141" w:before="0" w:after="283"/>
              <w:rPr/>
            </w:pPr>
            <w:r>
              <w:rPr/>
              <w:t>​</w:t>
            </w:r>
          </w:p>
        </w:tc>
        <w:tc>
          <w:tcPr>
            <w:tcW w:w="144" w:type="dxa"/>
            <w:tcBorders/>
            <w:shd w:fill="FFFFFF" w:val="clear"/>
            <w:vAlign w:val="bottom"/>
          </w:tcPr>
          <w:p>
            <w:pPr>
              <w:pStyle w:val="TableContents"/>
              <w:spacing w:lineRule="atLeast" w:line="141" w:before="0" w:after="283"/>
              <w:rPr/>
            </w:pPr>
            <w:r>
              <w:rPr/>
              <w:t>​</w:t>
            </w:r>
          </w:p>
        </w:tc>
        <w:tc>
          <w:tcPr>
            <w:tcW w:w="95" w:type="dxa"/>
            <w:tcBorders/>
            <w:shd w:fill="FFFFFF" w:val="clear"/>
            <w:vAlign w:val="bottom"/>
          </w:tcPr>
          <w:p>
            <w:pPr>
              <w:pStyle w:val="TableContents"/>
              <w:spacing w:lineRule="atLeast" w:line="141" w:before="0" w:after="283"/>
              <w:rPr/>
            </w:pPr>
            <w:r>
              <w:rPr/>
              <w:t>​</w:t>
            </w:r>
          </w:p>
        </w:tc>
        <w:tc>
          <w:tcPr>
            <w:tcW w:w="835" w:type="dxa"/>
            <w:tcBorders/>
            <w:shd w:fill="FFFFFF" w:val="clear"/>
            <w:vAlign w:val="bottom"/>
          </w:tcPr>
          <w:p>
            <w:pPr>
              <w:pStyle w:val="TableContents"/>
              <w:spacing w:lineRule="atLeast" w:line="141" w:before="0" w:after="283"/>
              <w:jc w:val="right"/>
              <w:rPr/>
            </w:pPr>
            <w:r>
              <w:rPr/>
              <w:t>​</w:t>
            </w:r>
          </w:p>
        </w:tc>
        <w:tc>
          <w:tcPr>
            <w:tcW w:w="146" w:type="dxa"/>
            <w:tcBorders/>
            <w:shd w:fill="FFFFFF" w:val="clear"/>
            <w:vAlign w:val="bottom"/>
          </w:tcPr>
          <w:p>
            <w:pPr>
              <w:pStyle w:val="TableContents"/>
              <w:spacing w:lineRule="atLeast" w:line="141" w:before="0" w:after="283"/>
              <w:rPr/>
            </w:pPr>
            <w:r>
              <w:rPr/>
              <w:t>​</w:t>
            </w:r>
          </w:p>
        </w:tc>
        <w:tc>
          <w:tcPr>
            <w:tcW w:w="95" w:type="dxa"/>
            <w:tcBorders/>
            <w:shd w:fill="FFFFFF" w:val="clear"/>
            <w:vAlign w:val="bottom"/>
          </w:tcPr>
          <w:p>
            <w:pPr>
              <w:pStyle w:val="TableContents"/>
              <w:spacing w:lineRule="atLeast" w:line="141" w:before="0" w:after="283"/>
              <w:rPr/>
            </w:pPr>
            <w:r>
              <w:rPr/>
              <w:t>​</w:t>
            </w:r>
          </w:p>
        </w:tc>
        <w:tc>
          <w:tcPr>
            <w:tcW w:w="835" w:type="dxa"/>
            <w:tcBorders/>
            <w:shd w:fill="FFFFFF" w:val="clear"/>
            <w:vAlign w:val="bottom"/>
          </w:tcPr>
          <w:p>
            <w:pPr>
              <w:pStyle w:val="TableContents"/>
              <w:spacing w:lineRule="atLeast" w:line="141" w:before="0" w:after="283"/>
              <w:jc w:val="right"/>
              <w:rPr/>
            </w:pPr>
            <w:r>
              <w:rPr/>
              <w:t>​</w:t>
            </w:r>
          </w:p>
        </w:tc>
        <w:tc>
          <w:tcPr>
            <w:tcW w:w="146" w:type="dxa"/>
            <w:tcBorders/>
            <w:shd w:fill="FFFFFF" w:val="clear"/>
            <w:vAlign w:val="bottom"/>
          </w:tcPr>
          <w:p>
            <w:pPr>
              <w:pStyle w:val="TableContents"/>
              <w:spacing w:lineRule="atLeast" w:line="141" w:before="0" w:after="283"/>
              <w:rPr/>
            </w:pPr>
            <w:r>
              <w:rPr/>
              <w:t>​</w:t>
            </w:r>
          </w:p>
        </w:tc>
        <w:tc>
          <w:tcPr>
            <w:tcW w:w="95" w:type="dxa"/>
            <w:tcBorders/>
            <w:shd w:fill="FFFFFF" w:val="clear"/>
            <w:vAlign w:val="bottom"/>
          </w:tcPr>
          <w:p>
            <w:pPr>
              <w:pStyle w:val="TableContents"/>
              <w:spacing w:lineRule="atLeast" w:line="141" w:before="0" w:after="283"/>
              <w:rPr/>
            </w:pPr>
            <w:r>
              <w:rPr/>
              <w:t>​</w:t>
            </w:r>
          </w:p>
        </w:tc>
        <w:tc>
          <w:tcPr>
            <w:tcW w:w="835" w:type="dxa"/>
            <w:tcBorders/>
            <w:shd w:fill="FFFFFF" w:val="clear"/>
            <w:vAlign w:val="bottom"/>
          </w:tcPr>
          <w:p>
            <w:pPr>
              <w:pStyle w:val="TableContents"/>
              <w:spacing w:lineRule="atLeast" w:line="141" w:before="0" w:after="283"/>
              <w:jc w:val="right"/>
              <w:rPr/>
            </w:pPr>
            <w:r>
              <w:rPr/>
              <w:t>​</w:t>
            </w:r>
          </w:p>
        </w:tc>
        <w:tc>
          <w:tcPr>
            <w:tcW w:w="146" w:type="dxa"/>
            <w:tcBorders/>
            <w:shd w:fill="FFFFFF" w:val="clear"/>
            <w:vAlign w:val="bottom"/>
          </w:tcPr>
          <w:p>
            <w:pPr>
              <w:pStyle w:val="TableContents"/>
              <w:spacing w:lineRule="atLeast" w:line="141" w:before="0" w:after="283"/>
              <w:rPr/>
            </w:pPr>
            <w:r>
              <w:rPr/>
              <w:t>​</w:t>
            </w:r>
          </w:p>
        </w:tc>
        <w:tc>
          <w:tcPr>
            <w:tcW w:w="95" w:type="dxa"/>
            <w:tcBorders/>
            <w:shd w:fill="FFFFFF" w:val="clear"/>
            <w:vAlign w:val="bottom"/>
          </w:tcPr>
          <w:p>
            <w:pPr>
              <w:pStyle w:val="TableContents"/>
              <w:spacing w:lineRule="atLeast" w:line="141" w:before="0" w:after="283"/>
              <w:rPr/>
            </w:pPr>
            <w:r>
              <w:rPr/>
              <w:t>​</w:t>
            </w:r>
          </w:p>
        </w:tc>
        <w:tc>
          <w:tcPr>
            <w:tcW w:w="835" w:type="dxa"/>
            <w:tcBorders/>
            <w:shd w:fill="FFFFFF" w:val="clear"/>
            <w:vAlign w:val="bottom"/>
          </w:tcPr>
          <w:p>
            <w:pPr>
              <w:pStyle w:val="TableContents"/>
              <w:spacing w:lineRule="atLeast" w:line="141" w:before="0" w:after="283"/>
              <w:jc w:val="right"/>
              <w:rPr/>
            </w:pPr>
            <w:r>
              <w:rPr/>
              <w:t>​</w:t>
            </w:r>
          </w:p>
        </w:tc>
        <w:tc>
          <w:tcPr>
            <w:tcW w:w="146" w:type="dxa"/>
            <w:tcBorders/>
            <w:shd w:fill="FFFFFF" w:val="clear"/>
            <w:vAlign w:val="bottom"/>
          </w:tcPr>
          <w:p>
            <w:pPr>
              <w:pStyle w:val="TableContents"/>
              <w:spacing w:lineRule="atLeast" w:line="141" w:before="0" w:after="283"/>
              <w:rPr/>
            </w:pPr>
            <w:r>
              <w:rPr/>
              <w:t>​</w:t>
            </w:r>
          </w:p>
        </w:tc>
        <w:tc>
          <w:tcPr>
            <w:tcW w:w="95" w:type="dxa"/>
            <w:tcBorders/>
            <w:shd w:fill="FFFFFF" w:val="clear"/>
            <w:vAlign w:val="bottom"/>
          </w:tcPr>
          <w:p>
            <w:pPr>
              <w:pStyle w:val="TableContents"/>
              <w:spacing w:lineRule="atLeast" w:line="141" w:before="0" w:after="283"/>
              <w:rPr/>
            </w:pPr>
            <w:r>
              <w:rPr/>
              <w:t>​</w:t>
            </w:r>
          </w:p>
        </w:tc>
        <w:tc>
          <w:tcPr>
            <w:tcW w:w="835" w:type="dxa"/>
            <w:tcBorders/>
            <w:shd w:fill="FFFFFF" w:val="clear"/>
            <w:vAlign w:val="bottom"/>
          </w:tcPr>
          <w:p>
            <w:pPr>
              <w:pStyle w:val="TableContents"/>
              <w:spacing w:lineRule="atLeast" w:line="141" w:before="0" w:after="283"/>
              <w:jc w:val="right"/>
              <w:rPr/>
            </w:pPr>
            <w:r>
              <w:rPr/>
              <w:t>​</w:t>
            </w:r>
          </w:p>
        </w:tc>
        <w:tc>
          <w:tcPr>
            <w:tcW w:w="153" w:type="dxa"/>
            <w:tcBorders/>
            <w:shd w:fill="FFFFFF" w:val="clear"/>
            <w:vAlign w:val="bottom"/>
          </w:tcPr>
          <w:p>
            <w:pPr>
              <w:pStyle w:val="TableContents"/>
              <w:spacing w:lineRule="atLeast" w:line="141" w:before="0" w:after="283"/>
              <w:rPr/>
            </w:pPr>
            <w:r>
              <w:rPr/>
              <w:t>​</w:t>
            </w:r>
          </w:p>
        </w:tc>
      </w:tr>
      <w:tr>
        <w:trPr/>
        <w:tc>
          <w:tcPr>
            <w:tcW w:w="4674" w:type="dxa"/>
            <w:tcBorders/>
            <w:shd w:fill="FFFFFF" w:val="clear"/>
            <w:vAlign w:val="bottom"/>
          </w:tcPr>
          <w:p>
            <w:pPr>
              <w:pStyle w:val="TableContents"/>
              <w:spacing w:before="0" w:after="283"/>
              <w:rPr/>
            </w:pPr>
            <w:r>
              <w:rPr/>
              <w:t>​</w:t>
            </w:r>
          </w:p>
        </w:tc>
        <w:tc>
          <w:tcPr>
            <w:tcW w:w="144" w:type="dxa"/>
            <w:tcBorders/>
            <w:shd w:fill="FFFFFF" w:val="clear"/>
            <w:vAlign w:val="bottom"/>
          </w:tcPr>
          <w:p>
            <w:pPr>
              <w:pStyle w:val="TableContents"/>
              <w:spacing w:before="0" w:after="283"/>
              <w:rPr/>
            </w:pPr>
            <w:r>
              <w:rPr/>
              <w:t>​</w:t>
            </w:r>
          </w:p>
        </w:tc>
        <w:tc>
          <w:tcPr>
            <w:tcW w:w="95" w:type="dxa"/>
            <w:tcBorders>
              <w:bottom w:val="single" w:sz="8" w:space="0" w:color="000000"/>
            </w:tcBorders>
            <w:shd w:fill="FFFFFF" w:val="clear"/>
            <w:tcMar>
              <w:bottom w:w="28" w:type="dxa"/>
            </w:tcMar>
            <w:vAlign w:val="bottom"/>
          </w:tcPr>
          <w:p>
            <w:pPr>
              <w:pStyle w:val="TableContents"/>
              <w:spacing w:before="0" w:after="283"/>
              <w:rPr/>
            </w:pPr>
            <w:r>
              <w:rPr/>
              <w:t xml:space="preserve">​ </w:t>
            </w:r>
          </w:p>
        </w:tc>
        <w:tc>
          <w:tcPr>
            <w:tcW w:w="835" w:type="dxa"/>
            <w:tcBorders>
              <w:bottom w:val="single" w:sz="8" w:space="0" w:color="000000"/>
            </w:tcBorders>
            <w:shd w:fill="FFFFFF" w:val="clear"/>
            <w:tcMar>
              <w:bottom w:w="28" w:type="dxa"/>
            </w:tcMar>
            <w:vAlign w:val="bottom"/>
          </w:tcPr>
          <w:p>
            <w:pPr>
              <w:pStyle w:val="TableContents"/>
              <w:spacing w:before="0" w:after="283"/>
              <w:jc w:val="right"/>
              <w:rPr/>
            </w:pPr>
            <w:r>
              <w:rPr/>
              <w:t xml:space="preserve">​ </w:t>
            </w:r>
          </w:p>
        </w:tc>
        <w:tc>
          <w:tcPr>
            <w:tcW w:w="146" w:type="dxa"/>
            <w:tcBorders/>
            <w:shd w:fill="FFFFFF" w:val="clear"/>
            <w:vAlign w:val="bottom"/>
          </w:tcPr>
          <w:p>
            <w:pPr>
              <w:pStyle w:val="TableContents"/>
              <w:spacing w:before="0" w:after="283"/>
              <w:rPr/>
            </w:pPr>
            <w:r>
              <w:rPr/>
              <w:t>​</w:t>
            </w:r>
          </w:p>
        </w:tc>
        <w:tc>
          <w:tcPr>
            <w:tcW w:w="95" w:type="dxa"/>
            <w:tcBorders>
              <w:bottom w:val="single" w:sz="8" w:space="0" w:color="000000"/>
            </w:tcBorders>
            <w:shd w:fill="FFFFFF" w:val="clear"/>
            <w:tcMar>
              <w:bottom w:w="28" w:type="dxa"/>
            </w:tcMar>
            <w:vAlign w:val="bottom"/>
          </w:tcPr>
          <w:p>
            <w:pPr>
              <w:pStyle w:val="TableContents"/>
              <w:spacing w:before="0" w:after="283"/>
              <w:rPr/>
            </w:pPr>
            <w:r>
              <w:rPr/>
              <w:t xml:space="preserve">​ </w:t>
            </w:r>
          </w:p>
        </w:tc>
        <w:tc>
          <w:tcPr>
            <w:tcW w:w="835" w:type="dxa"/>
            <w:tcBorders>
              <w:bottom w:val="single" w:sz="8" w:space="0" w:color="000000"/>
            </w:tcBorders>
            <w:shd w:fill="FFFFFF" w:val="clear"/>
            <w:tcMar>
              <w:bottom w:w="28" w:type="dxa"/>
            </w:tcMar>
            <w:vAlign w:val="bottom"/>
          </w:tcPr>
          <w:p>
            <w:pPr>
              <w:pStyle w:val="TableContents"/>
              <w:spacing w:before="0" w:after="283"/>
              <w:jc w:val="right"/>
              <w:rPr/>
            </w:pPr>
            <w:r>
              <w:rPr/>
              <w:t xml:space="preserve">​ </w:t>
            </w:r>
          </w:p>
        </w:tc>
        <w:tc>
          <w:tcPr>
            <w:tcW w:w="146" w:type="dxa"/>
            <w:tcBorders/>
            <w:shd w:fill="FFFFFF" w:val="clear"/>
            <w:vAlign w:val="bottom"/>
          </w:tcPr>
          <w:p>
            <w:pPr>
              <w:pStyle w:val="TableContents"/>
              <w:spacing w:before="0" w:after="283"/>
              <w:rPr/>
            </w:pPr>
            <w:r>
              <w:rPr/>
              <w:t>​</w:t>
            </w:r>
          </w:p>
        </w:tc>
        <w:tc>
          <w:tcPr>
            <w:tcW w:w="95" w:type="dxa"/>
            <w:tcBorders>
              <w:bottom w:val="single" w:sz="8" w:space="0" w:color="000000"/>
            </w:tcBorders>
            <w:shd w:fill="FFFFFF" w:val="clear"/>
            <w:tcMar>
              <w:bottom w:w="28" w:type="dxa"/>
            </w:tcMar>
            <w:vAlign w:val="bottom"/>
          </w:tcPr>
          <w:p>
            <w:pPr>
              <w:pStyle w:val="TableContents"/>
              <w:spacing w:before="0" w:after="283"/>
              <w:rPr/>
            </w:pPr>
            <w:r>
              <w:rPr/>
              <w:t xml:space="preserve">​ </w:t>
            </w:r>
          </w:p>
        </w:tc>
        <w:tc>
          <w:tcPr>
            <w:tcW w:w="835" w:type="dxa"/>
            <w:tcBorders>
              <w:bottom w:val="single" w:sz="8" w:space="0" w:color="000000"/>
            </w:tcBorders>
            <w:shd w:fill="FFFFFF" w:val="clear"/>
            <w:tcMar>
              <w:bottom w:w="28" w:type="dxa"/>
            </w:tcMar>
            <w:vAlign w:val="bottom"/>
          </w:tcPr>
          <w:p>
            <w:pPr>
              <w:pStyle w:val="TableContents"/>
              <w:spacing w:before="0" w:after="283"/>
              <w:jc w:val="right"/>
              <w:rPr/>
            </w:pPr>
            <w:r>
              <w:rPr/>
              <w:t xml:space="preserve">​ </w:t>
            </w:r>
          </w:p>
        </w:tc>
        <w:tc>
          <w:tcPr>
            <w:tcW w:w="146" w:type="dxa"/>
            <w:tcBorders/>
            <w:shd w:fill="FFFFFF" w:val="clear"/>
            <w:vAlign w:val="bottom"/>
          </w:tcPr>
          <w:p>
            <w:pPr>
              <w:pStyle w:val="TableContents"/>
              <w:spacing w:before="0" w:after="283"/>
              <w:rPr/>
            </w:pPr>
            <w:r>
              <w:rPr/>
              <w:t>​</w:t>
            </w:r>
          </w:p>
        </w:tc>
        <w:tc>
          <w:tcPr>
            <w:tcW w:w="95" w:type="dxa"/>
            <w:tcBorders>
              <w:bottom w:val="single" w:sz="8" w:space="0" w:color="000000"/>
            </w:tcBorders>
            <w:shd w:fill="FFFFFF" w:val="clear"/>
            <w:tcMar>
              <w:bottom w:w="28" w:type="dxa"/>
            </w:tcMar>
            <w:vAlign w:val="bottom"/>
          </w:tcPr>
          <w:p>
            <w:pPr>
              <w:pStyle w:val="TableContents"/>
              <w:spacing w:before="0" w:after="283"/>
              <w:rPr/>
            </w:pPr>
            <w:r>
              <w:rPr/>
              <w:t xml:space="preserve">​ </w:t>
            </w:r>
          </w:p>
        </w:tc>
        <w:tc>
          <w:tcPr>
            <w:tcW w:w="835" w:type="dxa"/>
            <w:tcBorders>
              <w:bottom w:val="single" w:sz="8" w:space="0" w:color="000000"/>
            </w:tcBorders>
            <w:shd w:fill="FFFFFF" w:val="clear"/>
            <w:tcMar>
              <w:bottom w:w="28" w:type="dxa"/>
            </w:tcMar>
            <w:vAlign w:val="bottom"/>
          </w:tcPr>
          <w:p>
            <w:pPr>
              <w:pStyle w:val="TableContents"/>
              <w:spacing w:before="0" w:after="283"/>
              <w:jc w:val="right"/>
              <w:rPr/>
            </w:pPr>
            <w:r>
              <w:rPr/>
              <w:t xml:space="preserve">​ </w:t>
            </w:r>
          </w:p>
        </w:tc>
        <w:tc>
          <w:tcPr>
            <w:tcW w:w="146" w:type="dxa"/>
            <w:tcBorders/>
            <w:shd w:fill="FFFFFF" w:val="clear"/>
            <w:vAlign w:val="bottom"/>
          </w:tcPr>
          <w:p>
            <w:pPr>
              <w:pStyle w:val="TableContents"/>
              <w:spacing w:before="0" w:after="283"/>
              <w:rPr/>
            </w:pPr>
            <w:r>
              <w:rPr/>
              <w:t>​</w:t>
            </w:r>
          </w:p>
        </w:tc>
        <w:tc>
          <w:tcPr>
            <w:tcW w:w="95" w:type="dxa"/>
            <w:tcBorders>
              <w:bottom w:val="single" w:sz="8" w:space="0" w:color="000000"/>
            </w:tcBorders>
            <w:shd w:fill="FFFFFF" w:val="clear"/>
            <w:tcMar>
              <w:bottom w:w="28" w:type="dxa"/>
            </w:tcMar>
            <w:vAlign w:val="bottom"/>
          </w:tcPr>
          <w:p>
            <w:pPr>
              <w:pStyle w:val="TableContents"/>
              <w:spacing w:before="0" w:after="283"/>
              <w:rPr/>
            </w:pPr>
            <w:r>
              <w:rPr/>
              <w:t xml:space="preserve">​ </w:t>
            </w:r>
          </w:p>
        </w:tc>
        <w:tc>
          <w:tcPr>
            <w:tcW w:w="835" w:type="dxa"/>
            <w:tcBorders>
              <w:bottom w:val="single" w:sz="8" w:space="0" w:color="000000"/>
            </w:tcBorders>
            <w:shd w:fill="FFFFFF" w:val="clear"/>
            <w:tcMar>
              <w:bottom w:w="28" w:type="dxa"/>
            </w:tcMar>
            <w:vAlign w:val="bottom"/>
          </w:tcPr>
          <w:p>
            <w:pPr>
              <w:pStyle w:val="TableContents"/>
              <w:spacing w:before="0" w:after="283"/>
              <w:jc w:val="right"/>
              <w:rPr/>
            </w:pPr>
            <w:r>
              <w:rPr/>
              <w:t xml:space="preserve">​ </w:t>
            </w:r>
          </w:p>
        </w:tc>
        <w:tc>
          <w:tcPr>
            <w:tcW w:w="153" w:type="dxa"/>
            <w:tcBorders/>
            <w:shd w:fill="FFFFFF" w:val="clear"/>
            <w:vAlign w:val="bottom"/>
          </w:tcPr>
          <w:p>
            <w:pPr>
              <w:pStyle w:val="TableContents"/>
              <w:spacing w:before="0" w:after="283"/>
              <w:rPr/>
            </w:pPr>
            <w:r>
              <w:rPr/>
              <w:t xml:space="preserve">​ </w:t>
            </w:r>
          </w:p>
        </w:tc>
      </w:tr>
    </w:tbl>
    <w:p>
      <w:pPr>
        <w:pStyle w:val="HorizontalLine"/>
        <w:pBdr>
          <w:bottom w:val="single" w:sz="6" w:space="0" w:color="000000"/>
        </w:pBdr>
        <w:ind w:left="0" w:right="7042" w:hanging="0"/>
        <w:rPr/>
      </w:pPr>
      <w:r>
        <w:rPr/>
      </w:r>
    </w:p>
    <w:p>
      <w:pPr>
        <w:pStyle w:val="TextBody"/>
        <w:numPr>
          <w:ilvl w:val="0"/>
          <w:numId w:val="0"/>
        </w:numPr>
        <w:ind w:left="707" w:hanging="0"/>
        <w:jc w:val="left"/>
        <w:rPr>
          <w:rFonts w:ascii="times" w:hAnsi="times"/>
          <w:sz w:val="14"/>
        </w:rPr>
      </w:pPr>
      <w:r>
        <w:rPr>
          <w:rFonts w:ascii="times" w:hAnsi="times"/>
          <w:sz w:val="14"/>
        </w:rPr>
        <w:t xml:space="preserve">* The reconciliation of Profit to EBITDA and Adjusted EBITDA on the basis of Partnership Performance Results is presented in Footnote 5 above. </w:t>
      </w:r>
    </w:p>
    <w:p>
      <w:pPr>
        <w:pStyle w:val="TextBody"/>
        <w:numPr>
          <w:ilvl w:val="0"/>
          <w:numId w:val="0"/>
        </w:numPr>
        <w:ind w:left="707" w:hanging="0"/>
        <w:jc w:val="left"/>
        <w:rPr>
          <w:rFonts w:ascii="times" w:hAnsi="times"/>
          <w:sz w:val="14"/>
        </w:rPr>
      </w:pPr>
      <w:r>
        <w:rPr>
          <w:rFonts w:ascii="times" w:hAnsi="times"/>
          <w:sz w:val="14"/>
        </w:rPr>
        <w:t>** Effective January 1, 2020, the Partnership revised the assumed re-investment rate used in calculating the dry-docking capital reserve and the replacement capital reserve to reflect recent movements in market interest rate forecasts.</w:t>
      </w:r>
    </w:p>
    <w:tbl>
      <w:tblPr>
        <w:tblW w:w="5000" w:type="pct"/>
        <w:jc w:val="center"/>
        <w:tblInd w:w="0" w:type="dxa"/>
        <w:tblCellMar>
          <w:top w:w="0" w:type="dxa"/>
          <w:left w:w="0" w:type="dxa"/>
          <w:bottom w:w="0" w:type="dxa"/>
          <w:right w:w="0" w:type="dxa"/>
        </w:tblCellMar>
      </w:tblPr>
      <w:tblGrid>
        <w:gridCol w:w="10205"/>
      </w:tblGrid>
      <w:tr>
        <w:trPr/>
        <w:tc>
          <w:tcPr>
            <w:tcW w:w="10205" w:type="dxa"/>
            <w:tcBorders/>
            <w:shd w:fill="auto" w:val="clear"/>
            <w:vAlign w:val="center"/>
          </w:tcPr>
          <w:p>
            <w:pPr>
              <w:pStyle w:val="TableContents"/>
              <w:spacing w:before="0" w:after="283"/>
              <w:rPr>
                <w:sz w:val="4"/>
                <w:szCs w:val="4"/>
              </w:rPr>
            </w:pPr>
            <w:r>
              <w:rPr>
                <w:sz w:val="4"/>
                <w:szCs w:val="4"/>
              </w:rPr>
            </w:r>
          </w:p>
        </w:tc>
      </w:tr>
    </w:tbl>
    <w:p>
      <w:pPr>
        <w:pStyle w:val="TextBody"/>
        <w:jc w:val="center"/>
        <w:rPr>
          <w:rFonts w:ascii="times" w:hAnsi="times"/>
          <w:sz w:val="20"/>
        </w:rPr>
      </w:pPr>
      <w:r>
        <w:rPr>
          <w:rFonts w:ascii="times" w:hAnsi="times"/>
          <w:sz w:val="20"/>
        </w:rPr>
        <w:t>S-21</w:t>
      </w:r>
    </w:p>
    <w:p>
      <w:pPr>
        <w:pStyle w:val="HorizontalLine"/>
        <w:pBdr>
          <w:bottom w:val="single" w:sz="20" w:space="0" w:color="808080"/>
        </w:pBdr>
        <w:rPr/>
      </w:pPr>
      <w:r>
        <w:rPr/>
      </w:r>
      <w:r>
        <w:br w:type="page"/>
      </w:r>
    </w:p>
    <w:p>
      <w:pPr>
        <w:pStyle w:val="TextBody"/>
        <w:rPr/>
      </w:pPr>
      <w:hyperlink w:anchor="bE43504A_main_toc">
        <w:bookmarkStart w:id="64" w:name="page_bo43504_1_22"/>
        <w:bookmarkEnd w:id="64"/>
        <w:r>
          <w:rPr>
            <w:rStyle w:val="InternetLink"/>
            <w:rFonts w:ascii="times" w:hAnsi="times"/>
            <w:sz w:val="20"/>
          </w:rPr>
          <w:t>Table of Contents</w:t>
        </w:r>
      </w:hyperlink>
    </w:p>
    <w:p>
      <w:pPr>
        <w:pStyle w:val="TextBody"/>
        <w:numPr>
          <w:ilvl w:val="0"/>
          <w:numId w:val="0"/>
        </w:numPr>
        <w:ind w:left="707" w:hanging="0"/>
        <w:jc w:val="left"/>
        <w:rPr>
          <w:rFonts w:ascii="times" w:hAnsi="times"/>
          <w:sz w:val="14"/>
        </w:rPr>
      </w:pPr>
      <w:r>
        <w:rPr>
          <w:rFonts w:ascii="times" w:hAnsi="times"/>
          <w:sz w:val="14"/>
        </w:rPr>
        <w:t xml:space="preserve">*** Refers to movement in reserves (other than the dry-docking and replacement capital reserves) which have been established for the proper conduct of the business of the Partnership and its subsidiaries (including reserves for future capital expenditures and for anticipated future credit needs of the Partnership and its subsidiaries). </w:t>
      </w:r>
    </w:p>
    <w:p>
      <w:pPr>
        <w:pStyle w:val="TextBody"/>
        <w:numPr>
          <w:ilvl w:val="0"/>
          <w:numId w:val="0"/>
        </w:numPr>
        <w:ind w:left="707" w:hanging="0"/>
        <w:jc w:val="left"/>
        <w:rPr>
          <w:rFonts w:ascii="times" w:hAnsi="times"/>
          <w:sz w:val="14"/>
        </w:rPr>
      </w:pPr>
      <w:r>
        <w:rPr>
          <w:rFonts w:ascii="times" w:hAnsi="times"/>
          <w:sz w:val="14"/>
        </w:rPr>
        <w:t xml:space="preserve">**** Refers to cash distributions made since the Partnership's IPO. It excludes payments of dividends due to GasLog before vessels were acquired by the Partnership. </w:t>
      </w:r>
    </w:p>
    <w:p>
      <w:pPr>
        <w:pStyle w:val="TextBody"/>
        <w:numPr>
          <w:ilvl w:val="0"/>
          <w:numId w:val="0"/>
        </w:numPr>
        <w:ind w:left="707" w:hanging="0"/>
        <w:jc w:val="left"/>
        <w:rPr>
          <w:rFonts w:ascii="times" w:hAnsi="times"/>
          <w:sz w:val="14"/>
        </w:rPr>
      </w:pPr>
      <w:r>
        <w:rPr>
          <w:rFonts w:ascii="times" w:hAnsi="times"/>
          <w:position w:val="5"/>
          <w:sz w:val="11"/>
          <w:sz w:val="14"/>
        </w:rPr>
        <w:t>(6)</w:t>
      </w:r>
      <w:r>
        <w:rPr>
          <w:rFonts w:ascii="times" w:hAnsi="times"/>
          <w:sz w:val="14"/>
        </w:rPr>
        <w:t xml:space="preserve"> Does not reflect a distribution of $19.6 million declared in January 2017 and paid in February 2017, in respect of the fourth quarter of 2016. </w:t>
      </w:r>
    </w:p>
    <w:p>
      <w:pPr>
        <w:pStyle w:val="TextBody"/>
        <w:numPr>
          <w:ilvl w:val="0"/>
          <w:numId w:val="0"/>
        </w:numPr>
        <w:ind w:left="707" w:hanging="0"/>
        <w:jc w:val="left"/>
        <w:rPr>
          <w:rFonts w:ascii="times" w:hAnsi="times"/>
        </w:rPr>
      </w:pPr>
      <w:r>
        <w:rPr>
          <w:rFonts w:ascii="times" w:hAnsi="times"/>
          <w:position w:val="5"/>
          <w:sz w:val="11"/>
          <w:sz w:val="14"/>
        </w:rPr>
        <w:t>(7)</w:t>
      </w:r>
      <w:r>
        <w:rPr>
          <w:rFonts w:ascii="times" w:hAnsi="times"/>
          <w:sz w:val="14"/>
        </w:rPr>
        <w:t xml:space="preserve"> Cash distribution paid includes $7.8 million, $3.0 million and $1.0 million of dividends due to GasLog which were declared in 2015 prior to the contribution of the </w:t>
      </w:r>
      <w:r>
        <w:rPr>
          <w:rFonts w:ascii="times" w:hAnsi="times"/>
          <w:i/>
          <w:sz w:val="14"/>
        </w:rPr>
        <w:t>GasLog Seattle,</w:t>
      </w:r>
      <w:r>
        <w:rPr>
          <w:rFonts w:ascii="times" w:hAnsi="times"/>
        </w:rPr>
        <w:t xml:space="preserve"> </w:t>
      </w:r>
      <w:r>
        <w:rPr>
          <w:rFonts w:ascii="times" w:hAnsi="times"/>
          <w:sz w:val="14"/>
        </w:rPr>
        <w:t xml:space="preserve">the </w:t>
      </w:r>
      <w:r>
        <w:rPr>
          <w:rFonts w:ascii="times" w:hAnsi="times"/>
          <w:i/>
          <w:sz w:val="14"/>
        </w:rPr>
        <w:t>Solaris</w:t>
      </w:r>
      <w:r>
        <w:rPr>
          <w:rFonts w:ascii="times" w:hAnsi="times"/>
        </w:rPr>
        <w:t xml:space="preserve"> </w:t>
      </w:r>
      <w:r>
        <w:rPr>
          <w:rFonts w:ascii="times" w:hAnsi="times"/>
          <w:sz w:val="14"/>
        </w:rPr>
        <w:t xml:space="preserve">and the </w:t>
      </w:r>
      <w:r>
        <w:rPr>
          <w:rFonts w:ascii="times" w:hAnsi="times"/>
          <w:i/>
          <w:sz w:val="14"/>
        </w:rPr>
        <w:t>Methane Becki Anne,</w:t>
      </w:r>
      <w:r>
        <w:rPr>
          <w:rFonts w:ascii="times" w:hAnsi="times"/>
        </w:rPr>
        <w:t xml:space="preserve"> </w:t>
      </w:r>
      <w:r>
        <w:rPr>
          <w:rFonts w:ascii="times" w:hAnsi="times"/>
          <w:sz w:val="14"/>
        </w:rPr>
        <w:t xml:space="preserve">respectively, to the Partnership. </w:t>
      </w:r>
    </w:p>
    <w:p>
      <w:pPr>
        <w:pStyle w:val="TextBody"/>
        <w:numPr>
          <w:ilvl w:val="0"/>
          <w:numId w:val="0"/>
        </w:numPr>
        <w:ind w:left="707" w:hanging="0"/>
        <w:jc w:val="left"/>
        <w:rPr>
          <w:rFonts w:ascii="times" w:hAnsi="times"/>
          <w:sz w:val="14"/>
        </w:rPr>
      </w:pPr>
      <w:r>
        <w:rPr>
          <w:rFonts w:ascii="times" w:hAnsi="times"/>
          <w:position w:val="5"/>
          <w:sz w:val="11"/>
          <w:sz w:val="14"/>
        </w:rPr>
        <w:t>(8)</w:t>
      </w:r>
      <w:r>
        <w:rPr>
          <w:rFonts w:ascii="times" w:hAnsi="times"/>
          <w:sz w:val="14"/>
        </w:rPr>
        <w:t xml:space="preserve"> Does not reflect a distribution of $22.8 million declared in January 2018 and paid in February 2018, in respect of the fourth quarter of 2017. </w:t>
      </w:r>
    </w:p>
    <w:p>
      <w:pPr>
        <w:pStyle w:val="TextBody"/>
        <w:numPr>
          <w:ilvl w:val="0"/>
          <w:numId w:val="0"/>
        </w:numPr>
        <w:ind w:left="707" w:hanging="0"/>
        <w:jc w:val="left"/>
        <w:rPr>
          <w:rFonts w:ascii="times" w:hAnsi="times"/>
          <w:sz w:val="14"/>
        </w:rPr>
      </w:pPr>
      <w:r>
        <w:rPr>
          <w:rFonts w:ascii="times" w:hAnsi="times"/>
          <w:position w:val="5"/>
          <w:sz w:val="11"/>
          <w:sz w:val="14"/>
        </w:rPr>
        <w:t>(9)</w:t>
      </w:r>
      <w:r>
        <w:rPr>
          <w:rFonts w:ascii="times" w:hAnsi="times"/>
          <w:sz w:val="14"/>
        </w:rPr>
        <w:t xml:space="preserve"> Does not reflect a distribution of $26.9 million declared in January 2019 and paid in February 2019, in respect of the fourth quarter of 2018. </w:t>
      </w:r>
    </w:p>
    <w:p>
      <w:pPr>
        <w:pStyle w:val="TextBody"/>
        <w:numPr>
          <w:ilvl w:val="0"/>
          <w:numId w:val="0"/>
        </w:numPr>
        <w:ind w:left="707" w:hanging="0"/>
        <w:jc w:val="left"/>
        <w:rPr>
          <w:rFonts w:ascii="times" w:hAnsi="times"/>
          <w:sz w:val="14"/>
        </w:rPr>
      </w:pPr>
      <w:r>
        <w:rPr>
          <w:rFonts w:ascii="times" w:hAnsi="times"/>
          <w:position w:val="5"/>
          <w:sz w:val="11"/>
          <w:sz w:val="14"/>
        </w:rPr>
        <w:t>(10)</w:t>
      </w:r>
      <w:r>
        <w:rPr>
          <w:rFonts w:ascii="times" w:hAnsi="times"/>
          <w:sz w:val="14"/>
        </w:rPr>
        <w:t xml:space="preserve"> Does not reflect a distribution of $26.8 million declared and paid in February 2020, in respect of the fourth quarter of 2019. </w:t>
      </w:r>
    </w:p>
    <w:p>
      <w:pPr>
        <w:pStyle w:val="TextBody"/>
        <w:numPr>
          <w:ilvl w:val="0"/>
          <w:numId w:val="0"/>
        </w:numPr>
        <w:ind w:left="707" w:hanging="0"/>
        <w:jc w:val="left"/>
        <w:rPr>
          <w:rFonts w:ascii="times" w:hAnsi="times"/>
          <w:sz w:val="14"/>
        </w:rPr>
      </w:pPr>
      <w:r>
        <w:rPr>
          <w:rFonts w:ascii="times" w:hAnsi="times"/>
          <w:position w:val="5"/>
          <w:sz w:val="11"/>
          <w:sz w:val="14"/>
        </w:rPr>
        <w:t>(11)</w:t>
      </w:r>
      <w:r>
        <w:rPr>
          <w:rFonts w:ascii="times" w:hAnsi="times"/>
          <w:sz w:val="14"/>
        </w:rPr>
        <w:t xml:space="preserve"> Does not reflect a distribution of $0.5 million declared in January 2021 and paid in February 2021, in respect of the fourth quarter of 2020. </w:t>
      </w:r>
    </w:p>
    <w:p>
      <w:pPr>
        <w:pStyle w:val="TextBody"/>
        <w:jc w:val="center"/>
        <w:rPr>
          <w:rFonts w:ascii="times" w:hAnsi="times"/>
          <w:sz w:val="20"/>
        </w:rPr>
      </w:pPr>
      <w:r>
        <w:rPr>
          <w:rFonts w:ascii="times" w:hAnsi="times"/>
          <w:sz w:val="20"/>
        </w:rPr>
        <w:t>S-22</w:t>
      </w:r>
    </w:p>
    <w:p>
      <w:pPr>
        <w:pStyle w:val="HorizontalLine"/>
        <w:pBdr>
          <w:bottom w:val="single" w:sz="20" w:space="0" w:color="808080"/>
        </w:pBdr>
        <w:rPr/>
      </w:pPr>
      <w:r>
        <w:rPr/>
      </w:r>
      <w:r>
        <w:br w:type="page"/>
      </w:r>
    </w:p>
    <w:p>
      <w:pPr>
        <w:pStyle w:val="TextBody"/>
        <w:rPr/>
      </w:pPr>
      <w:hyperlink w:anchor="bE43504A_main_toc">
        <w:bookmarkStart w:id="65" w:name="page_ca43504_1_23"/>
        <w:bookmarkEnd w:id="65"/>
        <w:r>
          <w:rPr>
            <w:rStyle w:val="InternetLink"/>
            <w:rFonts w:ascii="times" w:hAnsi="times"/>
            <w:sz w:val="20"/>
          </w:rPr>
          <w:t>Table of Contents</w:t>
        </w:r>
      </w:hyperlink>
      <w:r>
        <w:rPr>
          <w:rFonts w:ascii="times" w:hAnsi="times"/>
          <w:sz w:val="20"/>
        </w:rPr>
        <w:t xml:space="preserve"> </w:t>
      </w:r>
    </w:p>
    <w:p>
      <w:pPr>
        <w:pStyle w:val="TextBody"/>
        <w:jc w:val="center"/>
        <w:rPr>
          <w:rFonts w:ascii="times" w:hAnsi="times"/>
        </w:rPr>
      </w:pPr>
      <w:bookmarkStart w:id="66" w:name="toc_ca43504_1"/>
      <w:bookmarkStart w:id="67" w:name="ca43504_risk_factors"/>
      <w:bookmarkEnd w:id="66"/>
      <w:bookmarkEnd w:id="67"/>
      <w:r>
        <w:rPr>
          <w:rFonts w:ascii="times" w:hAnsi="times"/>
          <w:sz w:val="20"/>
        </w:rPr>
        <w:br/>
      </w:r>
      <w:r>
        <w:rPr>
          <w:rFonts w:ascii="times" w:hAnsi="times"/>
          <w:b/>
          <w:sz w:val="20"/>
        </w:rPr>
        <w:t xml:space="preserve">RISK FACTORS </w:t>
      </w:r>
    </w:p>
    <w:p>
      <w:pPr>
        <w:pStyle w:val="TextBody"/>
        <w:ind w:left="0" w:right="0" w:hanging="0"/>
        <w:rPr>
          <w:rFonts w:ascii="times" w:hAnsi="times"/>
          <w:b/>
          <w:i/>
          <w:sz w:val="20"/>
        </w:rPr>
      </w:pPr>
      <w:r>
        <w:rPr>
          <w:rFonts w:ascii="times" w:hAnsi="times"/>
          <w:b/>
          <w:i/>
          <w:sz w:val="20"/>
        </w:rPr>
        <w:t xml:space="preserve">Any investment in our common units involves a high degree of risk. Before investing in our common units, you should carefully consider the important factors set forth under the heading "Risk Factors" starting on page 11 of our Annual Report on Form 20-F, which was filed with the SEC on March 2, 2021 and is incorporated herein by reference. For further details, see the sections entitled "Where You Can Find Additional Information" and "Incorporation of Certain Information by Reference". </w:t>
      </w:r>
    </w:p>
    <w:p>
      <w:pPr>
        <w:pStyle w:val="TextBody"/>
        <w:rPr>
          <w:rFonts w:ascii="times" w:hAnsi="times"/>
          <w:sz w:val="20"/>
        </w:rPr>
      </w:pPr>
      <w:r>
        <w:rPr>
          <w:rFonts w:ascii="times" w:hAnsi="times"/>
          <w:sz w:val="20"/>
        </w:rPr>
        <w:t xml:space="preserve">If any of these risks were to materialize, our business, results of operations, cash flows and financial condition could be materially adversely affected. In that case, our ability to make distributions to our unitholders may be reduced, the trading price of our common units could decline and you could lose all or part of your investment. The risks referred to above are not the only ones that may exist. Additional risks not currently known by us or that we deem immaterial may also impair our business operations. </w:t>
      </w:r>
    </w:p>
    <w:p>
      <w:pPr>
        <w:pStyle w:val="TextBody"/>
        <w:jc w:val="center"/>
        <w:rPr>
          <w:rFonts w:ascii="times" w:hAnsi="times"/>
          <w:sz w:val="20"/>
        </w:rPr>
      </w:pPr>
      <w:r>
        <w:rPr>
          <w:rFonts w:ascii="times" w:hAnsi="times"/>
          <w:sz w:val="20"/>
        </w:rPr>
        <w:t>S-23</w:t>
      </w:r>
    </w:p>
    <w:p>
      <w:pPr>
        <w:pStyle w:val="HorizontalLine"/>
        <w:pBdr>
          <w:bottom w:val="single" w:sz="20" w:space="0" w:color="808080"/>
        </w:pBdr>
        <w:rPr/>
      </w:pPr>
      <w:r>
        <w:rPr/>
      </w:r>
      <w:r>
        <w:br w:type="page"/>
      </w:r>
    </w:p>
    <w:p>
      <w:pPr>
        <w:pStyle w:val="TextBody"/>
        <w:rPr/>
      </w:pPr>
      <w:hyperlink w:anchor="bE43504A_main_toc">
        <w:bookmarkStart w:id="68" w:name="page_ca43504_1_24"/>
        <w:bookmarkEnd w:id="68"/>
        <w:r>
          <w:rPr>
            <w:rStyle w:val="InternetLink"/>
            <w:rFonts w:ascii="times" w:hAnsi="times"/>
            <w:sz w:val="20"/>
          </w:rPr>
          <w:t>Table of Contents</w:t>
        </w:r>
      </w:hyperlink>
    </w:p>
    <w:p>
      <w:pPr>
        <w:pStyle w:val="TextBody"/>
        <w:jc w:val="center"/>
        <w:rPr>
          <w:rFonts w:ascii="times" w:hAnsi="times"/>
        </w:rPr>
      </w:pPr>
      <w:bookmarkStart w:id="69" w:name="toc_ca43504_2"/>
      <w:bookmarkStart w:id="70" w:name="ca43504_forward-looking_statements"/>
      <w:bookmarkEnd w:id="69"/>
      <w:bookmarkEnd w:id="70"/>
      <w:r>
        <w:rPr>
          <w:rFonts w:ascii="times" w:hAnsi="times"/>
          <w:sz w:val="20"/>
        </w:rPr>
        <w:br/>
      </w:r>
      <w:r>
        <w:rPr>
          <w:rFonts w:ascii="times" w:hAnsi="times"/>
          <w:b/>
          <w:sz w:val="20"/>
        </w:rPr>
        <w:t xml:space="preserve">FORWARD-LOOKING STATEMENTS </w:t>
      </w:r>
    </w:p>
    <w:p>
      <w:pPr>
        <w:pStyle w:val="TextBody"/>
        <w:rPr>
          <w:rFonts w:ascii="times" w:hAnsi="times"/>
          <w:sz w:val="20"/>
        </w:rPr>
      </w:pPr>
      <w:r>
        <w:rPr>
          <w:rFonts w:ascii="times" w:hAnsi="times"/>
          <w:sz w:val="20"/>
        </w:rPr>
        <w:t xml:space="preserve">All statements in this prospectus supplement that are not statements of historical fact are "forward-looking statements" within the meaning of the U.S. Private Securities Litigation Reform Act of 1995. Forward-looking statements include statements that address activities, events or developments that the Partnership expects, projects, believes or anticipates will or may occur in the future, particularly in relation to our operations, cash flows, financial position, liquidity and cash available for distributions and the impact of cash distribution reductions on the Partnership's business and growth prospects, plans, strategies, and changes and trends in our business and the markets in which we operate. In some cases, predictive, future-tense or forward-looking words such as "believe", "intend", "anticipate", "estimate", "project", "forecast", "plan", "potential", "may", "should", "could" and "expect" and similar expressions are intended to identify forward-looking statements, but are not the exclusive means of identifying such statements. In addition, we and our representatives may from time to time make other oral or written statements which are forward-looking statements, including in our periodic reports that we file with the SEC, other information sent to our security holders, and other written materials. We caution that these forward-looking statements represent our estimates and assumptions only as of the date of this prospectus supplement or the date on which such oral or written statements are made, as applicable, about factors that are beyond our ability to control or predict, and are not intended to give any assurance as to future results. Any of these factors or a combination of these factors could materially affect future results of operations and the ultimate accuracy of the forward-looking statements. Accordingly, you should not unduly rely on any forward-looking statements. </w:t>
      </w:r>
    </w:p>
    <w:p>
      <w:pPr>
        <w:pStyle w:val="TextBody"/>
        <w:rPr>
          <w:rFonts w:ascii="times" w:hAnsi="times"/>
          <w:sz w:val="20"/>
        </w:rPr>
      </w:pPr>
      <w:r>
        <w:rPr>
          <w:rFonts w:ascii="times" w:hAnsi="times"/>
          <w:sz w:val="20"/>
        </w:rPr>
        <w:t>Factors that might cause future results and outcomes to differ include, but are not limited to, the following:</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general LNG shipping market conditions and trends, including spot and multi-year charter rates, ship values, factors affecting supply and demand of LNG and LNG shipping, including geopolitical events, technological advancements and opportunities for the profitable operations of LNG carriers;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fluctuations in charter hire rates, vessel utilization and vessel values;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our ability to secure new multi-year charters at economically attractive rates;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our ability to maximize the use of our vessels, including the re-deployment or disposition of vessels which are not operating under multi-year charters, including the risk that certain of our vessels may no longer have the latest technology at such time which may impact our ability to secure employment for such vessels as well as the rate at which we can charter such vessels;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changes in our operating expenses, including crew wages, maintenance, dry-docking and insurance costs and bunker prices;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number of off-hire days and dry-docking requirements including our ability to complete scheduled dry-dockings on time and within budget;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planned capital expenditures and availability of capital resources to fund capital expenditures;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disruption to the LNG, LNG shipping and financial markets caused by the global shutdown as a result of the COVID-19 pandemic;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business disruptions resulting from measures taken to reduce the spread of COVID-19, including possible delays due to the quarantine of vessels and crew, as well as government-imposed shutdowns; </w:t>
      </w:r>
    </w:p>
    <w:p>
      <w:pPr>
        <w:pStyle w:val="TextBody"/>
        <w:jc w:val="center"/>
        <w:rPr>
          <w:rFonts w:ascii="times" w:hAnsi="times"/>
          <w:sz w:val="20"/>
        </w:rPr>
      </w:pPr>
      <w:r>
        <w:rPr>
          <w:rFonts w:ascii="times" w:hAnsi="times"/>
          <w:sz w:val="20"/>
        </w:rPr>
        <w:t>S-24</w:t>
      </w:r>
    </w:p>
    <w:p>
      <w:pPr>
        <w:pStyle w:val="HorizontalLine"/>
        <w:pBdr>
          <w:bottom w:val="single" w:sz="20" w:space="0" w:color="808080"/>
        </w:pBdr>
        <w:rPr/>
      </w:pPr>
      <w:r>
        <w:rPr/>
      </w:r>
      <w:r>
        <w:br w:type="page"/>
      </w:r>
    </w:p>
    <w:p>
      <w:pPr>
        <w:pStyle w:val="TextBody"/>
        <w:rPr/>
      </w:pPr>
      <w:hyperlink w:anchor="bE43504A_main_toc">
        <w:bookmarkStart w:id="71" w:name="page_ca43504_1_25"/>
        <w:bookmarkEnd w:id="71"/>
        <w:r>
          <w:rPr>
            <w:rStyle w:val="InternetLink"/>
            <w:rFonts w:ascii="times" w:hAnsi="times"/>
            <w:sz w:val="20"/>
          </w:rPr>
          <w:t>Table of Contents</w:t>
        </w:r>
      </w:hyperlink>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fluctuations in prices for crude oil, petroleum products and natural gas, including LNG;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fluctuations in exchange rates, especially the U.S. dollar and Euro;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our ability to expand our portfolio by acquiring vessels through our drop-down pipeline with GasLog or by acquiring other assets from third parties;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our ability to leverage GasLog's relationships and reputation in the shipping industry;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the ability of GasLog to maintain long-term relationships with major energy companies and major LNG producers, marketers and consumers;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GasLog's relationships with its employees and ship crews, its ability to retain key employees and provide services to us, and the availability of skilled labor, ship crews and management;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changes in the ownership of our charterers;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our customers' performance of their obligations under our time charters and other contracts;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our future operating performance, financial condition, liquidity and cash available for distributions;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our distribution policy and our ability to make cash distributions on our units or the impact of cash distribution reductions on our financial position;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our ability to obtain debt and equity financing on acceptable terms to fund capital expenditures, acquisitions and other corporate activities, funding by banks of their financial commitments, funding by GasLog of the Sponsor Credit Facility (as defined below) and our ability to meet our restrictive covenants and other obligations under our credit facilities;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future, pending or recent acquisitions of ships or other assets, business strategy, areas of possible expansion and expected capital spending;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risks inherent in ship operation, including the discharge of pollutants;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the impact on us and the shipping industry of environmental concerns, including climate change;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any malfunction or disruption of information technology systems and networks that our operations rely on or any impact of a possible cybersecurity event;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the expected cost of and our ability to comply with environmental and regulatory requirements, including with respect to emissions of air pollutants and greenhouse gases, as well as future changes in such requirements or other actions taken by regulatory authorities, governmental organizations, classification societies and standards imposed by our charterers applicable to our business;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potential disruption of shipping routes due to accidents, diseases, pandemics, political events, piracy or acts by terrorists;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potential liability from future litigation; and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other factors discussed in "Item 3. Key InformationD. Risk Factors" of our Annual Report on Form 20-F filed with the SEC on March 2, 2021. </w:t>
      </w:r>
    </w:p>
    <w:p>
      <w:pPr>
        <w:pStyle w:val="TextBody"/>
        <w:rPr>
          <w:rFonts w:ascii="times" w:hAnsi="times"/>
          <w:sz w:val="20"/>
        </w:rPr>
      </w:pPr>
      <w:r>
        <w:rPr>
          <w:rFonts w:ascii="times" w:hAnsi="times"/>
          <w:sz w:val="20"/>
        </w:rPr>
        <w:t xml:space="preserve">We undertake no obligation to update or revise any forward-looking statements contained in this prospectus, whether as a result of new information, future events, a change in our views or expectations or otherwise, except as required by applicable law. New factors emerge from time to time, and it is not possible for us to predict all of these factors. Further, we cannot assess the impact of each such factor on our business or the extent to which any factor, or combination of factors, may cause actual results to be materially different from those contained in any forward-looking statement. </w:t>
      </w:r>
    </w:p>
    <w:p>
      <w:pPr>
        <w:pStyle w:val="TextBody"/>
        <w:jc w:val="center"/>
        <w:rPr>
          <w:rFonts w:ascii="times" w:hAnsi="times"/>
          <w:sz w:val="20"/>
        </w:rPr>
      </w:pPr>
      <w:r>
        <w:rPr>
          <w:rFonts w:ascii="times" w:hAnsi="times"/>
          <w:sz w:val="20"/>
        </w:rPr>
        <w:t>S-25</w:t>
      </w:r>
    </w:p>
    <w:p>
      <w:pPr>
        <w:pStyle w:val="HorizontalLine"/>
        <w:pBdr>
          <w:bottom w:val="single" w:sz="20" w:space="0" w:color="808080"/>
        </w:pBdr>
        <w:rPr/>
      </w:pPr>
      <w:r>
        <w:rPr/>
      </w:r>
      <w:r>
        <w:br w:type="page"/>
      </w:r>
    </w:p>
    <w:p>
      <w:pPr>
        <w:pStyle w:val="TextBody"/>
        <w:rPr/>
      </w:pPr>
      <w:hyperlink w:anchor="bE43504A_main_toc">
        <w:bookmarkStart w:id="72" w:name="page_ca43504_1_26"/>
        <w:bookmarkEnd w:id="72"/>
        <w:r>
          <w:rPr>
            <w:rStyle w:val="InternetLink"/>
            <w:rFonts w:ascii="times" w:hAnsi="times"/>
            <w:sz w:val="20"/>
          </w:rPr>
          <w:t>Table of Contents</w:t>
        </w:r>
      </w:hyperlink>
    </w:p>
    <w:p>
      <w:pPr>
        <w:pStyle w:val="TextBody"/>
        <w:jc w:val="center"/>
        <w:rPr>
          <w:rFonts w:ascii="times" w:hAnsi="times"/>
        </w:rPr>
      </w:pPr>
      <w:bookmarkStart w:id="73" w:name="toc_ca43504_3"/>
      <w:bookmarkStart w:id="74" w:name="ca43504_use_of_proceeds"/>
      <w:bookmarkEnd w:id="73"/>
      <w:bookmarkEnd w:id="74"/>
      <w:r>
        <w:rPr>
          <w:rFonts w:ascii="times" w:hAnsi="times"/>
          <w:sz w:val="20"/>
        </w:rPr>
        <w:br/>
      </w:r>
      <w:r>
        <w:rPr>
          <w:rFonts w:ascii="times" w:hAnsi="times"/>
          <w:b/>
          <w:sz w:val="20"/>
        </w:rPr>
        <w:t xml:space="preserve">USE OF PROCEEDS </w:t>
      </w:r>
    </w:p>
    <w:p>
      <w:pPr>
        <w:pStyle w:val="TextBody"/>
        <w:rPr>
          <w:rFonts w:ascii="times" w:hAnsi="times"/>
          <w:sz w:val="20"/>
        </w:rPr>
      </w:pPr>
      <w:r>
        <w:rPr>
          <w:rFonts w:ascii="times" w:hAnsi="times"/>
          <w:sz w:val="20"/>
        </w:rPr>
        <w:t xml:space="preserve">We intend to use the net proceeds from this offering, after deducting the sales agents' commissions and estimated expenses payable by us, for general partnership purposes, which may include future acquisitions, debt repayment, capital expenditures and additions to working capital. This may include future acquisitions from GasLog. </w:t>
      </w:r>
    </w:p>
    <w:p>
      <w:pPr>
        <w:pStyle w:val="TextBody"/>
        <w:rPr>
          <w:rFonts w:ascii="times" w:hAnsi="times"/>
          <w:sz w:val="20"/>
        </w:rPr>
      </w:pPr>
      <w:r>
        <w:rPr>
          <w:rFonts w:ascii="times" w:hAnsi="times"/>
          <w:sz w:val="20"/>
        </w:rPr>
        <w:t xml:space="preserve">We are not obligated to purchase any of the vessels from GasLog that we have the option to purchase under the omnibus agreement and, accordingly, we may not complete the purchase of any such vessels. Furthermore, our ability to purchase any additional vessels, including under the omnibus agreement, is dependent on our ability to obtain financing to fund all or a portion of the acquisition costs of these vessels. See "Item 3. Key InformationD. Risk FactorsRisks Inherent in Our Business" of our Annual Report on Form 20-F for a discussion of the risks we face in acquiring vessels. See also "Item 7. Major Unitholders and Related Party TransactionsB. Related Party TransactionsOmnibus Agreement" of our Annual Report on Form 20-F. </w:t>
      </w:r>
    </w:p>
    <w:p>
      <w:pPr>
        <w:pStyle w:val="TextBody"/>
        <w:jc w:val="center"/>
        <w:rPr>
          <w:rFonts w:ascii="times" w:hAnsi="times"/>
          <w:sz w:val="20"/>
        </w:rPr>
      </w:pPr>
      <w:r>
        <w:rPr>
          <w:rFonts w:ascii="times" w:hAnsi="times"/>
          <w:sz w:val="20"/>
        </w:rPr>
        <w:t>S-26</w:t>
      </w:r>
    </w:p>
    <w:p>
      <w:pPr>
        <w:pStyle w:val="HorizontalLine"/>
        <w:pBdr>
          <w:bottom w:val="single" w:sz="20" w:space="0" w:color="808080"/>
        </w:pBdr>
        <w:rPr/>
      </w:pPr>
      <w:r>
        <w:rPr/>
      </w:r>
      <w:r>
        <w:br w:type="page"/>
      </w:r>
    </w:p>
    <w:p>
      <w:pPr>
        <w:pStyle w:val="TextBody"/>
        <w:rPr/>
      </w:pPr>
      <w:hyperlink w:anchor="bE43504A_main_toc">
        <w:bookmarkStart w:id="75" w:name="page_ca43504_1_27"/>
        <w:bookmarkEnd w:id="75"/>
        <w:r>
          <w:rPr>
            <w:rStyle w:val="InternetLink"/>
            <w:rFonts w:ascii="times" w:hAnsi="times"/>
            <w:sz w:val="20"/>
          </w:rPr>
          <w:t>Table of Contents</w:t>
        </w:r>
      </w:hyperlink>
    </w:p>
    <w:p>
      <w:pPr>
        <w:pStyle w:val="TextBody"/>
        <w:jc w:val="center"/>
        <w:rPr>
          <w:rFonts w:ascii="times" w:hAnsi="times"/>
        </w:rPr>
      </w:pPr>
      <w:bookmarkStart w:id="76" w:name="toc_ca43504_4"/>
      <w:bookmarkStart w:id="77" w:name="ca43504_cash_and_capitalization"/>
      <w:bookmarkEnd w:id="76"/>
      <w:bookmarkEnd w:id="77"/>
      <w:r>
        <w:rPr>
          <w:rFonts w:ascii="times" w:hAnsi="times"/>
          <w:sz w:val="20"/>
        </w:rPr>
        <w:br/>
      </w:r>
      <w:r>
        <w:rPr>
          <w:rFonts w:ascii="times" w:hAnsi="times"/>
          <w:b/>
          <w:sz w:val="20"/>
        </w:rPr>
        <w:t xml:space="preserve">CASH AND CAPITALIZATION </w:t>
      </w:r>
    </w:p>
    <w:p>
      <w:pPr>
        <w:pStyle w:val="TextBody"/>
        <w:rPr>
          <w:rFonts w:ascii="times" w:hAnsi="times"/>
          <w:sz w:val="20"/>
        </w:rPr>
      </w:pPr>
      <w:r>
        <w:rPr>
          <w:rFonts w:ascii="times" w:hAnsi="times"/>
          <w:sz w:val="20"/>
        </w:rPr>
        <w:t>The following table shows (a) cash and cash equivalents and (b) consolidated capitalization as of December 31, 2020 on an:</w:t>
      </w:r>
    </w:p>
    <w:p>
      <w:pPr>
        <w:pStyle w:val="ListHeading"/>
        <w:spacing w:before="0" w:after="0"/>
        <w:rPr>
          <w:rFonts w:ascii="times" w:hAnsi="times"/>
          <w:sz w:val="20"/>
        </w:rPr>
      </w:pPr>
      <w:r>
        <w:rPr>
          <w:rFonts w:ascii="times" w:hAnsi="times"/>
          <w:sz w:val="20"/>
        </w:rPr>
        <w:t></w:t>
      </w:r>
    </w:p>
    <w:p>
      <w:pPr>
        <w:pStyle w:val="ListContents"/>
        <w:spacing w:before="0" w:after="283"/>
        <w:rPr>
          <w:rFonts w:ascii="times" w:hAnsi="times"/>
          <w:sz w:val="20"/>
        </w:rPr>
      </w:pPr>
      <w:r>
        <w:rPr>
          <w:rFonts w:ascii="times" w:hAnsi="times"/>
          <w:sz w:val="20"/>
        </w:rPr>
        <w:t xml:space="preserve">actual basis; </w:t>
      </w:r>
    </w:p>
    <w:p>
      <w:pPr>
        <w:pStyle w:val="ListHeading"/>
        <w:spacing w:before="0" w:after="0"/>
        <w:rPr>
          <w:rFonts w:ascii="times" w:hAnsi="times"/>
          <w:sz w:val="20"/>
        </w:rPr>
      </w:pPr>
      <w:r>
        <w:rPr>
          <w:rFonts w:ascii="times" w:hAnsi="times"/>
          <w:sz w:val="20"/>
        </w:rPr>
        <w:t></w:t>
      </w:r>
    </w:p>
    <w:p>
      <w:pPr>
        <w:pStyle w:val="ListContents"/>
        <w:spacing w:before="0" w:after="283"/>
        <w:rPr>
          <w:rFonts w:ascii="times" w:hAnsi="times"/>
        </w:rPr>
      </w:pPr>
      <w:r>
        <w:rPr>
          <w:rFonts w:ascii="times" w:hAnsi="times"/>
          <w:sz w:val="20"/>
        </w:rPr>
        <w:t>as adjusted basis, giving effect to:</w:t>
      </w:r>
      <w:r>
        <w:rPr>
          <w:rFonts w:ascii="times" w:hAnsi="times"/>
        </w:rPr>
        <w:t xml:space="preserve"> </w:t>
      </w:r>
    </w:p>
    <w:p>
      <w:pPr>
        <w:pStyle w:val="ListHeading"/>
        <w:spacing w:before="0" w:after="0"/>
        <w:rPr>
          <w:rFonts w:ascii="times" w:hAnsi="times"/>
          <w:sz w:val="20"/>
        </w:rPr>
      </w:pPr>
      <w:r>
        <w:rPr>
          <w:rFonts w:ascii="times" w:hAnsi="times"/>
          <w:sz w:val="20"/>
        </w:rPr>
        <w:t></w:t>
      </w:r>
    </w:p>
    <w:p>
      <w:pPr>
        <w:pStyle w:val="ListContents"/>
        <w:spacing w:before="0" w:after="283"/>
        <w:rPr>
          <w:rFonts w:ascii="times" w:hAnsi="times"/>
          <w:sz w:val="20"/>
        </w:rPr>
      </w:pPr>
      <w:r>
        <w:rPr>
          <w:rFonts w:ascii="times" w:hAnsi="times"/>
          <w:sz w:val="20"/>
        </w:rPr>
        <w:t xml:space="preserve">scheduled principal payments on our bank indebtedness totaling $36.0 million during the period from January 1, 2021 to March 31, 2021; </w:t>
      </w:r>
    </w:p>
    <w:p>
      <w:pPr>
        <w:pStyle w:val="ListHeading"/>
        <w:spacing w:before="0" w:after="0"/>
        <w:rPr>
          <w:rFonts w:ascii="times" w:hAnsi="times"/>
          <w:sz w:val="20"/>
        </w:rPr>
      </w:pPr>
      <w:r>
        <w:rPr>
          <w:rFonts w:ascii="times" w:hAnsi="times"/>
          <w:sz w:val="20"/>
        </w:rPr>
        <w:t></w:t>
      </w:r>
    </w:p>
    <w:p>
      <w:pPr>
        <w:pStyle w:val="ListContents"/>
        <w:spacing w:before="0" w:after="283"/>
        <w:rPr>
          <w:rFonts w:ascii="times" w:hAnsi="times"/>
          <w:sz w:val="20"/>
        </w:rPr>
      </w:pPr>
      <w:r>
        <w:rPr>
          <w:rFonts w:ascii="times" w:hAnsi="times"/>
          <w:sz w:val="20"/>
        </w:rPr>
        <w:t xml:space="preserve">cash distribution of $0.5 million paid on February 11, 2021 to all unitholders of record as of February 8, 2021; and </w:t>
      </w:r>
    </w:p>
    <w:p>
      <w:pPr>
        <w:pStyle w:val="ListHeading"/>
        <w:spacing w:before="0" w:after="0"/>
        <w:rPr>
          <w:rFonts w:ascii="times" w:hAnsi="times"/>
          <w:sz w:val="20"/>
        </w:rPr>
      </w:pPr>
      <w:r>
        <w:rPr>
          <w:rFonts w:ascii="times" w:hAnsi="times"/>
          <w:sz w:val="20"/>
        </w:rPr>
        <w:t></w:t>
      </w:r>
    </w:p>
    <w:p>
      <w:pPr>
        <w:pStyle w:val="ListContents"/>
        <w:spacing w:before="0" w:after="283"/>
        <w:rPr>
          <w:rFonts w:ascii="times" w:hAnsi="times"/>
          <w:sz w:val="20"/>
        </w:rPr>
      </w:pPr>
      <w:r>
        <w:rPr>
          <w:rFonts w:ascii="times" w:hAnsi="times"/>
          <w:sz w:val="20"/>
        </w:rPr>
        <w:t xml:space="preserve">cash distribution of $7.6 million paid on March 15, 2021 to all preference unitholders of record as of March 8, 2021. </w:t>
      </w:r>
    </w:p>
    <w:p>
      <w:pPr>
        <w:pStyle w:val="TextBody"/>
        <w:rPr>
          <w:rFonts w:ascii="times" w:hAnsi="times"/>
          <w:sz w:val="20"/>
        </w:rPr>
      </w:pPr>
      <w:r>
        <w:rPr>
          <w:rFonts w:ascii="times" w:hAnsi="times"/>
          <w:sz w:val="20"/>
        </w:rPr>
        <w:t xml:space="preserve">Other than these adjustments, there has been no material change in our capitalization from debt or equity issuances, re-capitalizations or special dividends between December 31, 2020, and the date of this prospectus supplement. </w:t>
      </w:r>
    </w:p>
    <w:p>
      <w:pPr>
        <w:pStyle w:val="TextBody"/>
        <w:rPr>
          <w:rFonts w:ascii="times" w:hAnsi="times"/>
          <w:sz w:val="20"/>
        </w:rPr>
      </w:pPr>
      <w:r>
        <w:rPr>
          <w:rFonts w:ascii="times" w:hAnsi="times"/>
          <w:sz w:val="20"/>
        </w:rPr>
        <w:t xml:space="preserve">This table is derived from and should be read together with the consolidated financial statements of GasLog Partners LP and the accompanying notes incorporated herein by reference. You should also read this table in conjunction with "Item 5. Operating and Financial Review and Prospects" on Form 20-F as filed with the SEC on March 2, 2021 and incorporated herein by reference. </w:t>
      </w:r>
    </w:p>
    <w:tbl>
      <w:tblPr>
        <w:tblW w:w="5000" w:type="pct"/>
        <w:jc w:val="center"/>
        <w:tblInd w:w="0" w:type="dxa"/>
        <w:tblCellMar>
          <w:top w:w="0" w:type="dxa"/>
          <w:left w:w="0" w:type="dxa"/>
          <w:bottom w:w="0" w:type="dxa"/>
          <w:right w:w="0" w:type="dxa"/>
        </w:tblCellMar>
      </w:tblPr>
      <w:tblGrid>
        <w:gridCol w:w="7463"/>
        <w:gridCol w:w="108"/>
        <w:gridCol w:w="125"/>
        <w:gridCol w:w="1083"/>
        <w:gridCol w:w="108"/>
        <w:gridCol w:w="125"/>
        <w:gridCol w:w="1083"/>
        <w:gridCol w:w="110"/>
      </w:tblGrid>
      <w:tr>
        <w:trPr/>
        <w:tc>
          <w:tcPr>
            <w:tcW w:w="7463" w:type="dxa"/>
            <w:tcBorders/>
            <w:shd w:fill="auto" w:val="clear"/>
            <w:vAlign w:val="center"/>
          </w:tcPr>
          <w:p>
            <w:pPr>
              <w:pStyle w:val="TableContents"/>
              <w:spacing w:before="0" w:after="283"/>
              <w:rPr>
                <w:sz w:val="4"/>
                <w:szCs w:val="4"/>
              </w:rPr>
            </w:pPr>
            <w:r>
              <w:rPr>
                <w:sz w:val="4"/>
                <w:szCs w:val="4"/>
              </w:rPr>
            </w:r>
          </w:p>
        </w:tc>
        <w:tc>
          <w:tcPr>
            <w:tcW w:w="108"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1083" w:type="dxa"/>
            <w:tcBorders/>
            <w:shd w:fill="auto" w:val="clear"/>
            <w:vAlign w:val="center"/>
          </w:tcPr>
          <w:p>
            <w:pPr>
              <w:pStyle w:val="TableContents"/>
              <w:spacing w:before="0" w:after="283"/>
              <w:rPr>
                <w:sz w:val="4"/>
                <w:szCs w:val="4"/>
              </w:rPr>
            </w:pPr>
            <w:r>
              <w:rPr>
                <w:sz w:val="4"/>
                <w:szCs w:val="4"/>
              </w:rPr>
            </w:r>
          </w:p>
        </w:tc>
        <w:tc>
          <w:tcPr>
            <w:tcW w:w="108"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1083"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sz w:val="4"/>
                <w:szCs w:val="4"/>
              </w:rPr>
            </w:pPr>
            <w:r>
              <w:rPr>
                <w:sz w:val="4"/>
                <w:szCs w:val="4"/>
              </w:rPr>
            </w:r>
          </w:p>
        </w:tc>
      </w:tr>
      <w:tr>
        <w:trPr/>
        <w:tc>
          <w:tcPr>
            <w:tcW w:w="7463" w:type="dxa"/>
            <w:tcBorders/>
            <w:shd w:fill="auto" w:val="clear"/>
            <w:vAlign w:val="bottom"/>
          </w:tcPr>
          <w:p>
            <w:pPr>
              <w:pStyle w:val="TableHeading"/>
              <w:spacing w:before="0" w:after="283"/>
              <w:jc w:val="left"/>
              <w:rPr/>
            </w:pPr>
            <w:r>
              <w:rPr/>
              <w:t> </w:t>
            </w:r>
          </w:p>
        </w:tc>
        <w:tc>
          <w:tcPr>
            <w:tcW w:w="108" w:type="dxa"/>
            <w:tcBorders/>
            <w:shd w:fill="auto" w:val="clear"/>
            <w:vAlign w:val="bottom"/>
          </w:tcPr>
          <w:p>
            <w:pPr>
              <w:pStyle w:val="TableHeading"/>
              <w:suppressLineNumbers/>
              <w:spacing w:before="0" w:after="283"/>
              <w:jc w:val="center"/>
              <w:rPr/>
            </w:pPr>
            <w:r>
              <w:rPr/>
              <w:t> </w:t>
            </w:r>
          </w:p>
        </w:tc>
        <w:tc>
          <w:tcPr>
            <w:tcW w:w="2524" w:type="dxa"/>
            <w:gridSpan w:val="5"/>
            <w:tcBorders>
              <w:bottom w:val="single" w:sz="8" w:space="0" w:color="000000"/>
            </w:tcBorders>
            <w:shd w:fill="auto" w:val="clear"/>
            <w:tcMar>
              <w:bottom w:w="28" w:type="dxa"/>
            </w:tcMar>
            <w:vAlign w:val="bottom"/>
          </w:tcPr>
          <w:p>
            <w:pPr>
              <w:pStyle w:val="TableHeading"/>
              <w:spacing w:before="0" w:after="283"/>
              <w:jc w:val="center"/>
              <w:rPr>
                <w:rFonts w:ascii="times" w:hAnsi="times"/>
                <w:b/>
                <w:sz w:val="20"/>
              </w:rPr>
            </w:pPr>
            <w:r>
              <w:rPr>
                <w:rFonts w:ascii="times" w:hAnsi="times"/>
                <w:b/>
                <w:sz w:val="20"/>
              </w:rPr>
              <w:t xml:space="preserve">As of December 31, 2020 </w:t>
            </w:r>
          </w:p>
        </w:tc>
        <w:tc>
          <w:tcPr>
            <w:tcW w:w="110" w:type="dxa"/>
            <w:tcBorders/>
            <w:shd w:fill="auto" w:val="clear"/>
            <w:vAlign w:val="bottom"/>
          </w:tcPr>
          <w:p>
            <w:pPr>
              <w:pStyle w:val="TableHeading"/>
              <w:suppressLineNumbers/>
              <w:spacing w:before="0" w:after="283"/>
              <w:jc w:val="center"/>
              <w:rPr/>
            </w:pPr>
            <w:r>
              <w:rPr/>
              <w:t> </w:t>
            </w:r>
          </w:p>
        </w:tc>
      </w:tr>
      <w:tr>
        <w:trPr/>
        <w:tc>
          <w:tcPr>
            <w:tcW w:w="7463" w:type="dxa"/>
            <w:tcBorders/>
            <w:shd w:fill="auto" w:val="clear"/>
            <w:vAlign w:val="bottom"/>
          </w:tcPr>
          <w:p>
            <w:pPr>
              <w:pStyle w:val="TableHeading"/>
              <w:spacing w:before="0" w:after="283"/>
              <w:jc w:val="left"/>
              <w:rPr/>
            </w:pPr>
            <w:r>
              <w:rPr/>
              <w:t> </w:t>
            </w:r>
          </w:p>
        </w:tc>
        <w:tc>
          <w:tcPr>
            <w:tcW w:w="108" w:type="dxa"/>
            <w:tcBorders/>
            <w:shd w:fill="auto" w:val="clear"/>
            <w:vAlign w:val="bottom"/>
          </w:tcPr>
          <w:p>
            <w:pPr>
              <w:pStyle w:val="TableHeading"/>
              <w:suppressLineNumbers/>
              <w:spacing w:before="0" w:after="283"/>
              <w:jc w:val="center"/>
              <w:rPr/>
            </w:pPr>
            <w:r>
              <w:rPr/>
              <w:t> </w:t>
            </w:r>
          </w:p>
        </w:tc>
        <w:tc>
          <w:tcPr>
            <w:tcW w:w="1208" w:type="dxa"/>
            <w:gridSpan w:val="2"/>
            <w:tcBorders>
              <w:bottom w:val="single" w:sz="8" w:space="0" w:color="000000"/>
            </w:tcBorders>
            <w:shd w:fill="auto" w:val="clear"/>
            <w:tcMar>
              <w:bottom w:w="28" w:type="dxa"/>
            </w:tcMar>
            <w:vAlign w:val="bottom"/>
          </w:tcPr>
          <w:p>
            <w:pPr>
              <w:pStyle w:val="TableHeading"/>
              <w:spacing w:before="0" w:after="283"/>
              <w:jc w:val="center"/>
              <w:rPr>
                <w:rFonts w:ascii="times" w:hAnsi="times"/>
                <w:b/>
                <w:sz w:val="20"/>
              </w:rPr>
            </w:pPr>
            <w:r>
              <w:rPr>
                <w:rFonts w:ascii="times" w:hAnsi="times"/>
                <w:b/>
                <w:sz w:val="20"/>
              </w:rPr>
              <w:t xml:space="preserve">Actual </w:t>
            </w:r>
          </w:p>
        </w:tc>
        <w:tc>
          <w:tcPr>
            <w:tcW w:w="108" w:type="dxa"/>
            <w:tcBorders/>
            <w:shd w:fill="auto" w:val="clear"/>
            <w:vAlign w:val="bottom"/>
          </w:tcPr>
          <w:p>
            <w:pPr>
              <w:pStyle w:val="TableHeading"/>
              <w:suppressLineNumbers/>
              <w:spacing w:before="0" w:after="283"/>
              <w:jc w:val="center"/>
              <w:rPr/>
            </w:pPr>
            <w:r>
              <w:rPr/>
              <w:t> </w:t>
            </w:r>
          </w:p>
        </w:tc>
        <w:tc>
          <w:tcPr>
            <w:tcW w:w="1208" w:type="dxa"/>
            <w:gridSpan w:val="2"/>
            <w:tcBorders>
              <w:bottom w:val="single" w:sz="8" w:space="0" w:color="000000"/>
            </w:tcBorders>
            <w:shd w:fill="auto" w:val="clear"/>
            <w:tcMar>
              <w:bottom w:w="28" w:type="dxa"/>
            </w:tcMar>
            <w:vAlign w:val="bottom"/>
          </w:tcPr>
          <w:p>
            <w:pPr>
              <w:pStyle w:val="TableHeading"/>
              <w:spacing w:before="0" w:after="283"/>
              <w:jc w:val="center"/>
              <w:rPr>
                <w:rFonts w:ascii="times" w:hAnsi="times"/>
                <w:b/>
                <w:sz w:val="20"/>
              </w:rPr>
            </w:pPr>
            <w:r>
              <w:rPr>
                <w:rFonts w:ascii="times" w:hAnsi="times"/>
                <w:b/>
                <w:sz w:val="20"/>
              </w:rPr>
              <w:t xml:space="preserve">Adjusted </w:t>
            </w:r>
          </w:p>
        </w:tc>
        <w:tc>
          <w:tcPr>
            <w:tcW w:w="110" w:type="dxa"/>
            <w:tcBorders/>
            <w:shd w:fill="auto" w:val="clear"/>
            <w:vAlign w:val="bottom"/>
          </w:tcPr>
          <w:p>
            <w:pPr>
              <w:pStyle w:val="TableHeading"/>
              <w:suppressLineNumbers/>
              <w:spacing w:before="0" w:after="283"/>
              <w:jc w:val="center"/>
              <w:rPr/>
            </w:pPr>
            <w:r>
              <w:rPr/>
              <w:t> </w:t>
            </w:r>
          </w:p>
        </w:tc>
      </w:tr>
      <w:tr>
        <w:trPr/>
        <w:tc>
          <w:tcPr>
            <w:tcW w:w="7463" w:type="dxa"/>
            <w:tcBorders/>
            <w:shd w:fill="auto" w:val="clear"/>
            <w:vAlign w:val="bottom"/>
          </w:tcPr>
          <w:p>
            <w:pPr>
              <w:pStyle w:val="TableHeading"/>
              <w:spacing w:before="0" w:after="283"/>
              <w:jc w:val="left"/>
              <w:rPr/>
            </w:pPr>
            <w:r>
              <w:rPr/>
              <w:t> </w:t>
            </w:r>
          </w:p>
        </w:tc>
        <w:tc>
          <w:tcPr>
            <w:tcW w:w="108" w:type="dxa"/>
            <w:tcBorders/>
            <w:shd w:fill="auto" w:val="clear"/>
            <w:vAlign w:val="bottom"/>
          </w:tcPr>
          <w:p>
            <w:pPr>
              <w:pStyle w:val="TableHeading"/>
              <w:suppressLineNumbers/>
              <w:spacing w:before="0" w:after="283"/>
              <w:jc w:val="center"/>
              <w:rPr/>
            </w:pPr>
            <w:r>
              <w:rPr/>
              <w:t> </w:t>
            </w:r>
          </w:p>
        </w:tc>
        <w:tc>
          <w:tcPr>
            <w:tcW w:w="2524" w:type="dxa"/>
            <w:gridSpan w:val="5"/>
            <w:tcBorders/>
            <w:shd w:fill="auto" w:val="clear"/>
            <w:vAlign w:val="bottom"/>
          </w:tcPr>
          <w:p>
            <w:pPr>
              <w:pStyle w:val="TableHeading"/>
              <w:spacing w:before="0" w:after="283"/>
              <w:jc w:val="center"/>
              <w:rPr>
                <w:rFonts w:ascii="times" w:hAnsi="times"/>
                <w:b/>
                <w:sz w:val="20"/>
              </w:rPr>
            </w:pPr>
            <w:r>
              <w:rPr>
                <w:rFonts w:ascii="times" w:hAnsi="times"/>
                <w:b/>
                <w:sz w:val="20"/>
              </w:rPr>
              <w:t>(in thousands of U.S. dollars)</w:t>
            </w:r>
          </w:p>
        </w:tc>
        <w:tc>
          <w:tcPr>
            <w:tcW w:w="110" w:type="dxa"/>
            <w:tcBorders/>
            <w:shd w:fill="auto" w:val="clear"/>
            <w:vAlign w:val="bottom"/>
          </w:tcPr>
          <w:p>
            <w:pPr>
              <w:pStyle w:val="TableHeading"/>
              <w:suppressLineNumbers/>
              <w:spacing w:before="0" w:after="283"/>
              <w:jc w:val="center"/>
              <w:rPr/>
            </w:pPr>
            <w:r>
              <w:rPr/>
              <w:t> </w:t>
            </w:r>
          </w:p>
        </w:tc>
      </w:tr>
      <w:tr>
        <w:trPr/>
        <w:tc>
          <w:tcPr>
            <w:tcW w:w="7463" w:type="dxa"/>
            <w:tcBorders/>
            <w:shd w:fill="auto" w:val="clear"/>
            <w:vAlign w:val="bottom"/>
          </w:tcPr>
          <w:p>
            <w:pPr>
              <w:pStyle w:val="TableContents"/>
              <w:spacing w:before="0" w:after="283"/>
              <w:ind w:left="200" w:right="0" w:hanging="200"/>
              <w:rPr>
                <w:rFonts w:ascii="times" w:hAnsi="times"/>
                <w:b/>
                <w:sz w:val="20"/>
              </w:rPr>
            </w:pPr>
            <w:r>
              <w:rPr>
                <w:rFonts w:ascii="times" w:hAnsi="times"/>
                <w:b/>
                <w:sz w:val="20"/>
              </w:rPr>
              <w:t>CASH</w:t>
            </w:r>
          </w:p>
        </w:tc>
        <w:tc>
          <w:tcPr>
            <w:tcW w:w="108"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1083" w:type="dxa"/>
            <w:tcBorders/>
            <w:shd w:fill="auto" w:val="clear"/>
            <w:vAlign w:val="bottom"/>
          </w:tcPr>
          <w:p>
            <w:pPr>
              <w:pStyle w:val="TableContents"/>
              <w:spacing w:before="0" w:after="283"/>
              <w:jc w:val="right"/>
              <w:rPr/>
            </w:pPr>
            <w:r>
              <w:rPr/>
              <w:t> </w:t>
            </w:r>
          </w:p>
        </w:tc>
        <w:tc>
          <w:tcPr>
            <w:tcW w:w="108"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1083" w:type="dxa"/>
            <w:tcBorders/>
            <w:shd w:fill="auto" w:val="clear"/>
            <w:vAlign w:val="bottom"/>
          </w:tcPr>
          <w:p>
            <w:pPr>
              <w:pStyle w:val="TableContents"/>
              <w:spacing w:before="0" w:after="283"/>
              <w:jc w:val="right"/>
              <w:rPr/>
            </w:pPr>
            <w:r>
              <w:rPr/>
              <w:t> </w:t>
            </w:r>
          </w:p>
        </w:tc>
        <w:tc>
          <w:tcPr>
            <w:tcW w:w="110" w:type="dxa"/>
            <w:tcBorders/>
            <w:shd w:fill="auto" w:val="clear"/>
            <w:vAlign w:val="bottom"/>
          </w:tcPr>
          <w:p>
            <w:pPr>
              <w:pStyle w:val="TableContents"/>
              <w:spacing w:before="0" w:after="283"/>
              <w:rPr/>
            </w:pPr>
            <w:r>
              <w:rPr/>
              <w:t> </w:t>
            </w:r>
          </w:p>
        </w:tc>
      </w:tr>
      <w:tr>
        <w:trPr/>
        <w:tc>
          <w:tcPr>
            <w:tcW w:w="7463" w:type="dxa"/>
            <w:tcBorders/>
            <w:shd w:fill="auto" w:val="clear"/>
            <w:vAlign w:val="bottom"/>
          </w:tcPr>
          <w:p>
            <w:pPr>
              <w:pStyle w:val="TableContents"/>
              <w:spacing w:before="0" w:after="283"/>
              <w:ind w:left="200" w:right="0" w:hanging="200"/>
              <w:rPr>
                <w:rFonts w:ascii="times" w:hAnsi="times"/>
                <w:sz w:val="20"/>
              </w:rPr>
            </w:pPr>
            <w:r>
              <w:rPr>
                <w:rFonts w:ascii="times" w:hAnsi="times"/>
                <w:sz w:val="20"/>
              </w:rPr>
              <w:t>Cash and cash equivalents</w:t>
            </w:r>
          </w:p>
        </w:tc>
        <w:tc>
          <w:tcPr>
            <w:tcW w:w="108"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w:hAnsi="times"/>
                <w:sz w:val="20"/>
              </w:rPr>
            </w:pPr>
            <w:r>
              <w:rPr>
                <w:rFonts w:ascii="times" w:hAnsi="times"/>
                <w:sz w:val="20"/>
              </w:rPr>
              <w:t>$</w:t>
            </w:r>
          </w:p>
        </w:tc>
        <w:tc>
          <w:tcPr>
            <w:tcW w:w="1083" w:type="dxa"/>
            <w:tcBorders/>
            <w:shd w:fill="auto" w:val="clear"/>
            <w:vAlign w:val="bottom"/>
          </w:tcPr>
          <w:p>
            <w:pPr>
              <w:pStyle w:val="TableContents"/>
              <w:spacing w:before="0" w:after="283"/>
              <w:jc w:val="right"/>
              <w:rPr>
                <w:rFonts w:ascii="times" w:hAnsi="times"/>
                <w:sz w:val="20"/>
              </w:rPr>
            </w:pPr>
            <w:r>
              <w:rPr>
                <w:rFonts w:ascii="times" w:hAnsi="times"/>
                <w:sz w:val="20"/>
              </w:rPr>
              <w:t>103,736</w:t>
            </w:r>
          </w:p>
        </w:tc>
        <w:tc>
          <w:tcPr>
            <w:tcW w:w="108"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w:hAnsi="times"/>
                <w:sz w:val="20"/>
              </w:rPr>
            </w:pPr>
            <w:r>
              <w:rPr>
                <w:rFonts w:ascii="times" w:hAnsi="times"/>
                <w:sz w:val="20"/>
              </w:rPr>
              <w:t>$</w:t>
            </w:r>
          </w:p>
        </w:tc>
        <w:tc>
          <w:tcPr>
            <w:tcW w:w="1083" w:type="dxa"/>
            <w:tcBorders/>
            <w:shd w:fill="auto" w:val="clear"/>
            <w:vAlign w:val="bottom"/>
          </w:tcPr>
          <w:p>
            <w:pPr>
              <w:pStyle w:val="TableContents"/>
              <w:spacing w:before="0" w:after="283"/>
              <w:jc w:val="right"/>
              <w:rPr>
                <w:rFonts w:ascii="times" w:hAnsi="times"/>
                <w:sz w:val="20"/>
              </w:rPr>
            </w:pPr>
            <w:r>
              <w:rPr>
                <w:rFonts w:ascii="times" w:hAnsi="times"/>
                <w:sz w:val="20"/>
              </w:rPr>
              <w:t xml:space="preserve">59,653 </w:t>
            </w:r>
          </w:p>
        </w:tc>
        <w:tc>
          <w:tcPr>
            <w:tcW w:w="110" w:type="dxa"/>
            <w:tcBorders/>
            <w:shd w:fill="auto" w:val="clear"/>
            <w:vAlign w:val="bottom"/>
          </w:tcPr>
          <w:p>
            <w:pPr>
              <w:pStyle w:val="TableContents"/>
              <w:spacing w:before="0" w:after="283"/>
              <w:rPr/>
            </w:pPr>
            <w:r>
              <w:rPr/>
              <w:t> </w:t>
            </w:r>
          </w:p>
        </w:tc>
      </w:tr>
      <w:tr>
        <w:trPr/>
        <w:tc>
          <w:tcPr>
            <w:tcW w:w="7463" w:type="dxa"/>
            <w:tcBorders/>
            <w:shd w:fill="FFFFFF" w:val="clear"/>
            <w:vAlign w:val="bottom"/>
          </w:tcPr>
          <w:p>
            <w:pPr>
              <w:pStyle w:val="TableContents"/>
              <w:spacing w:before="0" w:after="283"/>
              <w:rPr/>
            </w:pPr>
            <w:r>
              <w:rPr/>
              <w:t>​</w:t>
            </w:r>
          </w:p>
        </w:tc>
        <w:tc>
          <w:tcPr>
            <w:tcW w:w="108" w:type="dxa"/>
            <w:tcBorders/>
            <w:shd w:fill="FFFFFF" w:val="clear"/>
            <w:vAlign w:val="bottom"/>
          </w:tcPr>
          <w:p>
            <w:pPr>
              <w:pStyle w:val="TableContents"/>
              <w:spacing w:before="0" w:after="283"/>
              <w:rPr/>
            </w:pPr>
            <w:r>
              <w:rPr/>
              <w:t>​</w:t>
            </w:r>
          </w:p>
        </w:tc>
        <w:tc>
          <w:tcPr>
            <w:tcW w:w="125" w:type="dxa"/>
            <w:tcBorders>
              <w:bottom w:val="single" w:sz="8" w:space="0" w:color="000000"/>
            </w:tcBorders>
            <w:shd w:fill="FFFFFF" w:val="clear"/>
            <w:tcMar>
              <w:bottom w:w="28" w:type="dxa"/>
            </w:tcMar>
            <w:vAlign w:val="bottom"/>
          </w:tcPr>
          <w:p>
            <w:pPr>
              <w:pStyle w:val="TableContents"/>
              <w:spacing w:before="0" w:after="283"/>
              <w:rPr/>
            </w:pPr>
            <w:r>
              <w:rPr/>
              <w:t xml:space="preserve">​ </w:t>
            </w:r>
          </w:p>
        </w:tc>
        <w:tc>
          <w:tcPr>
            <w:tcW w:w="1083" w:type="dxa"/>
            <w:tcBorders>
              <w:bottom w:val="single" w:sz="8" w:space="0" w:color="000000"/>
            </w:tcBorders>
            <w:shd w:fill="FFFFFF" w:val="clear"/>
            <w:tcMar>
              <w:bottom w:w="28" w:type="dxa"/>
            </w:tcMar>
            <w:vAlign w:val="bottom"/>
          </w:tcPr>
          <w:p>
            <w:pPr>
              <w:pStyle w:val="TableContents"/>
              <w:spacing w:before="0" w:after="283"/>
              <w:jc w:val="right"/>
              <w:rPr/>
            </w:pPr>
            <w:r>
              <w:rPr/>
              <w:t xml:space="preserve">​ </w:t>
            </w:r>
          </w:p>
        </w:tc>
        <w:tc>
          <w:tcPr>
            <w:tcW w:w="108" w:type="dxa"/>
            <w:tcBorders/>
            <w:shd w:fill="FFFFFF" w:val="clear"/>
            <w:vAlign w:val="bottom"/>
          </w:tcPr>
          <w:p>
            <w:pPr>
              <w:pStyle w:val="TableContents"/>
              <w:spacing w:before="0" w:after="283"/>
              <w:rPr/>
            </w:pPr>
            <w:r>
              <w:rPr/>
              <w:t>​</w:t>
            </w:r>
          </w:p>
        </w:tc>
        <w:tc>
          <w:tcPr>
            <w:tcW w:w="125" w:type="dxa"/>
            <w:tcBorders>
              <w:bottom w:val="single" w:sz="8" w:space="0" w:color="000000"/>
            </w:tcBorders>
            <w:shd w:fill="FFFFFF" w:val="clear"/>
            <w:tcMar>
              <w:bottom w:w="28" w:type="dxa"/>
            </w:tcMar>
            <w:vAlign w:val="bottom"/>
          </w:tcPr>
          <w:p>
            <w:pPr>
              <w:pStyle w:val="TableContents"/>
              <w:spacing w:before="0" w:after="283"/>
              <w:rPr/>
            </w:pPr>
            <w:r>
              <w:rPr/>
              <w:t xml:space="preserve">​ </w:t>
            </w:r>
          </w:p>
        </w:tc>
        <w:tc>
          <w:tcPr>
            <w:tcW w:w="1083" w:type="dxa"/>
            <w:tcBorders>
              <w:bottom w:val="single" w:sz="8" w:space="0" w:color="000000"/>
            </w:tcBorders>
            <w:shd w:fill="FFFFFF" w:val="clear"/>
            <w:tcMar>
              <w:bottom w:w="28" w:type="dxa"/>
            </w:tcMar>
            <w:vAlign w:val="bottom"/>
          </w:tcPr>
          <w:p>
            <w:pPr>
              <w:pStyle w:val="TableContents"/>
              <w:spacing w:before="0" w:after="283"/>
              <w:jc w:val="right"/>
              <w:rPr/>
            </w:pPr>
            <w:r>
              <w:rPr/>
              <w:t xml:space="preserve">​ </w:t>
            </w:r>
          </w:p>
        </w:tc>
        <w:tc>
          <w:tcPr>
            <w:tcW w:w="110" w:type="dxa"/>
            <w:tcBorders/>
            <w:shd w:fill="FFFFFF" w:val="clear"/>
            <w:vAlign w:val="bottom"/>
          </w:tcPr>
          <w:p>
            <w:pPr>
              <w:pStyle w:val="TableContents"/>
              <w:spacing w:before="0" w:after="283"/>
              <w:rPr/>
            </w:pPr>
            <w:r>
              <w:rPr/>
              <w:t>​</w:t>
            </w:r>
          </w:p>
        </w:tc>
      </w:tr>
      <w:tr>
        <w:trPr/>
        <w:tc>
          <w:tcPr>
            <w:tcW w:w="7463" w:type="dxa"/>
            <w:tcBorders/>
            <w:shd w:fill="auto" w:val="clear"/>
            <w:vAlign w:val="bottom"/>
          </w:tcPr>
          <w:p>
            <w:pPr>
              <w:pStyle w:val="TableContents"/>
              <w:spacing w:before="0" w:after="283"/>
              <w:ind w:left="200" w:right="0" w:hanging="200"/>
              <w:rPr>
                <w:rFonts w:ascii="times" w:hAnsi="times"/>
                <w:b/>
                <w:sz w:val="20"/>
              </w:rPr>
            </w:pPr>
            <w:r>
              <w:rPr>
                <w:rFonts w:ascii="times" w:hAnsi="times"/>
                <w:b/>
                <w:sz w:val="20"/>
              </w:rPr>
              <w:t>CAPITALIZATION</w:t>
            </w:r>
          </w:p>
        </w:tc>
        <w:tc>
          <w:tcPr>
            <w:tcW w:w="108"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1083" w:type="dxa"/>
            <w:tcBorders/>
            <w:shd w:fill="auto" w:val="clear"/>
            <w:vAlign w:val="bottom"/>
          </w:tcPr>
          <w:p>
            <w:pPr>
              <w:pStyle w:val="TableContents"/>
              <w:spacing w:before="0" w:after="283"/>
              <w:jc w:val="right"/>
              <w:rPr/>
            </w:pPr>
            <w:r>
              <w:rPr/>
              <w:t> </w:t>
            </w:r>
          </w:p>
        </w:tc>
        <w:tc>
          <w:tcPr>
            <w:tcW w:w="108"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1083" w:type="dxa"/>
            <w:tcBorders/>
            <w:shd w:fill="auto" w:val="clear"/>
            <w:vAlign w:val="bottom"/>
          </w:tcPr>
          <w:p>
            <w:pPr>
              <w:pStyle w:val="TableContents"/>
              <w:spacing w:before="0" w:after="283"/>
              <w:jc w:val="right"/>
              <w:rPr/>
            </w:pPr>
            <w:r>
              <w:rPr/>
              <w:t> </w:t>
            </w:r>
          </w:p>
        </w:tc>
        <w:tc>
          <w:tcPr>
            <w:tcW w:w="110" w:type="dxa"/>
            <w:tcBorders/>
            <w:shd w:fill="auto" w:val="clear"/>
            <w:vAlign w:val="bottom"/>
          </w:tcPr>
          <w:p>
            <w:pPr>
              <w:pStyle w:val="TableContents"/>
              <w:spacing w:before="0" w:after="283"/>
              <w:rPr/>
            </w:pPr>
            <w:r>
              <w:rPr/>
              <w:t> </w:t>
            </w:r>
          </w:p>
        </w:tc>
      </w:tr>
      <w:tr>
        <w:trPr/>
        <w:tc>
          <w:tcPr>
            <w:tcW w:w="7463" w:type="dxa"/>
            <w:tcBorders/>
            <w:shd w:fill="auto" w:val="clear"/>
            <w:vAlign w:val="bottom"/>
          </w:tcPr>
          <w:p>
            <w:pPr>
              <w:pStyle w:val="TableContents"/>
              <w:spacing w:before="0" w:after="283"/>
              <w:ind w:left="200" w:right="0" w:hanging="200"/>
              <w:rPr>
                <w:rFonts w:ascii="times" w:hAnsi="times"/>
                <w:sz w:val="20"/>
              </w:rPr>
            </w:pPr>
            <w:r>
              <w:rPr>
                <w:rFonts w:ascii="times" w:hAnsi="times"/>
                <w:sz w:val="20"/>
              </w:rPr>
              <w:t>Debt:</w:t>
            </w:r>
          </w:p>
        </w:tc>
        <w:tc>
          <w:tcPr>
            <w:tcW w:w="108"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1083" w:type="dxa"/>
            <w:tcBorders/>
            <w:shd w:fill="auto" w:val="clear"/>
            <w:vAlign w:val="bottom"/>
          </w:tcPr>
          <w:p>
            <w:pPr>
              <w:pStyle w:val="TableContents"/>
              <w:spacing w:before="0" w:after="283"/>
              <w:jc w:val="right"/>
              <w:rPr/>
            </w:pPr>
            <w:r>
              <w:rPr/>
              <w:t> </w:t>
            </w:r>
          </w:p>
        </w:tc>
        <w:tc>
          <w:tcPr>
            <w:tcW w:w="108"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1083" w:type="dxa"/>
            <w:tcBorders/>
            <w:shd w:fill="auto" w:val="clear"/>
            <w:vAlign w:val="bottom"/>
          </w:tcPr>
          <w:p>
            <w:pPr>
              <w:pStyle w:val="TableContents"/>
              <w:spacing w:before="0" w:after="283"/>
              <w:jc w:val="right"/>
              <w:rPr/>
            </w:pPr>
            <w:r>
              <w:rPr/>
              <w:t> </w:t>
            </w:r>
          </w:p>
        </w:tc>
        <w:tc>
          <w:tcPr>
            <w:tcW w:w="110" w:type="dxa"/>
            <w:tcBorders/>
            <w:shd w:fill="auto" w:val="clear"/>
            <w:vAlign w:val="bottom"/>
          </w:tcPr>
          <w:p>
            <w:pPr>
              <w:pStyle w:val="TableContents"/>
              <w:spacing w:before="0" w:after="283"/>
              <w:rPr/>
            </w:pPr>
            <w:r>
              <w:rPr/>
              <w:t> </w:t>
            </w:r>
          </w:p>
        </w:tc>
      </w:tr>
      <w:tr>
        <w:trPr/>
        <w:tc>
          <w:tcPr>
            <w:tcW w:w="7463" w:type="dxa"/>
            <w:tcBorders/>
            <w:shd w:fill="auto" w:val="clear"/>
            <w:vAlign w:val="bottom"/>
          </w:tcPr>
          <w:p>
            <w:pPr>
              <w:pStyle w:val="TableContents"/>
              <w:spacing w:before="0" w:after="283"/>
              <w:ind w:left="400" w:right="0" w:hanging="200"/>
              <w:rPr>
                <w:rFonts w:ascii="times" w:hAnsi="times"/>
                <w:sz w:val="20"/>
              </w:rPr>
            </w:pPr>
            <w:r>
              <w:rPr>
                <w:rFonts w:ascii="times" w:hAnsi="times"/>
                <w:sz w:val="20"/>
              </w:rPr>
              <w:t>Borrowingscurrent portion</w:t>
            </w:r>
          </w:p>
        </w:tc>
        <w:tc>
          <w:tcPr>
            <w:tcW w:w="108"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1083" w:type="dxa"/>
            <w:tcBorders/>
            <w:shd w:fill="auto" w:val="clear"/>
            <w:vAlign w:val="bottom"/>
          </w:tcPr>
          <w:p>
            <w:pPr>
              <w:pStyle w:val="TableContents"/>
              <w:spacing w:before="0" w:after="283"/>
              <w:jc w:val="right"/>
              <w:rPr>
                <w:rFonts w:ascii="times" w:hAnsi="times"/>
                <w:sz w:val="20"/>
              </w:rPr>
            </w:pPr>
            <w:r>
              <w:rPr>
                <w:rFonts w:ascii="times" w:hAnsi="times"/>
                <w:sz w:val="20"/>
              </w:rPr>
              <w:t>104,908</w:t>
            </w:r>
          </w:p>
        </w:tc>
        <w:tc>
          <w:tcPr>
            <w:tcW w:w="108"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1083" w:type="dxa"/>
            <w:tcBorders/>
            <w:shd w:fill="auto" w:val="clear"/>
            <w:vAlign w:val="bottom"/>
          </w:tcPr>
          <w:p>
            <w:pPr>
              <w:pStyle w:val="TableContents"/>
              <w:spacing w:before="0" w:after="283"/>
              <w:jc w:val="right"/>
              <w:rPr>
                <w:rFonts w:ascii="times" w:hAnsi="times"/>
                <w:sz w:val="20"/>
              </w:rPr>
            </w:pPr>
            <w:r>
              <w:rPr>
                <w:rFonts w:ascii="times" w:hAnsi="times"/>
                <w:sz w:val="20"/>
              </w:rPr>
              <w:t>68,892</w:t>
            </w:r>
          </w:p>
        </w:tc>
        <w:tc>
          <w:tcPr>
            <w:tcW w:w="110" w:type="dxa"/>
            <w:tcBorders/>
            <w:shd w:fill="auto" w:val="clear"/>
            <w:vAlign w:val="bottom"/>
          </w:tcPr>
          <w:p>
            <w:pPr>
              <w:pStyle w:val="TableContents"/>
              <w:spacing w:before="0" w:after="283"/>
              <w:rPr/>
            </w:pPr>
            <w:r>
              <w:rPr/>
              <w:t> </w:t>
            </w:r>
          </w:p>
        </w:tc>
      </w:tr>
      <w:tr>
        <w:trPr/>
        <w:tc>
          <w:tcPr>
            <w:tcW w:w="7463" w:type="dxa"/>
            <w:tcBorders/>
            <w:shd w:fill="auto" w:val="clear"/>
            <w:vAlign w:val="bottom"/>
          </w:tcPr>
          <w:p>
            <w:pPr>
              <w:pStyle w:val="TableContents"/>
              <w:spacing w:before="0" w:after="283"/>
              <w:ind w:left="400" w:right="0" w:hanging="200"/>
              <w:rPr>
                <w:rFonts w:ascii="times" w:hAnsi="times"/>
                <w:sz w:val="20"/>
              </w:rPr>
            </w:pPr>
            <w:r>
              <w:rPr>
                <w:rFonts w:ascii="times" w:hAnsi="times"/>
                <w:sz w:val="20"/>
              </w:rPr>
              <w:t>Borrowingsnon-current portion</w:t>
            </w:r>
          </w:p>
        </w:tc>
        <w:tc>
          <w:tcPr>
            <w:tcW w:w="108"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1083" w:type="dxa"/>
            <w:tcBorders/>
            <w:shd w:fill="auto" w:val="clear"/>
            <w:vAlign w:val="bottom"/>
          </w:tcPr>
          <w:p>
            <w:pPr>
              <w:pStyle w:val="TableContents"/>
              <w:spacing w:before="0" w:after="283"/>
              <w:jc w:val="right"/>
              <w:rPr>
                <w:rFonts w:ascii="times" w:hAnsi="times"/>
                <w:sz w:val="20"/>
              </w:rPr>
            </w:pPr>
            <w:r>
              <w:rPr>
                <w:rFonts w:ascii="times" w:hAnsi="times"/>
                <w:sz w:val="20"/>
              </w:rPr>
              <w:t>1,180,635</w:t>
            </w:r>
          </w:p>
        </w:tc>
        <w:tc>
          <w:tcPr>
            <w:tcW w:w="108"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1083" w:type="dxa"/>
            <w:tcBorders/>
            <w:shd w:fill="auto" w:val="clear"/>
            <w:vAlign w:val="bottom"/>
          </w:tcPr>
          <w:p>
            <w:pPr>
              <w:pStyle w:val="TableContents"/>
              <w:spacing w:before="0" w:after="283"/>
              <w:jc w:val="right"/>
              <w:rPr>
                <w:rFonts w:ascii="times" w:hAnsi="times"/>
                <w:sz w:val="20"/>
              </w:rPr>
            </w:pPr>
            <w:r>
              <w:rPr>
                <w:rFonts w:ascii="times" w:hAnsi="times"/>
                <w:sz w:val="20"/>
              </w:rPr>
              <w:t>1,180,635</w:t>
            </w:r>
          </w:p>
        </w:tc>
        <w:tc>
          <w:tcPr>
            <w:tcW w:w="110" w:type="dxa"/>
            <w:tcBorders/>
            <w:shd w:fill="auto" w:val="clear"/>
            <w:vAlign w:val="bottom"/>
          </w:tcPr>
          <w:p>
            <w:pPr>
              <w:pStyle w:val="TableContents"/>
              <w:spacing w:before="0" w:after="283"/>
              <w:rPr/>
            </w:pPr>
            <w:r>
              <w:rPr/>
              <w:t> </w:t>
            </w:r>
          </w:p>
        </w:tc>
      </w:tr>
      <w:tr>
        <w:trPr/>
        <w:tc>
          <w:tcPr>
            <w:tcW w:w="7463" w:type="dxa"/>
            <w:tcBorders/>
            <w:shd w:fill="auto" w:val="clear"/>
            <w:vAlign w:val="bottom"/>
          </w:tcPr>
          <w:p>
            <w:pPr>
              <w:pStyle w:val="TableContents"/>
              <w:spacing w:before="0" w:after="283"/>
              <w:ind w:left="400" w:right="0" w:hanging="200"/>
              <w:rPr>
                <w:rFonts w:ascii="times" w:hAnsi="times"/>
                <w:sz w:val="20"/>
              </w:rPr>
            </w:pPr>
            <w:r>
              <w:rPr>
                <w:rFonts w:ascii="times" w:hAnsi="times"/>
                <w:sz w:val="20"/>
              </w:rPr>
              <w:t>Lease liabilitiescurrent portion</w:t>
            </w:r>
          </w:p>
        </w:tc>
        <w:tc>
          <w:tcPr>
            <w:tcW w:w="108"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1083" w:type="dxa"/>
            <w:tcBorders/>
            <w:shd w:fill="auto" w:val="clear"/>
            <w:vAlign w:val="bottom"/>
          </w:tcPr>
          <w:p>
            <w:pPr>
              <w:pStyle w:val="TableContents"/>
              <w:spacing w:before="0" w:after="283"/>
              <w:jc w:val="right"/>
              <w:rPr>
                <w:rFonts w:ascii="times" w:hAnsi="times"/>
                <w:sz w:val="20"/>
              </w:rPr>
            </w:pPr>
            <w:r>
              <w:rPr>
                <w:rFonts w:ascii="times" w:hAnsi="times"/>
                <w:sz w:val="20"/>
              </w:rPr>
              <w:t>332</w:t>
            </w:r>
          </w:p>
        </w:tc>
        <w:tc>
          <w:tcPr>
            <w:tcW w:w="108"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1083" w:type="dxa"/>
            <w:tcBorders/>
            <w:shd w:fill="auto" w:val="clear"/>
            <w:vAlign w:val="bottom"/>
          </w:tcPr>
          <w:p>
            <w:pPr>
              <w:pStyle w:val="TableContents"/>
              <w:spacing w:before="0" w:after="283"/>
              <w:jc w:val="right"/>
              <w:rPr>
                <w:rFonts w:ascii="times" w:hAnsi="times"/>
                <w:sz w:val="20"/>
              </w:rPr>
            </w:pPr>
            <w:r>
              <w:rPr>
                <w:rFonts w:ascii="times" w:hAnsi="times"/>
                <w:sz w:val="20"/>
              </w:rPr>
              <w:t>332</w:t>
            </w:r>
          </w:p>
        </w:tc>
        <w:tc>
          <w:tcPr>
            <w:tcW w:w="110" w:type="dxa"/>
            <w:tcBorders/>
            <w:shd w:fill="auto" w:val="clear"/>
            <w:vAlign w:val="bottom"/>
          </w:tcPr>
          <w:p>
            <w:pPr>
              <w:pStyle w:val="TableContents"/>
              <w:spacing w:before="0" w:after="283"/>
              <w:rPr/>
            </w:pPr>
            <w:r>
              <w:rPr/>
              <w:t> </w:t>
            </w:r>
          </w:p>
        </w:tc>
      </w:tr>
      <w:tr>
        <w:trPr/>
        <w:tc>
          <w:tcPr>
            <w:tcW w:w="7463" w:type="dxa"/>
            <w:tcBorders/>
            <w:shd w:fill="auto" w:val="clear"/>
            <w:vAlign w:val="bottom"/>
          </w:tcPr>
          <w:p>
            <w:pPr>
              <w:pStyle w:val="TableContents"/>
              <w:spacing w:before="0" w:after="283"/>
              <w:ind w:left="400" w:right="0" w:hanging="200"/>
              <w:rPr>
                <w:rFonts w:ascii="times" w:hAnsi="times"/>
                <w:sz w:val="20"/>
              </w:rPr>
            </w:pPr>
            <w:r>
              <w:rPr>
                <w:rFonts w:ascii="times" w:hAnsi="times"/>
                <w:sz w:val="20"/>
              </w:rPr>
              <w:t>Lease liabilitiesnon-current portion</w:t>
            </w:r>
          </w:p>
        </w:tc>
        <w:tc>
          <w:tcPr>
            <w:tcW w:w="108"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1083" w:type="dxa"/>
            <w:tcBorders/>
            <w:shd w:fill="auto" w:val="clear"/>
            <w:vAlign w:val="bottom"/>
          </w:tcPr>
          <w:p>
            <w:pPr>
              <w:pStyle w:val="TableContents"/>
              <w:spacing w:before="0" w:after="283"/>
              <w:jc w:val="right"/>
              <w:rPr>
                <w:rFonts w:ascii="times" w:hAnsi="times"/>
                <w:sz w:val="20"/>
              </w:rPr>
            </w:pPr>
            <w:r>
              <w:rPr>
                <w:rFonts w:ascii="times" w:hAnsi="times"/>
                <w:sz w:val="20"/>
              </w:rPr>
              <w:t>112</w:t>
            </w:r>
          </w:p>
        </w:tc>
        <w:tc>
          <w:tcPr>
            <w:tcW w:w="108"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1083" w:type="dxa"/>
            <w:tcBorders/>
            <w:shd w:fill="auto" w:val="clear"/>
            <w:vAlign w:val="bottom"/>
          </w:tcPr>
          <w:p>
            <w:pPr>
              <w:pStyle w:val="TableContents"/>
              <w:spacing w:before="0" w:after="283"/>
              <w:jc w:val="right"/>
              <w:rPr>
                <w:rFonts w:ascii="times" w:hAnsi="times"/>
                <w:sz w:val="20"/>
              </w:rPr>
            </w:pPr>
            <w:r>
              <w:rPr>
                <w:rFonts w:ascii="times" w:hAnsi="times"/>
                <w:sz w:val="20"/>
              </w:rPr>
              <w:t xml:space="preserve">112 </w:t>
            </w:r>
          </w:p>
        </w:tc>
        <w:tc>
          <w:tcPr>
            <w:tcW w:w="110" w:type="dxa"/>
            <w:tcBorders/>
            <w:shd w:fill="auto" w:val="clear"/>
            <w:vAlign w:val="bottom"/>
          </w:tcPr>
          <w:p>
            <w:pPr>
              <w:pStyle w:val="TableContents"/>
              <w:spacing w:before="0" w:after="283"/>
              <w:rPr/>
            </w:pPr>
            <w:r>
              <w:rPr/>
              <w:t> </w:t>
            </w:r>
          </w:p>
        </w:tc>
      </w:tr>
      <w:tr>
        <w:trPr/>
        <w:tc>
          <w:tcPr>
            <w:tcW w:w="7463" w:type="dxa"/>
            <w:tcBorders/>
            <w:shd w:fill="FFFFFF" w:val="clear"/>
            <w:vAlign w:val="bottom"/>
          </w:tcPr>
          <w:p>
            <w:pPr>
              <w:pStyle w:val="TableContents"/>
              <w:spacing w:before="0" w:after="283"/>
              <w:rPr/>
            </w:pPr>
            <w:r>
              <w:rPr/>
              <w:t>​</w:t>
            </w:r>
          </w:p>
        </w:tc>
        <w:tc>
          <w:tcPr>
            <w:tcW w:w="108" w:type="dxa"/>
            <w:tcBorders/>
            <w:shd w:fill="FFFFFF" w:val="clear"/>
            <w:vAlign w:val="bottom"/>
          </w:tcPr>
          <w:p>
            <w:pPr>
              <w:pStyle w:val="TableContents"/>
              <w:spacing w:before="0" w:after="283"/>
              <w:rPr/>
            </w:pPr>
            <w:r>
              <w:rPr/>
              <w:t>​</w:t>
            </w:r>
          </w:p>
        </w:tc>
        <w:tc>
          <w:tcPr>
            <w:tcW w:w="125" w:type="dxa"/>
            <w:tcBorders>
              <w:bottom w:val="single" w:sz="8" w:space="0" w:color="000000"/>
            </w:tcBorders>
            <w:shd w:fill="FFFFFF" w:val="clear"/>
            <w:tcMar>
              <w:bottom w:w="28" w:type="dxa"/>
            </w:tcMar>
            <w:vAlign w:val="bottom"/>
          </w:tcPr>
          <w:p>
            <w:pPr>
              <w:pStyle w:val="TableContents"/>
              <w:spacing w:before="0" w:after="283"/>
              <w:rPr/>
            </w:pPr>
            <w:r>
              <w:rPr/>
              <w:t xml:space="preserve">​ </w:t>
            </w:r>
          </w:p>
        </w:tc>
        <w:tc>
          <w:tcPr>
            <w:tcW w:w="1083" w:type="dxa"/>
            <w:tcBorders>
              <w:bottom w:val="single" w:sz="8" w:space="0" w:color="000000"/>
            </w:tcBorders>
            <w:shd w:fill="FFFFFF" w:val="clear"/>
            <w:tcMar>
              <w:bottom w:w="28" w:type="dxa"/>
            </w:tcMar>
            <w:vAlign w:val="bottom"/>
          </w:tcPr>
          <w:p>
            <w:pPr>
              <w:pStyle w:val="TableContents"/>
              <w:spacing w:before="0" w:after="283"/>
              <w:jc w:val="right"/>
              <w:rPr/>
            </w:pPr>
            <w:r>
              <w:rPr/>
              <w:t xml:space="preserve">​ </w:t>
            </w:r>
          </w:p>
        </w:tc>
        <w:tc>
          <w:tcPr>
            <w:tcW w:w="108" w:type="dxa"/>
            <w:tcBorders/>
            <w:shd w:fill="FFFFFF" w:val="clear"/>
            <w:vAlign w:val="bottom"/>
          </w:tcPr>
          <w:p>
            <w:pPr>
              <w:pStyle w:val="TableContents"/>
              <w:spacing w:before="0" w:after="283"/>
              <w:rPr/>
            </w:pPr>
            <w:r>
              <w:rPr/>
              <w:t>​</w:t>
            </w:r>
          </w:p>
        </w:tc>
        <w:tc>
          <w:tcPr>
            <w:tcW w:w="125" w:type="dxa"/>
            <w:tcBorders>
              <w:bottom w:val="single" w:sz="8" w:space="0" w:color="000000"/>
            </w:tcBorders>
            <w:shd w:fill="FFFFFF" w:val="clear"/>
            <w:tcMar>
              <w:bottom w:w="28" w:type="dxa"/>
            </w:tcMar>
            <w:vAlign w:val="bottom"/>
          </w:tcPr>
          <w:p>
            <w:pPr>
              <w:pStyle w:val="TableContents"/>
              <w:spacing w:before="0" w:after="283"/>
              <w:rPr/>
            </w:pPr>
            <w:r>
              <w:rPr/>
              <w:t xml:space="preserve">​ </w:t>
            </w:r>
          </w:p>
        </w:tc>
        <w:tc>
          <w:tcPr>
            <w:tcW w:w="1083" w:type="dxa"/>
            <w:tcBorders>
              <w:bottom w:val="single" w:sz="8" w:space="0" w:color="000000"/>
            </w:tcBorders>
            <w:shd w:fill="FFFFFF" w:val="clear"/>
            <w:tcMar>
              <w:bottom w:w="28" w:type="dxa"/>
            </w:tcMar>
            <w:vAlign w:val="bottom"/>
          </w:tcPr>
          <w:p>
            <w:pPr>
              <w:pStyle w:val="TableContents"/>
              <w:spacing w:before="0" w:after="283"/>
              <w:jc w:val="right"/>
              <w:rPr/>
            </w:pPr>
            <w:r>
              <w:rPr/>
              <w:t xml:space="preserve">​ </w:t>
            </w:r>
          </w:p>
        </w:tc>
        <w:tc>
          <w:tcPr>
            <w:tcW w:w="110" w:type="dxa"/>
            <w:tcBorders/>
            <w:shd w:fill="FFFFFF" w:val="clear"/>
            <w:vAlign w:val="bottom"/>
          </w:tcPr>
          <w:p>
            <w:pPr>
              <w:pStyle w:val="TableContents"/>
              <w:spacing w:before="0" w:after="283"/>
              <w:rPr/>
            </w:pPr>
            <w:r>
              <w:rPr/>
              <w:t>​</w:t>
            </w:r>
          </w:p>
        </w:tc>
      </w:tr>
      <w:tr>
        <w:trPr/>
        <w:tc>
          <w:tcPr>
            <w:tcW w:w="7463" w:type="dxa"/>
            <w:tcBorders/>
            <w:shd w:fill="auto" w:val="clear"/>
            <w:vAlign w:val="bottom"/>
          </w:tcPr>
          <w:p>
            <w:pPr>
              <w:pStyle w:val="TableContents"/>
              <w:spacing w:before="0" w:after="283"/>
              <w:ind w:left="200" w:right="0" w:hanging="200"/>
              <w:rPr>
                <w:rFonts w:ascii="times" w:hAnsi="times"/>
                <w:sz w:val="20"/>
              </w:rPr>
            </w:pPr>
            <w:r>
              <w:rPr>
                <w:rFonts w:ascii="times" w:hAnsi="times"/>
                <w:sz w:val="20"/>
              </w:rPr>
              <w:t>Total debt</w:t>
            </w:r>
          </w:p>
        </w:tc>
        <w:tc>
          <w:tcPr>
            <w:tcW w:w="108"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1083" w:type="dxa"/>
            <w:tcBorders/>
            <w:shd w:fill="auto" w:val="clear"/>
            <w:vAlign w:val="bottom"/>
          </w:tcPr>
          <w:p>
            <w:pPr>
              <w:pStyle w:val="TableContents"/>
              <w:spacing w:before="0" w:after="283"/>
              <w:jc w:val="right"/>
              <w:rPr>
                <w:rFonts w:ascii="times" w:hAnsi="times"/>
                <w:sz w:val="20"/>
              </w:rPr>
            </w:pPr>
            <w:r>
              <w:rPr>
                <w:rFonts w:ascii="times" w:hAnsi="times"/>
                <w:sz w:val="20"/>
              </w:rPr>
              <w:t>1,285,987</w:t>
            </w:r>
          </w:p>
        </w:tc>
        <w:tc>
          <w:tcPr>
            <w:tcW w:w="108"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1083" w:type="dxa"/>
            <w:tcBorders/>
            <w:shd w:fill="auto" w:val="clear"/>
            <w:vAlign w:val="bottom"/>
          </w:tcPr>
          <w:p>
            <w:pPr>
              <w:pStyle w:val="TableContents"/>
              <w:spacing w:before="0" w:after="283"/>
              <w:jc w:val="right"/>
              <w:rPr>
                <w:rFonts w:ascii="times" w:hAnsi="times"/>
                <w:sz w:val="20"/>
              </w:rPr>
            </w:pPr>
            <w:r>
              <w:rPr>
                <w:rFonts w:ascii="times" w:hAnsi="times"/>
                <w:sz w:val="20"/>
              </w:rPr>
              <w:t xml:space="preserve">1,249,971 </w:t>
            </w:r>
          </w:p>
        </w:tc>
        <w:tc>
          <w:tcPr>
            <w:tcW w:w="110" w:type="dxa"/>
            <w:tcBorders/>
            <w:shd w:fill="auto" w:val="clear"/>
            <w:vAlign w:val="bottom"/>
          </w:tcPr>
          <w:p>
            <w:pPr>
              <w:pStyle w:val="TableContents"/>
              <w:spacing w:before="0" w:after="283"/>
              <w:rPr/>
            </w:pPr>
            <w:r>
              <w:rPr/>
              <w:t> </w:t>
            </w:r>
          </w:p>
        </w:tc>
      </w:tr>
      <w:tr>
        <w:trPr/>
        <w:tc>
          <w:tcPr>
            <w:tcW w:w="7463" w:type="dxa"/>
            <w:tcBorders/>
            <w:shd w:fill="FFFFFF" w:val="clear"/>
            <w:vAlign w:val="bottom"/>
          </w:tcPr>
          <w:p>
            <w:pPr>
              <w:pStyle w:val="TableContents"/>
              <w:spacing w:before="0" w:after="283"/>
              <w:rPr/>
            </w:pPr>
            <w:r>
              <w:rPr/>
              <w:t>​</w:t>
            </w:r>
          </w:p>
        </w:tc>
        <w:tc>
          <w:tcPr>
            <w:tcW w:w="108" w:type="dxa"/>
            <w:tcBorders/>
            <w:shd w:fill="FFFFFF" w:val="clear"/>
            <w:vAlign w:val="bottom"/>
          </w:tcPr>
          <w:p>
            <w:pPr>
              <w:pStyle w:val="TableContents"/>
              <w:spacing w:before="0" w:after="283"/>
              <w:rPr/>
            </w:pPr>
            <w:r>
              <w:rPr/>
              <w:t>​</w:t>
            </w:r>
          </w:p>
        </w:tc>
        <w:tc>
          <w:tcPr>
            <w:tcW w:w="125" w:type="dxa"/>
            <w:tcBorders>
              <w:bottom w:val="single" w:sz="8" w:space="0" w:color="000000"/>
            </w:tcBorders>
            <w:shd w:fill="FFFFFF" w:val="clear"/>
            <w:tcMar>
              <w:bottom w:w="28" w:type="dxa"/>
            </w:tcMar>
            <w:vAlign w:val="bottom"/>
          </w:tcPr>
          <w:p>
            <w:pPr>
              <w:pStyle w:val="TableContents"/>
              <w:spacing w:before="0" w:after="283"/>
              <w:rPr/>
            </w:pPr>
            <w:r>
              <w:rPr/>
              <w:t xml:space="preserve">​ </w:t>
            </w:r>
          </w:p>
        </w:tc>
        <w:tc>
          <w:tcPr>
            <w:tcW w:w="1083" w:type="dxa"/>
            <w:tcBorders>
              <w:bottom w:val="single" w:sz="8" w:space="0" w:color="000000"/>
            </w:tcBorders>
            <w:shd w:fill="FFFFFF" w:val="clear"/>
            <w:tcMar>
              <w:bottom w:w="28" w:type="dxa"/>
            </w:tcMar>
            <w:vAlign w:val="bottom"/>
          </w:tcPr>
          <w:p>
            <w:pPr>
              <w:pStyle w:val="TableContents"/>
              <w:spacing w:before="0" w:after="283"/>
              <w:jc w:val="right"/>
              <w:rPr/>
            </w:pPr>
            <w:r>
              <w:rPr/>
              <w:t xml:space="preserve">​ </w:t>
            </w:r>
          </w:p>
        </w:tc>
        <w:tc>
          <w:tcPr>
            <w:tcW w:w="108" w:type="dxa"/>
            <w:tcBorders/>
            <w:shd w:fill="FFFFFF" w:val="clear"/>
            <w:vAlign w:val="bottom"/>
          </w:tcPr>
          <w:p>
            <w:pPr>
              <w:pStyle w:val="TableContents"/>
              <w:spacing w:before="0" w:after="283"/>
              <w:rPr/>
            </w:pPr>
            <w:r>
              <w:rPr/>
              <w:t>​</w:t>
            </w:r>
          </w:p>
        </w:tc>
        <w:tc>
          <w:tcPr>
            <w:tcW w:w="125" w:type="dxa"/>
            <w:tcBorders>
              <w:bottom w:val="single" w:sz="8" w:space="0" w:color="000000"/>
            </w:tcBorders>
            <w:shd w:fill="FFFFFF" w:val="clear"/>
            <w:tcMar>
              <w:bottom w:w="28" w:type="dxa"/>
            </w:tcMar>
            <w:vAlign w:val="bottom"/>
          </w:tcPr>
          <w:p>
            <w:pPr>
              <w:pStyle w:val="TableContents"/>
              <w:spacing w:before="0" w:after="283"/>
              <w:rPr/>
            </w:pPr>
            <w:r>
              <w:rPr/>
              <w:t xml:space="preserve">​ </w:t>
            </w:r>
          </w:p>
        </w:tc>
        <w:tc>
          <w:tcPr>
            <w:tcW w:w="1083" w:type="dxa"/>
            <w:tcBorders>
              <w:bottom w:val="single" w:sz="8" w:space="0" w:color="000000"/>
            </w:tcBorders>
            <w:shd w:fill="FFFFFF" w:val="clear"/>
            <w:tcMar>
              <w:bottom w:w="28" w:type="dxa"/>
            </w:tcMar>
            <w:vAlign w:val="bottom"/>
          </w:tcPr>
          <w:p>
            <w:pPr>
              <w:pStyle w:val="TableContents"/>
              <w:spacing w:before="0" w:after="283"/>
              <w:jc w:val="right"/>
              <w:rPr/>
            </w:pPr>
            <w:r>
              <w:rPr/>
              <w:t xml:space="preserve">​ </w:t>
            </w:r>
          </w:p>
        </w:tc>
        <w:tc>
          <w:tcPr>
            <w:tcW w:w="110" w:type="dxa"/>
            <w:tcBorders/>
            <w:shd w:fill="FFFFFF" w:val="clear"/>
            <w:vAlign w:val="bottom"/>
          </w:tcPr>
          <w:p>
            <w:pPr>
              <w:pStyle w:val="TableContents"/>
              <w:spacing w:before="0" w:after="283"/>
              <w:rPr/>
            </w:pPr>
            <w:r>
              <w:rPr/>
              <w:t>​</w:t>
            </w:r>
          </w:p>
        </w:tc>
      </w:tr>
      <w:tr>
        <w:trPr/>
        <w:tc>
          <w:tcPr>
            <w:tcW w:w="7463" w:type="dxa"/>
            <w:tcBorders/>
            <w:shd w:fill="FFFFFF" w:val="clear"/>
            <w:vAlign w:val="bottom"/>
          </w:tcPr>
          <w:p>
            <w:pPr>
              <w:pStyle w:val="TableContents"/>
              <w:spacing w:lineRule="atLeast" w:line="141" w:before="0" w:after="283"/>
              <w:rPr/>
            </w:pPr>
            <w:r>
              <w:rPr/>
              <w:t>​</w:t>
            </w:r>
          </w:p>
        </w:tc>
        <w:tc>
          <w:tcPr>
            <w:tcW w:w="108" w:type="dxa"/>
            <w:tcBorders/>
            <w:shd w:fill="FFFFFF" w:val="clear"/>
            <w:vAlign w:val="bottom"/>
          </w:tcPr>
          <w:p>
            <w:pPr>
              <w:pStyle w:val="TableContents"/>
              <w:spacing w:lineRule="atLeast" w:line="141" w:before="0" w:after="283"/>
              <w:rPr/>
            </w:pPr>
            <w:r>
              <w:rPr/>
              <w:t>​</w:t>
            </w:r>
          </w:p>
        </w:tc>
        <w:tc>
          <w:tcPr>
            <w:tcW w:w="125" w:type="dxa"/>
            <w:tcBorders/>
            <w:shd w:fill="FFFFFF" w:val="clear"/>
            <w:vAlign w:val="bottom"/>
          </w:tcPr>
          <w:p>
            <w:pPr>
              <w:pStyle w:val="TableContents"/>
              <w:spacing w:lineRule="atLeast" w:line="141" w:before="0" w:after="283"/>
              <w:rPr/>
            </w:pPr>
            <w:r>
              <w:rPr/>
              <w:t>​</w:t>
            </w:r>
          </w:p>
        </w:tc>
        <w:tc>
          <w:tcPr>
            <w:tcW w:w="1083" w:type="dxa"/>
            <w:tcBorders/>
            <w:shd w:fill="FFFFFF" w:val="clear"/>
            <w:vAlign w:val="bottom"/>
          </w:tcPr>
          <w:p>
            <w:pPr>
              <w:pStyle w:val="TableContents"/>
              <w:spacing w:lineRule="atLeast" w:line="141" w:before="0" w:after="283"/>
              <w:jc w:val="right"/>
              <w:rPr/>
            </w:pPr>
            <w:r>
              <w:rPr/>
              <w:t>​</w:t>
            </w:r>
          </w:p>
        </w:tc>
        <w:tc>
          <w:tcPr>
            <w:tcW w:w="108" w:type="dxa"/>
            <w:tcBorders/>
            <w:shd w:fill="FFFFFF" w:val="clear"/>
            <w:vAlign w:val="bottom"/>
          </w:tcPr>
          <w:p>
            <w:pPr>
              <w:pStyle w:val="TableContents"/>
              <w:spacing w:lineRule="atLeast" w:line="141" w:before="0" w:after="283"/>
              <w:rPr/>
            </w:pPr>
            <w:r>
              <w:rPr/>
              <w:t>​</w:t>
            </w:r>
          </w:p>
        </w:tc>
        <w:tc>
          <w:tcPr>
            <w:tcW w:w="125" w:type="dxa"/>
            <w:tcBorders/>
            <w:shd w:fill="FFFFFF" w:val="clear"/>
            <w:vAlign w:val="bottom"/>
          </w:tcPr>
          <w:p>
            <w:pPr>
              <w:pStyle w:val="TableContents"/>
              <w:spacing w:lineRule="atLeast" w:line="141" w:before="0" w:after="283"/>
              <w:rPr/>
            </w:pPr>
            <w:r>
              <w:rPr/>
              <w:t>​</w:t>
            </w:r>
          </w:p>
        </w:tc>
        <w:tc>
          <w:tcPr>
            <w:tcW w:w="1083" w:type="dxa"/>
            <w:tcBorders/>
            <w:shd w:fill="FFFFFF" w:val="clear"/>
            <w:vAlign w:val="bottom"/>
          </w:tcPr>
          <w:p>
            <w:pPr>
              <w:pStyle w:val="TableContents"/>
              <w:spacing w:lineRule="atLeast" w:line="141" w:before="0" w:after="283"/>
              <w:jc w:val="right"/>
              <w:rPr/>
            </w:pPr>
            <w:r>
              <w:rPr/>
              <w:t>​</w:t>
            </w:r>
          </w:p>
        </w:tc>
        <w:tc>
          <w:tcPr>
            <w:tcW w:w="110" w:type="dxa"/>
            <w:tcBorders/>
            <w:shd w:fill="FFFFFF" w:val="clear"/>
            <w:vAlign w:val="bottom"/>
          </w:tcPr>
          <w:p>
            <w:pPr>
              <w:pStyle w:val="TableContents"/>
              <w:spacing w:lineRule="atLeast" w:line="141" w:before="0" w:after="283"/>
              <w:rPr/>
            </w:pPr>
            <w:r>
              <w:rPr/>
              <w:t>​</w:t>
            </w:r>
          </w:p>
        </w:tc>
      </w:tr>
      <w:tr>
        <w:trPr/>
        <w:tc>
          <w:tcPr>
            <w:tcW w:w="7463" w:type="dxa"/>
            <w:tcBorders/>
            <w:shd w:fill="FFFFFF" w:val="clear"/>
            <w:vAlign w:val="bottom"/>
          </w:tcPr>
          <w:p>
            <w:pPr>
              <w:pStyle w:val="TableContents"/>
              <w:spacing w:before="0" w:after="283"/>
              <w:rPr/>
            </w:pPr>
            <w:r>
              <w:rPr/>
              <w:t>​</w:t>
            </w:r>
          </w:p>
        </w:tc>
        <w:tc>
          <w:tcPr>
            <w:tcW w:w="108" w:type="dxa"/>
            <w:tcBorders/>
            <w:shd w:fill="FFFFFF" w:val="clear"/>
            <w:vAlign w:val="bottom"/>
          </w:tcPr>
          <w:p>
            <w:pPr>
              <w:pStyle w:val="TableContents"/>
              <w:spacing w:before="0" w:after="283"/>
              <w:rPr/>
            </w:pPr>
            <w:r>
              <w:rPr/>
              <w:t>​</w:t>
            </w:r>
          </w:p>
        </w:tc>
        <w:tc>
          <w:tcPr>
            <w:tcW w:w="125" w:type="dxa"/>
            <w:tcBorders>
              <w:bottom w:val="single" w:sz="8" w:space="0" w:color="000000"/>
            </w:tcBorders>
            <w:shd w:fill="FFFFFF" w:val="clear"/>
            <w:tcMar>
              <w:bottom w:w="28" w:type="dxa"/>
            </w:tcMar>
            <w:vAlign w:val="bottom"/>
          </w:tcPr>
          <w:p>
            <w:pPr>
              <w:pStyle w:val="TableContents"/>
              <w:spacing w:before="0" w:after="283"/>
              <w:rPr/>
            </w:pPr>
            <w:r>
              <w:rPr/>
              <w:t xml:space="preserve">​ </w:t>
            </w:r>
          </w:p>
        </w:tc>
        <w:tc>
          <w:tcPr>
            <w:tcW w:w="1083" w:type="dxa"/>
            <w:tcBorders>
              <w:bottom w:val="single" w:sz="8" w:space="0" w:color="000000"/>
            </w:tcBorders>
            <w:shd w:fill="FFFFFF" w:val="clear"/>
            <w:tcMar>
              <w:bottom w:w="28" w:type="dxa"/>
            </w:tcMar>
            <w:vAlign w:val="bottom"/>
          </w:tcPr>
          <w:p>
            <w:pPr>
              <w:pStyle w:val="TableContents"/>
              <w:spacing w:before="0" w:after="283"/>
              <w:jc w:val="right"/>
              <w:rPr/>
            </w:pPr>
            <w:r>
              <w:rPr/>
              <w:t xml:space="preserve">​ </w:t>
            </w:r>
          </w:p>
        </w:tc>
        <w:tc>
          <w:tcPr>
            <w:tcW w:w="108" w:type="dxa"/>
            <w:tcBorders/>
            <w:shd w:fill="FFFFFF" w:val="clear"/>
            <w:vAlign w:val="bottom"/>
          </w:tcPr>
          <w:p>
            <w:pPr>
              <w:pStyle w:val="TableContents"/>
              <w:spacing w:before="0" w:after="283"/>
              <w:rPr/>
            </w:pPr>
            <w:r>
              <w:rPr/>
              <w:t>​</w:t>
            </w:r>
          </w:p>
        </w:tc>
        <w:tc>
          <w:tcPr>
            <w:tcW w:w="125" w:type="dxa"/>
            <w:tcBorders>
              <w:bottom w:val="single" w:sz="8" w:space="0" w:color="000000"/>
            </w:tcBorders>
            <w:shd w:fill="FFFFFF" w:val="clear"/>
            <w:tcMar>
              <w:bottom w:w="28" w:type="dxa"/>
            </w:tcMar>
            <w:vAlign w:val="bottom"/>
          </w:tcPr>
          <w:p>
            <w:pPr>
              <w:pStyle w:val="TableContents"/>
              <w:spacing w:before="0" w:after="283"/>
              <w:rPr/>
            </w:pPr>
            <w:r>
              <w:rPr/>
              <w:t xml:space="preserve">​ </w:t>
            </w:r>
          </w:p>
        </w:tc>
        <w:tc>
          <w:tcPr>
            <w:tcW w:w="1083" w:type="dxa"/>
            <w:tcBorders>
              <w:bottom w:val="single" w:sz="8" w:space="0" w:color="000000"/>
            </w:tcBorders>
            <w:shd w:fill="FFFFFF" w:val="clear"/>
            <w:tcMar>
              <w:bottom w:w="28" w:type="dxa"/>
            </w:tcMar>
            <w:vAlign w:val="bottom"/>
          </w:tcPr>
          <w:p>
            <w:pPr>
              <w:pStyle w:val="TableContents"/>
              <w:spacing w:before="0" w:after="283"/>
              <w:jc w:val="right"/>
              <w:rPr/>
            </w:pPr>
            <w:r>
              <w:rPr/>
              <w:t xml:space="preserve">​ </w:t>
            </w:r>
          </w:p>
        </w:tc>
        <w:tc>
          <w:tcPr>
            <w:tcW w:w="110" w:type="dxa"/>
            <w:tcBorders/>
            <w:shd w:fill="FFFFFF" w:val="clear"/>
            <w:vAlign w:val="bottom"/>
          </w:tcPr>
          <w:p>
            <w:pPr>
              <w:pStyle w:val="TableContents"/>
              <w:spacing w:before="0" w:after="283"/>
              <w:rPr/>
            </w:pPr>
            <w:r>
              <w:rPr/>
              <w:t xml:space="preserve">​ </w:t>
            </w:r>
          </w:p>
        </w:tc>
      </w:tr>
      <w:tr>
        <w:trPr/>
        <w:tc>
          <w:tcPr>
            <w:tcW w:w="7463" w:type="dxa"/>
            <w:tcBorders/>
            <w:shd w:fill="auto" w:val="clear"/>
            <w:vAlign w:val="bottom"/>
          </w:tcPr>
          <w:p>
            <w:pPr>
              <w:pStyle w:val="TableContents"/>
              <w:spacing w:before="0" w:after="283"/>
              <w:ind w:left="200" w:right="0" w:hanging="200"/>
              <w:rPr>
                <w:rFonts w:ascii="times" w:hAnsi="times"/>
                <w:sz w:val="20"/>
              </w:rPr>
            </w:pPr>
            <w:r>
              <w:rPr>
                <w:rFonts w:ascii="times" w:hAnsi="times"/>
                <w:sz w:val="20"/>
              </w:rPr>
              <w:t>Partners' Capital:</w:t>
            </w:r>
          </w:p>
        </w:tc>
        <w:tc>
          <w:tcPr>
            <w:tcW w:w="108"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1083" w:type="dxa"/>
            <w:tcBorders/>
            <w:shd w:fill="auto" w:val="clear"/>
            <w:vAlign w:val="bottom"/>
          </w:tcPr>
          <w:p>
            <w:pPr>
              <w:pStyle w:val="TableContents"/>
              <w:spacing w:before="0" w:after="283"/>
              <w:jc w:val="right"/>
              <w:rPr/>
            </w:pPr>
            <w:r>
              <w:rPr/>
              <w:t> </w:t>
            </w:r>
          </w:p>
        </w:tc>
        <w:tc>
          <w:tcPr>
            <w:tcW w:w="108"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1083" w:type="dxa"/>
            <w:tcBorders/>
            <w:shd w:fill="auto" w:val="clear"/>
            <w:vAlign w:val="bottom"/>
          </w:tcPr>
          <w:p>
            <w:pPr>
              <w:pStyle w:val="TableContents"/>
              <w:spacing w:before="0" w:after="283"/>
              <w:jc w:val="right"/>
              <w:rPr/>
            </w:pPr>
            <w:r>
              <w:rPr/>
              <w:t> </w:t>
            </w:r>
          </w:p>
        </w:tc>
        <w:tc>
          <w:tcPr>
            <w:tcW w:w="110" w:type="dxa"/>
            <w:tcBorders/>
            <w:shd w:fill="auto" w:val="clear"/>
            <w:vAlign w:val="bottom"/>
          </w:tcPr>
          <w:p>
            <w:pPr>
              <w:pStyle w:val="TableContents"/>
              <w:spacing w:before="0" w:after="283"/>
              <w:rPr/>
            </w:pPr>
            <w:r>
              <w:rPr/>
              <w:t> </w:t>
            </w:r>
          </w:p>
        </w:tc>
      </w:tr>
      <w:tr>
        <w:trPr/>
        <w:tc>
          <w:tcPr>
            <w:tcW w:w="7463" w:type="dxa"/>
            <w:tcBorders/>
            <w:shd w:fill="auto" w:val="clear"/>
            <w:vAlign w:val="bottom"/>
          </w:tcPr>
          <w:p>
            <w:pPr>
              <w:pStyle w:val="TableContents"/>
              <w:spacing w:before="0" w:after="283"/>
              <w:ind w:left="400" w:right="0" w:hanging="200"/>
              <w:rPr>
                <w:rFonts w:ascii="times" w:hAnsi="times"/>
                <w:sz w:val="20"/>
              </w:rPr>
            </w:pPr>
            <w:r>
              <w:rPr>
                <w:rFonts w:ascii="times" w:hAnsi="times"/>
                <w:sz w:val="20"/>
              </w:rPr>
              <w:t>Common unitholders: 47,517,824 units issued and outstanding as of December 31, 2020, and as adjusted</w:t>
            </w:r>
          </w:p>
        </w:tc>
        <w:tc>
          <w:tcPr>
            <w:tcW w:w="108"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1083" w:type="dxa"/>
            <w:tcBorders/>
            <w:shd w:fill="auto" w:val="clear"/>
            <w:vAlign w:val="bottom"/>
          </w:tcPr>
          <w:p>
            <w:pPr>
              <w:pStyle w:val="TableContents"/>
              <w:spacing w:before="0" w:after="283"/>
              <w:jc w:val="right"/>
              <w:rPr>
                <w:rFonts w:ascii="times" w:hAnsi="times"/>
                <w:sz w:val="20"/>
              </w:rPr>
            </w:pPr>
            <w:r>
              <w:rPr>
                <w:rFonts w:ascii="times" w:hAnsi="times"/>
                <w:sz w:val="20"/>
              </w:rPr>
              <w:t>594,901</w:t>
            </w:r>
          </w:p>
        </w:tc>
        <w:tc>
          <w:tcPr>
            <w:tcW w:w="108"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1083" w:type="dxa"/>
            <w:tcBorders/>
            <w:shd w:fill="auto" w:val="clear"/>
            <w:vAlign w:val="bottom"/>
          </w:tcPr>
          <w:p>
            <w:pPr>
              <w:pStyle w:val="TableContents"/>
              <w:spacing w:before="0" w:after="283"/>
              <w:jc w:val="right"/>
              <w:rPr>
                <w:rFonts w:ascii="times" w:hAnsi="times"/>
                <w:sz w:val="20"/>
              </w:rPr>
            </w:pPr>
            <w:r>
              <w:rPr>
                <w:rFonts w:ascii="times" w:hAnsi="times"/>
                <w:sz w:val="20"/>
              </w:rPr>
              <w:t>594,426</w:t>
            </w:r>
          </w:p>
        </w:tc>
        <w:tc>
          <w:tcPr>
            <w:tcW w:w="110" w:type="dxa"/>
            <w:tcBorders/>
            <w:shd w:fill="auto" w:val="clear"/>
            <w:vAlign w:val="bottom"/>
          </w:tcPr>
          <w:p>
            <w:pPr>
              <w:pStyle w:val="TableContents"/>
              <w:spacing w:before="0" w:after="283"/>
              <w:rPr/>
            </w:pPr>
            <w:r>
              <w:rPr/>
              <w:t> </w:t>
            </w:r>
          </w:p>
        </w:tc>
      </w:tr>
      <w:tr>
        <w:trPr/>
        <w:tc>
          <w:tcPr>
            <w:tcW w:w="7463" w:type="dxa"/>
            <w:tcBorders/>
            <w:shd w:fill="auto" w:val="clear"/>
            <w:vAlign w:val="bottom"/>
          </w:tcPr>
          <w:p>
            <w:pPr>
              <w:pStyle w:val="TableContents"/>
              <w:spacing w:before="0" w:after="283"/>
              <w:ind w:left="400" w:right="0" w:hanging="200"/>
              <w:rPr>
                <w:rFonts w:ascii="times" w:hAnsi="times"/>
                <w:sz w:val="20"/>
              </w:rPr>
            </w:pPr>
            <w:r>
              <w:rPr>
                <w:rFonts w:ascii="times" w:hAnsi="times"/>
                <w:sz w:val="20"/>
              </w:rPr>
              <w:t>General partner: 1,021,336 units issued and outstanding as of December 31, 2020 and as adjusted</w:t>
            </w:r>
          </w:p>
        </w:tc>
        <w:tc>
          <w:tcPr>
            <w:tcW w:w="108"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1083" w:type="dxa"/>
            <w:tcBorders/>
            <w:shd w:fill="auto" w:val="clear"/>
            <w:vAlign w:val="bottom"/>
          </w:tcPr>
          <w:p>
            <w:pPr>
              <w:pStyle w:val="TableContents"/>
              <w:spacing w:before="0" w:after="283"/>
              <w:jc w:val="right"/>
              <w:rPr>
                <w:rFonts w:ascii="times" w:hAnsi="times"/>
                <w:sz w:val="20"/>
              </w:rPr>
            </w:pPr>
            <w:r>
              <w:rPr>
                <w:rFonts w:ascii="times" w:hAnsi="times"/>
                <w:sz w:val="20"/>
              </w:rPr>
              <w:t>11,028</w:t>
            </w:r>
          </w:p>
        </w:tc>
        <w:tc>
          <w:tcPr>
            <w:tcW w:w="108"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1083" w:type="dxa"/>
            <w:tcBorders/>
            <w:shd w:fill="auto" w:val="clear"/>
            <w:vAlign w:val="bottom"/>
          </w:tcPr>
          <w:p>
            <w:pPr>
              <w:pStyle w:val="TableContents"/>
              <w:spacing w:before="0" w:after="283"/>
              <w:jc w:val="right"/>
              <w:rPr>
                <w:rFonts w:ascii="times" w:hAnsi="times"/>
                <w:sz w:val="20"/>
              </w:rPr>
            </w:pPr>
            <w:r>
              <w:rPr>
                <w:rFonts w:ascii="times" w:hAnsi="times"/>
                <w:sz w:val="20"/>
              </w:rPr>
              <w:t>11,018</w:t>
            </w:r>
          </w:p>
        </w:tc>
        <w:tc>
          <w:tcPr>
            <w:tcW w:w="110" w:type="dxa"/>
            <w:tcBorders/>
            <w:shd w:fill="auto" w:val="clear"/>
            <w:vAlign w:val="bottom"/>
          </w:tcPr>
          <w:p>
            <w:pPr>
              <w:pStyle w:val="TableContents"/>
              <w:spacing w:before="0" w:after="283"/>
              <w:rPr/>
            </w:pPr>
            <w:r>
              <w:rPr/>
              <w:t> </w:t>
            </w:r>
          </w:p>
        </w:tc>
      </w:tr>
      <w:tr>
        <w:trPr/>
        <w:tc>
          <w:tcPr>
            <w:tcW w:w="7463" w:type="dxa"/>
            <w:tcBorders/>
            <w:shd w:fill="auto" w:val="clear"/>
            <w:vAlign w:val="bottom"/>
          </w:tcPr>
          <w:p>
            <w:pPr>
              <w:pStyle w:val="TableContents"/>
              <w:spacing w:before="0" w:after="283"/>
              <w:ind w:left="400" w:right="0" w:hanging="200"/>
              <w:rPr>
                <w:rFonts w:ascii="times" w:hAnsi="times"/>
                <w:sz w:val="20"/>
              </w:rPr>
            </w:pPr>
            <w:r>
              <w:rPr>
                <w:rFonts w:ascii="times" w:hAnsi="times"/>
                <w:sz w:val="20"/>
              </w:rPr>
              <w:t>Class B Unitholders: 2,075,000 units issued and outstanding as of December 31, 2020 and as adjusted</w:t>
            </w:r>
          </w:p>
        </w:tc>
        <w:tc>
          <w:tcPr>
            <w:tcW w:w="108"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1083" w:type="dxa"/>
            <w:tcBorders/>
            <w:shd w:fill="auto" w:val="clear"/>
            <w:vAlign w:val="bottom"/>
          </w:tcPr>
          <w:p>
            <w:pPr>
              <w:pStyle w:val="TableContents"/>
              <w:spacing w:before="0" w:after="283"/>
              <w:jc w:val="right"/>
              <w:rPr>
                <w:rFonts w:ascii="times" w:hAnsi="times"/>
                <w:sz w:val="20"/>
              </w:rPr>
            </w:pPr>
            <w:r>
              <w:rPr>
                <w:rFonts w:ascii="times" w:hAnsi="times"/>
                <w:sz w:val="20"/>
              </w:rPr>
              <w:t></w:t>
            </w:r>
          </w:p>
        </w:tc>
        <w:tc>
          <w:tcPr>
            <w:tcW w:w="108"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1083" w:type="dxa"/>
            <w:tcBorders/>
            <w:shd w:fill="auto" w:val="clear"/>
            <w:vAlign w:val="bottom"/>
          </w:tcPr>
          <w:p>
            <w:pPr>
              <w:pStyle w:val="TableContents"/>
              <w:spacing w:before="0" w:after="283"/>
              <w:jc w:val="right"/>
              <w:rPr>
                <w:rFonts w:ascii="times" w:hAnsi="times"/>
                <w:sz w:val="20"/>
              </w:rPr>
            </w:pPr>
            <w:r>
              <w:rPr>
                <w:rFonts w:ascii="times" w:hAnsi="times"/>
                <w:sz w:val="20"/>
              </w:rPr>
              <w:t></w:t>
            </w:r>
          </w:p>
        </w:tc>
        <w:tc>
          <w:tcPr>
            <w:tcW w:w="110" w:type="dxa"/>
            <w:tcBorders/>
            <w:shd w:fill="auto" w:val="clear"/>
            <w:vAlign w:val="bottom"/>
          </w:tcPr>
          <w:p>
            <w:pPr>
              <w:pStyle w:val="TableContents"/>
              <w:spacing w:before="0" w:after="283"/>
              <w:rPr/>
            </w:pPr>
            <w:r>
              <w:rPr/>
              <w:t> </w:t>
            </w:r>
          </w:p>
        </w:tc>
      </w:tr>
      <w:tr>
        <w:trPr/>
        <w:tc>
          <w:tcPr>
            <w:tcW w:w="7463" w:type="dxa"/>
            <w:tcBorders/>
            <w:shd w:fill="auto" w:val="clear"/>
            <w:vAlign w:val="bottom"/>
          </w:tcPr>
          <w:p>
            <w:pPr>
              <w:pStyle w:val="TableContents"/>
              <w:spacing w:before="0" w:after="283"/>
              <w:ind w:left="400" w:right="0" w:hanging="200"/>
              <w:rPr>
                <w:rFonts w:ascii="times" w:hAnsi="times"/>
                <w:sz w:val="20"/>
              </w:rPr>
            </w:pPr>
            <w:r>
              <w:rPr>
                <w:rFonts w:ascii="times" w:hAnsi="times"/>
                <w:sz w:val="20"/>
              </w:rPr>
              <w:t>Preference unitholders: 5,750,000 Series A Preference Units, 4,600,000 Series B Preference Units and 4,000,000 Series C Preference Units issued and outstanding as of December 31, 2020 and as adjusted</w:t>
            </w:r>
          </w:p>
        </w:tc>
        <w:tc>
          <w:tcPr>
            <w:tcW w:w="108"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1083" w:type="dxa"/>
            <w:tcBorders/>
            <w:shd w:fill="auto" w:val="clear"/>
            <w:vAlign w:val="bottom"/>
          </w:tcPr>
          <w:p>
            <w:pPr>
              <w:pStyle w:val="TableContents"/>
              <w:spacing w:before="0" w:after="283"/>
              <w:jc w:val="right"/>
              <w:rPr>
                <w:rFonts w:ascii="times" w:hAnsi="times"/>
                <w:sz w:val="20"/>
              </w:rPr>
            </w:pPr>
            <w:r>
              <w:rPr>
                <w:rFonts w:ascii="times" w:hAnsi="times"/>
                <w:sz w:val="20"/>
              </w:rPr>
              <w:t>347,889</w:t>
            </w:r>
          </w:p>
        </w:tc>
        <w:tc>
          <w:tcPr>
            <w:tcW w:w="108"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1083" w:type="dxa"/>
            <w:tcBorders/>
            <w:shd w:fill="auto" w:val="clear"/>
            <w:vAlign w:val="bottom"/>
          </w:tcPr>
          <w:p>
            <w:pPr>
              <w:pStyle w:val="TableContents"/>
              <w:spacing w:before="0" w:after="283"/>
              <w:jc w:val="right"/>
              <w:rPr>
                <w:rFonts w:ascii="times" w:hAnsi="times"/>
                <w:sz w:val="20"/>
              </w:rPr>
            </w:pPr>
            <w:r>
              <w:rPr>
                <w:rFonts w:ascii="times" w:hAnsi="times"/>
                <w:sz w:val="20"/>
              </w:rPr>
              <w:t xml:space="preserve">340,307 </w:t>
            </w:r>
          </w:p>
        </w:tc>
        <w:tc>
          <w:tcPr>
            <w:tcW w:w="110" w:type="dxa"/>
            <w:tcBorders/>
            <w:shd w:fill="auto" w:val="clear"/>
            <w:vAlign w:val="bottom"/>
          </w:tcPr>
          <w:p>
            <w:pPr>
              <w:pStyle w:val="TableContents"/>
              <w:spacing w:before="0" w:after="283"/>
              <w:rPr/>
            </w:pPr>
            <w:r>
              <w:rPr/>
              <w:t> </w:t>
            </w:r>
          </w:p>
        </w:tc>
      </w:tr>
      <w:tr>
        <w:trPr/>
        <w:tc>
          <w:tcPr>
            <w:tcW w:w="7463" w:type="dxa"/>
            <w:tcBorders/>
            <w:shd w:fill="FFFFFF" w:val="clear"/>
            <w:vAlign w:val="bottom"/>
          </w:tcPr>
          <w:p>
            <w:pPr>
              <w:pStyle w:val="TableContents"/>
              <w:spacing w:before="0" w:after="283"/>
              <w:rPr/>
            </w:pPr>
            <w:r>
              <w:rPr/>
              <w:t>​</w:t>
            </w:r>
          </w:p>
        </w:tc>
        <w:tc>
          <w:tcPr>
            <w:tcW w:w="108" w:type="dxa"/>
            <w:tcBorders/>
            <w:shd w:fill="FFFFFF" w:val="clear"/>
            <w:vAlign w:val="bottom"/>
          </w:tcPr>
          <w:p>
            <w:pPr>
              <w:pStyle w:val="TableContents"/>
              <w:spacing w:before="0" w:after="283"/>
              <w:rPr/>
            </w:pPr>
            <w:r>
              <w:rPr/>
              <w:t>​</w:t>
            </w:r>
          </w:p>
        </w:tc>
        <w:tc>
          <w:tcPr>
            <w:tcW w:w="125" w:type="dxa"/>
            <w:tcBorders>
              <w:bottom w:val="single" w:sz="8" w:space="0" w:color="000000"/>
            </w:tcBorders>
            <w:shd w:fill="FFFFFF" w:val="clear"/>
            <w:tcMar>
              <w:bottom w:w="28" w:type="dxa"/>
            </w:tcMar>
            <w:vAlign w:val="bottom"/>
          </w:tcPr>
          <w:p>
            <w:pPr>
              <w:pStyle w:val="TableContents"/>
              <w:spacing w:before="0" w:after="283"/>
              <w:rPr/>
            </w:pPr>
            <w:r>
              <w:rPr/>
              <w:t xml:space="preserve">​ </w:t>
            </w:r>
          </w:p>
        </w:tc>
        <w:tc>
          <w:tcPr>
            <w:tcW w:w="1083" w:type="dxa"/>
            <w:tcBorders>
              <w:bottom w:val="single" w:sz="8" w:space="0" w:color="000000"/>
            </w:tcBorders>
            <w:shd w:fill="FFFFFF" w:val="clear"/>
            <w:tcMar>
              <w:bottom w:w="28" w:type="dxa"/>
            </w:tcMar>
            <w:vAlign w:val="bottom"/>
          </w:tcPr>
          <w:p>
            <w:pPr>
              <w:pStyle w:val="TableContents"/>
              <w:spacing w:before="0" w:after="283"/>
              <w:jc w:val="right"/>
              <w:rPr/>
            </w:pPr>
            <w:r>
              <w:rPr/>
              <w:t xml:space="preserve">​ </w:t>
            </w:r>
          </w:p>
        </w:tc>
        <w:tc>
          <w:tcPr>
            <w:tcW w:w="108" w:type="dxa"/>
            <w:tcBorders/>
            <w:shd w:fill="FFFFFF" w:val="clear"/>
            <w:vAlign w:val="bottom"/>
          </w:tcPr>
          <w:p>
            <w:pPr>
              <w:pStyle w:val="TableContents"/>
              <w:spacing w:before="0" w:after="283"/>
              <w:rPr/>
            </w:pPr>
            <w:r>
              <w:rPr/>
              <w:t>​</w:t>
            </w:r>
          </w:p>
        </w:tc>
        <w:tc>
          <w:tcPr>
            <w:tcW w:w="125" w:type="dxa"/>
            <w:tcBorders>
              <w:bottom w:val="single" w:sz="8" w:space="0" w:color="000000"/>
            </w:tcBorders>
            <w:shd w:fill="FFFFFF" w:val="clear"/>
            <w:tcMar>
              <w:bottom w:w="28" w:type="dxa"/>
            </w:tcMar>
            <w:vAlign w:val="bottom"/>
          </w:tcPr>
          <w:p>
            <w:pPr>
              <w:pStyle w:val="TableContents"/>
              <w:spacing w:before="0" w:after="283"/>
              <w:rPr/>
            </w:pPr>
            <w:r>
              <w:rPr/>
              <w:t xml:space="preserve">​ </w:t>
            </w:r>
          </w:p>
        </w:tc>
        <w:tc>
          <w:tcPr>
            <w:tcW w:w="1083" w:type="dxa"/>
            <w:tcBorders>
              <w:bottom w:val="single" w:sz="8" w:space="0" w:color="000000"/>
            </w:tcBorders>
            <w:shd w:fill="FFFFFF" w:val="clear"/>
            <w:tcMar>
              <w:bottom w:w="28" w:type="dxa"/>
            </w:tcMar>
            <w:vAlign w:val="bottom"/>
          </w:tcPr>
          <w:p>
            <w:pPr>
              <w:pStyle w:val="TableContents"/>
              <w:spacing w:before="0" w:after="283"/>
              <w:jc w:val="right"/>
              <w:rPr/>
            </w:pPr>
            <w:r>
              <w:rPr/>
              <w:t xml:space="preserve">​ </w:t>
            </w:r>
          </w:p>
        </w:tc>
        <w:tc>
          <w:tcPr>
            <w:tcW w:w="110" w:type="dxa"/>
            <w:tcBorders/>
            <w:shd w:fill="FFFFFF" w:val="clear"/>
            <w:vAlign w:val="bottom"/>
          </w:tcPr>
          <w:p>
            <w:pPr>
              <w:pStyle w:val="TableContents"/>
              <w:spacing w:before="0" w:after="283"/>
              <w:rPr/>
            </w:pPr>
            <w:r>
              <w:rPr/>
              <w:t>​</w:t>
            </w:r>
          </w:p>
        </w:tc>
      </w:tr>
      <w:tr>
        <w:trPr/>
        <w:tc>
          <w:tcPr>
            <w:tcW w:w="7463" w:type="dxa"/>
            <w:tcBorders/>
            <w:shd w:fill="auto" w:val="clear"/>
            <w:vAlign w:val="bottom"/>
          </w:tcPr>
          <w:p>
            <w:pPr>
              <w:pStyle w:val="TableContents"/>
              <w:spacing w:before="0" w:after="283"/>
              <w:ind w:left="200" w:right="0" w:hanging="200"/>
              <w:rPr>
                <w:rFonts w:ascii="times" w:hAnsi="times"/>
                <w:sz w:val="20"/>
              </w:rPr>
            </w:pPr>
            <w:r>
              <w:rPr>
                <w:rFonts w:ascii="times" w:hAnsi="times"/>
                <w:sz w:val="20"/>
              </w:rPr>
              <w:t>Total Partners' Capital</w:t>
            </w:r>
          </w:p>
        </w:tc>
        <w:tc>
          <w:tcPr>
            <w:tcW w:w="108"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1083" w:type="dxa"/>
            <w:tcBorders/>
            <w:shd w:fill="auto" w:val="clear"/>
            <w:vAlign w:val="bottom"/>
          </w:tcPr>
          <w:p>
            <w:pPr>
              <w:pStyle w:val="TableContents"/>
              <w:spacing w:before="0" w:after="283"/>
              <w:jc w:val="right"/>
              <w:rPr>
                <w:rFonts w:ascii="times" w:hAnsi="times"/>
                <w:sz w:val="20"/>
              </w:rPr>
            </w:pPr>
            <w:r>
              <w:rPr>
                <w:rFonts w:ascii="times" w:hAnsi="times"/>
                <w:sz w:val="20"/>
              </w:rPr>
              <w:t>953,818</w:t>
            </w:r>
          </w:p>
        </w:tc>
        <w:tc>
          <w:tcPr>
            <w:tcW w:w="108"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1083" w:type="dxa"/>
            <w:tcBorders/>
            <w:shd w:fill="auto" w:val="clear"/>
            <w:vAlign w:val="bottom"/>
          </w:tcPr>
          <w:p>
            <w:pPr>
              <w:pStyle w:val="TableContents"/>
              <w:spacing w:before="0" w:after="283"/>
              <w:jc w:val="right"/>
              <w:rPr>
                <w:rFonts w:ascii="times" w:hAnsi="times"/>
                <w:sz w:val="20"/>
              </w:rPr>
            </w:pPr>
            <w:r>
              <w:rPr>
                <w:rFonts w:ascii="times" w:hAnsi="times"/>
                <w:sz w:val="20"/>
              </w:rPr>
              <w:t>945,751</w:t>
            </w:r>
          </w:p>
        </w:tc>
        <w:tc>
          <w:tcPr>
            <w:tcW w:w="110" w:type="dxa"/>
            <w:tcBorders/>
            <w:shd w:fill="auto" w:val="clear"/>
            <w:vAlign w:val="bottom"/>
          </w:tcPr>
          <w:p>
            <w:pPr>
              <w:pStyle w:val="TableContents"/>
              <w:spacing w:before="0" w:after="283"/>
              <w:rPr/>
            </w:pPr>
            <w:r>
              <w:rPr/>
              <w:t> </w:t>
            </w:r>
          </w:p>
        </w:tc>
      </w:tr>
      <w:tr>
        <w:trPr/>
        <w:tc>
          <w:tcPr>
            <w:tcW w:w="7463" w:type="dxa"/>
            <w:tcBorders/>
            <w:shd w:fill="auto" w:val="clear"/>
            <w:vAlign w:val="bottom"/>
          </w:tcPr>
          <w:p>
            <w:pPr>
              <w:pStyle w:val="TableContents"/>
              <w:spacing w:before="0" w:after="283"/>
              <w:ind w:left="200" w:right="0" w:hanging="200"/>
              <w:rPr>
                <w:rFonts w:ascii="times" w:hAnsi="times"/>
                <w:sz w:val="20"/>
              </w:rPr>
            </w:pPr>
            <w:r>
              <w:rPr>
                <w:rFonts w:ascii="times" w:hAnsi="times"/>
                <w:sz w:val="20"/>
              </w:rPr>
              <w:t>Total capitalization</w:t>
            </w:r>
          </w:p>
        </w:tc>
        <w:tc>
          <w:tcPr>
            <w:tcW w:w="108"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w:hAnsi="times"/>
                <w:sz w:val="20"/>
              </w:rPr>
            </w:pPr>
            <w:r>
              <w:rPr>
                <w:rFonts w:ascii="times" w:hAnsi="times"/>
                <w:sz w:val="20"/>
              </w:rPr>
              <w:t>$</w:t>
            </w:r>
          </w:p>
        </w:tc>
        <w:tc>
          <w:tcPr>
            <w:tcW w:w="1083" w:type="dxa"/>
            <w:tcBorders/>
            <w:shd w:fill="auto" w:val="clear"/>
            <w:vAlign w:val="bottom"/>
          </w:tcPr>
          <w:p>
            <w:pPr>
              <w:pStyle w:val="TableContents"/>
              <w:spacing w:before="0" w:after="283"/>
              <w:jc w:val="right"/>
              <w:rPr>
                <w:rFonts w:ascii="times" w:hAnsi="times"/>
                <w:sz w:val="20"/>
              </w:rPr>
            </w:pPr>
            <w:r>
              <w:rPr>
                <w:rFonts w:ascii="times" w:hAnsi="times"/>
                <w:sz w:val="20"/>
              </w:rPr>
              <w:t>2,239,805</w:t>
            </w:r>
          </w:p>
        </w:tc>
        <w:tc>
          <w:tcPr>
            <w:tcW w:w="108"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w:hAnsi="times"/>
                <w:sz w:val="20"/>
              </w:rPr>
            </w:pPr>
            <w:r>
              <w:rPr>
                <w:rFonts w:ascii="times" w:hAnsi="times"/>
                <w:sz w:val="20"/>
              </w:rPr>
              <w:t>$</w:t>
            </w:r>
          </w:p>
        </w:tc>
        <w:tc>
          <w:tcPr>
            <w:tcW w:w="1083" w:type="dxa"/>
            <w:tcBorders/>
            <w:shd w:fill="auto" w:val="clear"/>
            <w:vAlign w:val="bottom"/>
          </w:tcPr>
          <w:p>
            <w:pPr>
              <w:pStyle w:val="TableContents"/>
              <w:spacing w:before="0" w:after="283"/>
              <w:jc w:val="right"/>
              <w:rPr>
                <w:rFonts w:ascii="times" w:hAnsi="times"/>
                <w:sz w:val="20"/>
              </w:rPr>
            </w:pPr>
            <w:r>
              <w:rPr>
                <w:rFonts w:ascii="times" w:hAnsi="times"/>
                <w:sz w:val="20"/>
              </w:rPr>
              <w:t xml:space="preserve">2,195,722 </w:t>
            </w:r>
          </w:p>
        </w:tc>
        <w:tc>
          <w:tcPr>
            <w:tcW w:w="110" w:type="dxa"/>
            <w:tcBorders/>
            <w:shd w:fill="auto" w:val="clear"/>
            <w:vAlign w:val="bottom"/>
          </w:tcPr>
          <w:p>
            <w:pPr>
              <w:pStyle w:val="TableContents"/>
              <w:spacing w:before="0" w:after="283"/>
              <w:rPr/>
            </w:pPr>
            <w:r>
              <w:rPr/>
              <w:t> </w:t>
            </w:r>
          </w:p>
        </w:tc>
      </w:tr>
      <w:tr>
        <w:trPr/>
        <w:tc>
          <w:tcPr>
            <w:tcW w:w="7463" w:type="dxa"/>
            <w:tcBorders/>
            <w:shd w:fill="FFFFFF" w:val="clear"/>
            <w:vAlign w:val="bottom"/>
          </w:tcPr>
          <w:p>
            <w:pPr>
              <w:pStyle w:val="TableContents"/>
              <w:spacing w:before="0" w:after="283"/>
              <w:rPr/>
            </w:pPr>
            <w:r>
              <w:rPr/>
              <w:t>​</w:t>
            </w:r>
          </w:p>
        </w:tc>
        <w:tc>
          <w:tcPr>
            <w:tcW w:w="108" w:type="dxa"/>
            <w:tcBorders/>
            <w:shd w:fill="FFFFFF" w:val="clear"/>
            <w:vAlign w:val="bottom"/>
          </w:tcPr>
          <w:p>
            <w:pPr>
              <w:pStyle w:val="TableContents"/>
              <w:spacing w:before="0" w:after="283"/>
              <w:rPr/>
            </w:pPr>
            <w:r>
              <w:rPr/>
              <w:t>​</w:t>
            </w:r>
          </w:p>
        </w:tc>
        <w:tc>
          <w:tcPr>
            <w:tcW w:w="125" w:type="dxa"/>
            <w:tcBorders>
              <w:bottom w:val="single" w:sz="8" w:space="0" w:color="000000"/>
            </w:tcBorders>
            <w:shd w:fill="FFFFFF" w:val="clear"/>
            <w:tcMar>
              <w:bottom w:w="28" w:type="dxa"/>
            </w:tcMar>
            <w:vAlign w:val="bottom"/>
          </w:tcPr>
          <w:p>
            <w:pPr>
              <w:pStyle w:val="TableContents"/>
              <w:spacing w:before="0" w:after="283"/>
              <w:rPr/>
            </w:pPr>
            <w:r>
              <w:rPr/>
              <w:t xml:space="preserve">​ </w:t>
            </w:r>
          </w:p>
        </w:tc>
        <w:tc>
          <w:tcPr>
            <w:tcW w:w="1083" w:type="dxa"/>
            <w:tcBorders>
              <w:bottom w:val="single" w:sz="8" w:space="0" w:color="000000"/>
            </w:tcBorders>
            <w:shd w:fill="FFFFFF" w:val="clear"/>
            <w:tcMar>
              <w:bottom w:w="28" w:type="dxa"/>
            </w:tcMar>
            <w:vAlign w:val="bottom"/>
          </w:tcPr>
          <w:p>
            <w:pPr>
              <w:pStyle w:val="TableContents"/>
              <w:spacing w:before="0" w:after="283"/>
              <w:jc w:val="right"/>
              <w:rPr/>
            </w:pPr>
            <w:r>
              <w:rPr/>
              <w:t xml:space="preserve">​ </w:t>
            </w:r>
          </w:p>
        </w:tc>
        <w:tc>
          <w:tcPr>
            <w:tcW w:w="108" w:type="dxa"/>
            <w:tcBorders/>
            <w:shd w:fill="FFFFFF" w:val="clear"/>
            <w:vAlign w:val="bottom"/>
          </w:tcPr>
          <w:p>
            <w:pPr>
              <w:pStyle w:val="TableContents"/>
              <w:spacing w:before="0" w:after="283"/>
              <w:rPr/>
            </w:pPr>
            <w:r>
              <w:rPr/>
              <w:t>​</w:t>
            </w:r>
          </w:p>
        </w:tc>
        <w:tc>
          <w:tcPr>
            <w:tcW w:w="125" w:type="dxa"/>
            <w:tcBorders>
              <w:bottom w:val="single" w:sz="8" w:space="0" w:color="000000"/>
            </w:tcBorders>
            <w:shd w:fill="FFFFFF" w:val="clear"/>
            <w:tcMar>
              <w:bottom w:w="28" w:type="dxa"/>
            </w:tcMar>
            <w:vAlign w:val="bottom"/>
          </w:tcPr>
          <w:p>
            <w:pPr>
              <w:pStyle w:val="TableContents"/>
              <w:spacing w:before="0" w:after="283"/>
              <w:rPr/>
            </w:pPr>
            <w:r>
              <w:rPr/>
              <w:t xml:space="preserve">​ </w:t>
            </w:r>
          </w:p>
        </w:tc>
        <w:tc>
          <w:tcPr>
            <w:tcW w:w="1083" w:type="dxa"/>
            <w:tcBorders>
              <w:bottom w:val="single" w:sz="8" w:space="0" w:color="000000"/>
            </w:tcBorders>
            <w:shd w:fill="FFFFFF" w:val="clear"/>
            <w:tcMar>
              <w:bottom w:w="28" w:type="dxa"/>
            </w:tcMar>
            <w:vAlign w:val="bottom"/>
          </w:tcPr>
          <w:p>
            <w:pPr>
              <w:pStyle w:val="TableContents"/>
              <w:spacing w:before="0" w:after="283"/>
              <w:jc w:val="right"/>
              <w:rPr/>
            </w:pPr>
            <w:r>
              <w:rPr/>
              <w:t xml:space="preserve">​ </w:t>
            </w:r>
          </w:p>
        </w:tc>
        <w:tc>
          <w:tcPr>
            <w:tcW w:w="110" w:type="dxa"/>
            <w:tcBorders/>
            <w:shd w:fill="FFFFFF" w:val="clear"/>
            <w:vAlign w:val="bottom"/>
          </w:tcPr>
          <w:p>
            <w:pPr>
              <w:pStyle w:val="TableContents"/>
              <w:spacing w:before="0" w:after="283"/>
              <w:rPr/>
            </w:pPr>
            <w:r>
              <w:rPr/>
              <w:t>​</w:t>
            </w:r>
          </w:p>
        </w:tc>
      </w:tr>
      <w:tr>
        <w:trPr/>
        <w:tc>
          <w:tcPr>
            <w:tcW w:w="7463" w:type="dxa"/>
            <w:tcBorders/>
            <w:shd w:fill="FFFFFF" w:val="clear"/>
            <w:vAlign w:val="bottom"/>
          </w:tcPr>
          <w:p>
            <w:pPr>
              <w:pStyle w:val="TableContents"/>
              <w:spacing w:lineRule="atLeast" w:line="141" w:before="0" w:after="283"/>
              <w:rPr/>
            </w:pPr>
            <w:r>
              <w:rPr/>
              <w:t>​</w:t>
            </w:r>
          </w:p>
        </w:tc>
        <w:tc>
          <w:tcPr>
            <w:tcW w:w="108" w:type="dxa"/>
            <w:tcBorders/>
            <w:shd w:fill="FFFFFF" w:val="clear"/>
            <w:vAlign w:val="bottom"/>
          </w:tcPr>
          <w:p>
            <w:pPr>
              <w:pStyle w:val="TableContents"/>
              <w:spacing w:lineRule="atLeast" w:line="141" w:before="0" w:after="283"/>
              <w:rPr/>
            </w:pPr>
            <w:r>
              <w:rPr/>
              <w:t>​</w:t>
            </w:r>
          </w:p>
        </w:tc>
        <w:tc>
          <w:tcPr>
            <w:tcW w:w="125" w:type="dxa"/>
            <w:tcBorders/>
            <w:shd w:fill="FFFFFF" w:val="clear"/>
            <w:vAlign w:val="bottom"/>
          </w:tcPr>
          <w:p>
            <w:pPr>
              <w:pStyle w:val="TableContents"/>
              <w:spacing w:lineRule="atLeast" w:line="141" w:before="0" w:after="283"/>
              <w:rPr/>
            </w:pPr>
            <w:r>
              <w:rPr/>
              <w:t>​</w:t>
            </w:r>
          </w:p>
        </w:tc>
        <w:tc>
          <w:tcPr>
            <w:tcW w:w="1083" w:type="dxa"/>
            <w:tcBorders/>
            <w:shd w:fill="FFFFFF" w:val="clear"/>
            <w:vAlign w:val="bottom"/>
          </w:tcPr>
          <w:p>
            <w:pPr>
              <w:pStyle w:val="TableContents"/>
              <w:spacing w:lineRule="atLeast" w:line="141" w:before="0" w:after="283"/>
              <w:jc w:val="right"/>
              <w:rPr/>
            </w:pPr>
            <w:r>
              <w:rPr/>
              <w:t>​</w:t>
            </w:r>
          </w:p>
        </w:tc>
        <w:tc>
          <w:tcPr>
            <w:tcW w:w="108" w:type="dxa"/>
            <w:tcBorders/>
            <w:shd w:fill="FFFFFF" w:val="clear"/>
            <w:vAlign w:val="bottom"/>
          </w:tcPr>
          <w:p>
            <w:pPr>
              <w:pStyle w:val="TableContents"/>
              <w:spacing w:lineRule="atLeast" w:line="141" w:before="0" w:after="283"/>
              <w:rPr/>
            </w:pPr>
            <w:r>
              <w:rPr/>
              <w:t>​</w:t>
            </w:r>
          </w:p>
        </w:tc>
        <w:tc>
          <w:tcPr>
            <w:tcW w:w="125" w:type="dxa"/>
            <w:tcBorders/>
            <w:shd w:fill="FFFFFF" w:val="clear"/>
            <w:vAlign w:val="bottom"/>
          </w:tcPr>
          <w:p>
            <w:pPr>
              <w:pStyle w:val="TableContents"/>
              <w:spacing w:lineRule="atLeast" w:line="141" w:before="0" w:after="283"/>
              <w:rPr/>
            </w:pPr>
            <w:r>
              <w:rPr/>
              <w:t>​</w:t>
            </w:r>
          </w:p>
        </w:tc>
        <w:tc>
          <w:tcPr>
            <w:tcW w:w="1083" w:type="dxa"/>
            <w:tcBorders/>
            <w:shd w:fill="FFFFFF" w:val="clear"/>
            <w:vAlign w:val="bottom"/>
          </w:tcPr>
          <w:p>
            <w:pPr>
              <w:pStyle w:val="TableContents"/>
              <w:spacing w:lineRule="atLeast" w:line="141" w:before="0" w:after="283"/>
              <w:jc w:val="right"/>
              <w:rPr/>
            </w:pPr>
            <w:r>
              <w:rPr/>
              <w:t>​</w:t>
            </w:r>
          </w:p>
        </w:tc>
        <w:tc>
          <w:tcPr>
            <w:tcW w:w="110" w:type="dxa"/>
            <w:tcBorders/>
            <w:shd w:fill="FFFFFF" w:val="clear"/>
            <w:vAlign w:val="bottom"/>
          </w:tcPr>
          <w:p>
            <w:pPr>
              <w:pStyle w:val="TableContents"/>
              <w:spacing w:lineRule="atLeast" w:line="141" w:before="0" w:after="283"/>
              <w:rPr/>
            </w:pPr>
            <w:r>
              <w:rPr/>
              <w:t>​</w:t>
            </w:r>
          </w:p>
        </w:tc>
      </w:tr>
      <w:tr>
        <w:trPr/>
        <w:tc>
          <w:tcPr>
            <w:tcW w:w="7463" w:type="dxa"/>
            <w:tcBorders/>
            <w:shd w:fill="FFFFFF" w:val="clear"/>
            <w:vAlign w:val="bottom"/>
          </w:tcPr>
          <w:p>
            <w:pPr>
              <w:pStyle w:val="TableContents"/>
              <w:spacing w:before="0" w:after="283"/>
              <w:rPr/>
            </w:pPr>
            <w:r>
              <w:rPr/>
              <w:t>​</w:t>
            </w:r>
          </w:p>
        </w:tc>
        <w:tc>
          <w:tcPr>
            <w:tcW w:w="108" w:type="dxa"/>
            <w:tcBorders/>
            <w:shd w:fill="FFFFFF" w:val="clear"/>
            <w:vAlign w:val="bottom"/>
          </w:tcPr>
          <w:p>
            <w:pPr>
              <w:pStyle w:val="TableContents"/>
              <w:spacing w:before="0" w:after="283"/>
              <w:rPr/>
            </w:pPr>
            <w:r>
              <w:rPr/>
              <w:t>​</w:t>
            </w:r>
          </w:p>
        </w:tc>
        <w:tc>
          <w:tcPr>
            <w:tcW w:w="125" w:type="dxa"/>
            <w:tcBorders>
              <w:bottom w:val="single" w:sz="8" w:space="0" w:color="000000"/>
            </w:tcBorders>
            <w:shd w:fill="FFFFFF" w:val="clear"/>
            <w:tcMar>
              <w:bottom w:w="28" w:type="dxa"/>
            </w:tcMar>
            <w:vAlign w:val="bottom"/>
          </w:tcPr>
          <w:p>
            <w:pPr>
              <w:pStyle w:val="TableContents"/>
              <w:spacing w:before="0" w:after="283"/>
              <w:rPr/>
            </w:pPr>
            <w:r>
              <w:rPr/>
              <w:t xml:space="preserve">​ </w:t>
            </w:r>
          </w:p>
        </w:tc>
        <w:tc>
          <w:tcPr>
            <w:tcW w:w="1083" w:type="dxa"/>
            <w:tcBorders>
              <w:bottom w:val="single" w:sz="8" w:space="0" w:color="000000"/>
            </w:tcBorders>
            <w:shd w:fill="FFFFFF" w:val="clear"/>
            <w:tcMar>
              <w:bottom w:w="28" w:type="dxa"/>
            </w:tcMar>
            <w:vAlign w:val="bottom"/>
          </w:tcPr>
          <w:p>
            <w:pPr>
              <w:pStyle w:val="TableContents"/>
              <w:spacing w:before="0" w:after="283"/>
              <w:jc w:val="right"/>
              <w:rPr/>
            </w:pPr>
            <w:r>
              <w:rPr/>
              <w:t xml:space="preserve">​ </w:t>
            </w:r>
          </w:p>
        </w:tc>
        <w:tc>
          <w:tcPr>
            <w:tcW w:w="108" w:type="dxa"/>
            <w:tcBorders/>
            <w:shd w:fill="FFFFFF" w:val="clear"/>
            <w:vAlign w:val="bottom"/>
          </w:tcPr>
          <w:p>
            <w:pPr>
              <w:pStyle w:val="TableContents"/>
              <w:spacing w:before="0" w:after="283"/>
              <w:rPr/>
            </w:pPr>
            <w:r>
              <w:rPr/>
              <w:t>​</w:t>
            </w:r>
          </w:p>
        </w:tc>
        <w:tc>
          <w:tcPr>
            <w:tcW w:w="125" w:type="dxa"/>
            <w:tcBorders>
              <w:bottom w:val="single" w:sz="8" w:space="0" w:color="000000"/>
            </w:tcBorders>
            <w:shd w:fill="FFFFFF" w:val="clear"/>
            <w:tcMar>
              <w:bottom w:w="28" w:type="dxa"/>
            </w:tcMar>
            <w:vAlign w:val="bottom"/>
          </w:tcPr>
          <w:p>
            <w:pPr>
              <w:pStyle w:val="TableContents"/>
              <w:spacing w:before="0" w:after="283"/>
              <w:rPr/>
            </w:pPr>
            <w:r>
              <w:rPr/>
              <w:t xml:space="preserve">​ </w:t>
            </w:r>
          </w:p>
        </w:tc>
        <w:tc>
          <w:tcPr>
            <w:tcW w:w="1083" w:type="dxa"/>
            <w:tcBorders>
              <w:bottom w:val="single" w:sz="8" w:space="0" w:color="000000"/>
            </w:tcBorders>
            <w:shd w:fill="FFFFFF" w:val="clear"/>
            <w:tcMar>
              <w:bottom w:w="28" w:type="dxa"/>
            </w:tcMar>
            <w:vAlign w:val="bottom"/>
          </w:tcPr>
          <w:p>
            <w:pPr>
              <w:pStyle w:val="TableContents"/>
              <w:spacing w:before="0" w:after="283"/>
              <w:jc w:val="right"/>
              <w:rPr/>
            </w:pPr>
            <w:r>
              <w:rPr/>
              <w:t xml:space="preserve">​ </w:t>
            </w:r>
          </w:p>
        </w:tc>
        <w:tc>
          <w:tcPr>
            <w:tcW w:w="110" w:type="dxa"/>
            <w:tcBorders/>
            <w:shd w:fill="FFFFFF" w:val="clear"/>
            <w:vAlign w:val="bottom"/>
          </w:tcPr>
          <w:p>
            <w:pPr>
              <w:pStyle w:val="TableContents"/>
              <w:spacing w:before="0" w:after="283"/>
              <w:rPr/>
            </w:pPr>
            <w:r>
              <w:rPr/>
              <w:t xml:space="preserve">​ </w:t>
            </w:r>
          </w:p>
        </w:tc>
      </w:tr>
    </w:tbl>
    <w:p>
      <w:pPr>
        <w:pStyle w:val="TextBody"/>
        <w:jc w:val="center"/>
        <w:rPr>
          <w:rFonts w:ascii="times" w:hAnsi="times"/>
          <w:sz w:val="20"/>
        </w:rPr>
      </w:pPr>
      <w:r>
        <w:rPr>
          <w:rFonts w:ascii="times" w:hAnsi="times"/>
          <w:sz w:val="20"/>
        </w:rPr>
        <w:t>S-27</w:t>
      </w:r>
    </w:p>
    <w:p>
      <w:pPr>
        <w:pStyle w:val="HorizontalLine"/>
        <w:pBdr>
          <w:bottom w:val="single" w:sz="20" w:space="0" w:color="808080"/>
        </w:pBdr>
        <w:rPr/>
      </w:pPr>
      <w:r>
        <w:rPr/>
      </w:r>
      <w:r>
        <w:br w:type="page"/>
      </w:r>
    </w:p>
    <w:p>
      <w:pPr>
        <w:pStyle w:val="TextBody"/>
        <w:rPr/>
      </w:pPr>
      <w:hyperlink w:anchor="bE43504A_main_toc">
        <w:bookmarkStart w:id="78" w:name="page_cc43504_1_28"/>
        <w:bookmarkEnd w:id="78"/>
        <w:r>
          <w:rPr>
            <w:rStyle w:val="InternetLink"/>
            <w:rFonts w:ascii="times" w:hAnsi="times"/>
            <w:sz w:val="20"/>
          </w:rPr>
          <w:t>Table of Contents</w:t>
        </w:r>
      </w:hyperlink>
      <w:r>
        <w:rPr>
          <w:rFonts w:ascii="times" w:hAnsi="times"/>
          <w:sz w:val="20"/>
        </w:rPr>
        <w:t xml:space="preserve"> </w:t>
      </w:r>
    </w:p>
    <w:p>
      <w:pPr>
        <w:pStyle w:val="TextBody"/>
        <w:jc w:val="center"/>
        <w:rPr>
          <w:rFonts w:ascii="times" w:hAnsi="times"/>
        </w:rPr>
      </w:pPr>
      <w:bookmarkStart w:id="79" w:name="toc_cc43504_1"/>
      <w:bookmarkStart w:id="80" w:name="cc43504_description_of_the_common_units"/>
      <w:bookmarkEnd w:id="79"/>
      <w:bookmarkEnd w:id="80"/>
      <w:r>
        <w:rPr>
          <w:rFonts w:ascii="times" w:hAnsi="times"/>
          <w:sz w:val="20"/>
        </w:rPr>
        <w:br/>
      </w:r>
      <w:r>
        <w:rPr>
          <w:rFonts w:ascii="times" w:hAnsi="times"/>
          <w:b/>
          <w:sz w:val="20"/>
        </w:rPr>
        <w:t xml:space="preserve">DESCRIPTION OF THE COMMON UNITS </w:t>
      </w:r>
    </w:p>
    <w:p>
      <w:pPr>
        <w:pStyle w:val="TextBody"/>
        <w:ind w:left="200" w:right="0" w:hanging="200"/>
        <w:rPr>
          <w:rFonts w:ascii="times" w:hAnsi="times"/>
          <w:b/>
          <w:sz w:val="20"/>
        </w:rPr>
      </w:pPr>
      <w:bookmarkStart w:id="81" w:name="toc_cc43504_2"/>
      <w:bookmarkStart w:id="82" w:name="cc43504_the_units"/>
      <w:bookmarkEnd w:id="81"/>
      <w:bookmarkEnd w:id="82"/>
      <w:r>
        <w:rPr>
          <w:rFonts w:ascii="times" w:hAnsi="times"/>
          <w:b/>
          <w:sz w:val="20"/>
        </w:rPr>
        <w:t xml:space="preserve">The Units </w:t>
      </w:r>
    </w:p>
    <w:p>
      <w:pPr>
        <w:pStyle w:val="TextBody"/>
        <w:rPr>
          <w:rFonts w:ascii="times" w:hAnsi="times"/>
          <w:sz w:val="20"/>
        </w:rPr>
      </w:pPr>
      <w:r>
        <w:rPr>
          <w:rFonts w:ascii="times" w:hAnsi="times"/>
          <w:sz w:val="20"/>
        </w:rPr>
        <w:t xml:space="preserve">The common units represent limited partner interests in us. The holders of units are entitled to participate in partnership distributions and exercise the rights and privileges available to limited partners under our Partnership Agreement. No certificates will be issued to the unitholders in respect of the common units. For a description of the rights and privileges of limited partners under our Partnership Agreement, including voting rights, see "Summary of our Partnership Agreement" found elsewhere in this prospectus. </w:t>
      </w:r>
    </w:p>
    <w:p>
      <w:pPr>
        <w:pStyle w:val="TextBody"/>
        <w:ind w:left="200" w:right="0" w:hanging="200"/>
        <w:rPr>
          <w:rFonts w:ascii="times" w:hAnsi="times"/>
          <w:b/>
          <w:sz w:val="20"/>
        </w:rPr>
      </w:pPr>
      <w:bookmarkStart w:id="83" w:name="toc_cc43504_3"/>
      <w:bookmarkStart w:id="84" w:name="cc43504_transfer_agent_and_registrar"/>
      <w:bookmarkEnd w:id="83"/>
      <w:bookmarkEnd w:id="84"/>
      <w:r>
        <w:rPr>
          <w:rFonts w:ascii="times" w:hAnsi="times"/>
          <w:b/>
          <w:sz w:val="20"/>
        </w:rPr>
        <w:t xml:space="preserve">Transfer Agent and Registrar </w:t>
      </w:r>
    </w:p>
    <w:p>
      <w:pPr>
        <w:pStyle w:val="TextBody"/>
        <w:ind w:left="200" w:right="0" w:hanging="200"/>
        <w:rPr>
          <w:rFonts w:ascii="times" w:hAnsi="times"/>
          <w:b/>
          <w:i/>
          <w:sz w:val="20"/>
        </w:rPr>
      </w:pPr>
      <w:r>
        <w:rPr>
          <w:rFonts w:ascii="times" w:hAnsi="times"/>
          <w:b/>
          <w:i/>
          <w:sz w:val="20"/>
        </w:rPr>
        <w:t xml:space="preserve">Duties </w:t>
      </w:r>
    </w:p>
    <w:p>
      <w:pPr>
        <w:pStyle w:val="TextBody"/>
        <w:rPr>
          <w:rFonts w:ascii="times" w:hAnsi="times"/>
          <w:sz w:val="20"/>
        </w:rPr>
      </w:pPr>
      <w:r>
        <w:rPr>
          <w:rFonts w:ascii="times" w:hAnsi="times"/>
          <w:sz w:val="20"/>
        </w:rPr>
        <w:t>American Stock Transfer &amp; Trust, LLC serves as registrar and transfer agent for the common units. We pay all fees charged by the transfer agent for transfers of common units, except the following, which must be paid by unitholders:</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surety bond premiums to replace lost or stolen certificates, taxes and other governmental charges;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special charges for services requested by a holder of a common unit; and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other similar fees or charges. </w:t>
      </w:r>
    </w:p>
    <w:p>
      <w:pPr>
        <w:pStyle w:val="TextBody"/>
        <w:rPr>
          <w:rFonts w:ascii="times" w:hAnsi="times"/>
          <w:sz w:val="20"/>
        </w:rPr>
      </w:pPr>
      <w:r>
        <w:rPr>
          <w:rFonts w:ascii="times" w:hAnsi="times"/>
          <w:sz w:val="20"/>
        </w:rPr>
        <w:t xml:space="preserve">There is no charge to unitholders for disbursements of our cash distributions. We will indemnify the transfer agent, its agents and each of their stockholders, directors, officers and employees against all claims and losses that may arise out of acts performed or omitted for their activities in that capacity, except for any liability due to any gross negligence or intentional misconduct of the indemnified person or entity. </w:t>
      </w:r>
    </w:p>
    <w:p>
      <w:pPr>
        <w:pStyle w:val="TextBody"/>
        <w:ind w:left="200" w:right="0" w:hanging="200"/>
        <w:rPr>
          <w:rFonts w:ascii="times" w:hAnsi="times"/>
          <w:b/>
          <w:i/>
          <w:sz w:val="20"/>
        </w:rPr>
      </w:pPr>
      <w:r>
        <w:rPr>
          <w:rFonts w:ascii="times" w:hAnsi="times"/>
          <w:b/>
          <w:i/>
          <w:sz w:val="20"/>
        </w:rPr>
        <w:t xml:space="preserve">Resignation or Removal </w:t>
      </w:r>
    </w:p>
    <w:p>
      <w:pPr>
        <w:pStyle w:val="TextBody"/>
        <w:rPr>
          <w:rFonts w:ascii="times" w:hAnsi="times"/>
          <w:sz w:val="20"/>
        </w:rPr>
      </w:pPr>
      <w:r>
        <w:rPr>
          <w:rFonts w:ascii="times" w:hAnsi="times"/>
          <w:sz w:val="20"/>
        </w:rPr>
        <w:t xml:space="preserve">The transfer agent may resign, by notice to us, or be removed by us. The resignation or removal of the transfer agent will become effective upon our appointment of a successor transfer agent and registrar and its acceptance of the appointment. If a successor has not been appointed or has not accepted its appointment within 30 days after notice of the resignation or removal, our general partner may, at the direction of our board of directors, act as the transfer agent and registrar until a successor is appointed. </w:t>
      </w:r>
    </w:p>
    <w:p>
      <w:pPr>
        <w:pStyle w:val="TextBody"/>
        <w:ind w:left="200" w:right="0" w:hanging="200"/>
        <w:rPr>
          <w:rFonts w:ascii="times" w:hAnsi="times"/>
          <w:b/>
          <w:sz w:val="20"/>
        </w:rPr>
      </w:pPr>
      <w:bookmarkStart w:id="85" w:name="toc_cc43504_4"/>
      <w:bookmarkStart w:id="86" w:name="cc43504_transfer_of_common_units"/>
      <w:bookmarkEnd w:id="85"/>
      <w:bookmarkEnd w:id="86"/>
      <w:r>
        <w:rPr>
          <w:rFonts w:ascii="times" w:hAnsi="times"/>
          <w:b/>
          <w:sz w:val="20"/>
        </w:rPr>
        <w:t xml:space="preserve">Transfer of Common Units </w:t>
      </w:r>
    </w:p>
    <w:p>
      <w:pPr>
        <w:pStyle w:val="TextBody"/>
        <w:rPr>
          <w:rFonts w:ascii="times" w:hAnsi="times"/>
          <w:sz w:val="20"/>
        </w:rPr>
      </w:pPr>
      <w:r>
        <w:rPr>
          <w:rFonts w:ascii="times" w:hAnsi="times"/>
          <w:sz w:val="20"/>
        </w:rPr>
        <w:t>By transfer of common units in accordance with our Partnership Agreement, each transferee of common units will be admitted as a limited partner with respect to the common units transferred when such transfer and admission is reflected in our books and records. Each transferee:</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represents that the transferee has the capacity, power and authority to become bound by our Partnership Agreement;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automatically agrees to be bound by the terms and conditions of, and is deemed to have executed, our Partnership Agreement; and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gives the consents and approvals contained in our Partnership Agreement, such as the approval of all transactions and agreements we entered into in connection with our formation and the IPO. </w:t>
      </w:r>
    </w:p>
    <w:p>
      <w:pPr>
        <w:pStyle w:val="TextBody"/>
        <w:jc w:val="center"/>
        <w:rPr>
          <w:rFonts w:ascii="times" w:hAnsi="times"/>
          <w:sz w:val="20"/>
        </w:rPr>
      </w:pPr>
      <w:r>
        <w:rPr>
          <w:rFonts w:ascii="times" w:hAnsi="times"/>
          <w:sz w:val="20"/>
        </w:rPr>
        <w:t>S-28</w:t>
      </w:r>
    </w:p>
    <w:p>
      <w:pPr>
        <w:pStyle w:val="HorizontalLine"/>
        <w:pBdr>
          <w:bottom w:val="single" w:sz="20" w:space="0" w:color="808080"/>
        </w:pBdr>
        <w:rPr/>
      </w:pPr>
      <w:r>
        <w:rPr/>
      </w:r>
      <w:r>
        <w:br w:type="page"/>
      </w:r>
    </w:p>
    <w:p>
      <w:pPr>
        <w:pStyle w:val="TextBody"/>
        <w:rPr/>
      </w:pPr>
      <w:hyperlink w:anchor="bE43504A_main_toc">
        <w:bookmarkStart w:id="87" w:name="page_cc43504_1_29"/>
        <w:bookmarkEnd w:id="87"/>
        <w:r>
          <w:rPr>
            <w:rStyle w:val="InternetLink"/>
            <w:rFonts w:ascii="times" w:hAnsi="times"/>
            <w:sz w:val="20"/>
          </w:rPr>
          <w:t>Table of Contents</w:t>
        </w:r>
      </w:hyperlink>
    </w:p>
    <w:p>
      <w:pPr>
        <w:pStyle w:val="TextBody"/>
        <w:rPr>
          <w:rFonts w:ascii="times" w:hAnsi="times"/>
          <w:sz w:val="20"/>
        </w:rPr>
      </w:pPr>
      <w:r>
        <w:rPr>
          <w:rFonts w:ascii="times" w:hAnsi="times"/>
          <w:sz w:val="20"/>
        </w:rPr>
        <w:t xml:space="preserve">A transferee will become a substituted limited partner of our partnership for the transferred common units automatically upon the recording of the transfer on our books and records. Our general partner will cause any transfers to be recorded on our books and records no less frequently than quarterly. </w:t>
      </w:r>
    </w:p>
    <w:p>
      <w:pPr>
        <w:pStyle w:val="TextBody"/>
        <w:rPr>
          <w:rFonts w:ascii="times" w:hAnsi="times"/>
          <w:sz w:val="20"/>
        </w:rPr>
      </w:pPr>
      <w:r>
        <w:rPr>
          <w:rFonts w:ascii="times" w:hAnsi="times"/>
          <w:sz w:val="20"/>
        </w:rPr>
        <w:t xml:space="preserve">We may, at our discretion, treat the nominee holder of a common unit as the absolute owner. In that case, the beneficial holder's rights are limited solely to those that it has against the nominee holder as a result of any agreement between the beneficial owner and the nominee holder. </w:t>
      </w:r>
    </w:p>
    <w:p>
      <w:pPr>
        <w:pStyle w:val="TextBody"/>
        <w:rPr>
          <w:rFonts w:ascii="times" w:hAnsi="times"/>
          <w:sz w:val="20"/>
        </w:rPr>
      </w:pPr>
      <w:r>
        <w:rPr>
          <w:rFonts w:ascii="times" w:hAnsi="times"/>
          <w:sz w:val="20"/>
        </w:rPr>
        <w:t xml:space="preserve">Common units are securities and are transferable according to the laws governing transfer of securities. In addition to other rights acquired upon transfer, the transferor gives the transferee the right to become a limited partner in our partnership for the transferred common units. </w:t>
      </w:r>
    </w:p>
    <w:p>
      <w:pPr>
        <w:pStyle w:val="TextBody"/>
        <w:rPr>
          <w:rFonts w:ascii="times" w:hAnsi="times"/>
          <w:sz w:val="20"/>
        </w:rPr>
      </w:pPr>
      <w:r>
        <w:rPr>
          <w:rFonts w:ascii="times" w:hAnsi="times"/>
          <w:sz w:val="20"/>
        </w:rPr>
        <w:t xml:space="preserve">Until a common unit has been transferred on our books, we and the transfer agent may treat the record holder of the unit as the absolute owner for all purposes, except as otherwise required by law or stock exchange regulations. </w:t>
      </w:r>
    </w:p>
    <w:p>
      <w:pPr>
        <w:pStyle w:val="TextBody"/>
        <w:rPr>
          <w:rFonts w:ascii="times" w:hAnsi="times"/>
          <w:sz w:val="20"/>
        </w:rPr>
      </w:pPr>
      <w:r>
        <w:rPr>
          <w:rFonts w:ascii="times" w:hAnsi="times"/>
          <w:sz w:val="20"/>
        </w:rPr>
        <w:t xml:space="preserve">See "Item 8. Financial InformationOur Cash Distribution Policy" beginning on page 43 of our Annual Report on Form 20-F for descriptions of the general partner interest and the incentive distribution rights and "Summary of Our Partnership Agreement" found elsewhere in this prospectus for a description of the Series A Preference Units, Series B Preference Units and Series C Preference Units. </w:t>
      </w:r>
    </w:p>
    <w:p>
      <w:pPr>
        <w:pStyle w:val="TextBody"/>
        <w:jc w:val="center"/>
        <w:rPr>
          <w:rFonts w:ascii="times" w:hAnsi="times"/>
          <w:sz w:val="20"/>
        </w:rPr>
      </w:pPr>
      <w:r>
        <w:rPr>
          <w:rFonts w:ascii="times" w:hAnsi="times"/>
          <w:sz w:val="20"/>
        </w:rPr>
        <w:t>S-29</w:t>
      </w:r>
    </w:p>
    <w:p>
      <w:pPr>
        <w:pStyle w:val="HorizontalLine"/>
        <w:pBdr>
          <w:bottom w:val="single" w:sz="20" w:space="0" w:color="808080"/>
        </w:pBdr>
        <w:rPr/>
      </w:pPr>
      <w:r>
        <w:rPr/>
      </w:r>
      <w:r>
        <w:br w:type="page"/>
      </w:r>
    </w:p>
    <w:p>
      <w:pPr>
        <w:pStyle w:val="TextBody"/>
        <w:rPr/>
      </w:pPr>
      <w:hyperlink w:anchor="bE43504A_main_toc">
        <w:bookmarkStart w:id="88" w:name="page_cc43504_1_30"/>
        <w:bookmarkEnd w:id="88"/>
        <w:r>
          <w:rPr>
            <w:rStyle w:val="InternetLink"/>
            <w:rFonts w:ascii="times" w:hAnsi="times"/>
            <w:sz w:val="20"/>
          </w:rPr>
          <w:t>Table of Contents</w:t>
        </w:r>
      </w:hyperlink>
    </w:p>
    <w:p>
      <w:pPr>
        <w:pStyle w:val="TextBody"/>
        <w:jc w:val="center"/>
        <w:rPr>
          <w:rFonts w:ascii="times" w:hAnsi="times"/>
        </w:rPr>
      </w:pPr>
      <w:bookmarkStart w:id="89" w:name="toc_cc43504_5"/>
      <w:bookmarkStart w:id="90" w:name="cc43504_summary_of_our_partnership_agree"/>
      <w:bookmarkEnd w:id="89"/>
      <w:bookmarkEnd w:id="90"/>
      <w:r>
        <w:rPr>
          <w:rFonts w:ascii="times" w:hAnsi="times"/>
          <w:sz w:val="20"/>
        </w:rPr>
        <w:br/>
      </w:r>
      <w:r>
        <w:rPr>
          <w:rFonts w:ascii="times" w:hAnsi="times"/>
          <w:b/>
          <w:sz w:val="20"/>
        </w:rPr>
        <w:t xml:space="preserve">SUMMARY OF OUR PARTNERSHIP AGREEMENT </w:t>
      </w:r>
    </w:p>
    <w:p>
      <w:pPr>
        <w:pStyle w:val="TextBody"/>
        <w:rPr>
          <w:rFonts w:ascii="times" w:hAnsi="times"/>
          <w:sz w:val="20"/>
        </w:rPr>
      </w:pPr>
      <w:r>
        <w:rPr>
          <w:rFonts w:ascii="times" w:hAnsi="times"/>
          <w:sz w:val="20"/>
        </w:rPr>
        <w:t xml:space="preserve">The following is a summary of the material provisions of our Partnership Agreement, which is qualified in its entirety by the terms and conditions of the Partnership Agreement, which is incorporated herein by reference. This summary should be read together with any subsequent amendments of the Partnership Agreement or reports filed for the purpose of updating the description of the important provisions of our Partnership Agreement and the rights and privileges of our unitholders. We will provide prospective investors with a copy of the Partnership Agreement upon written request at no charge. Please read "Where You Can Find More Information". </w:t>
      </w:r>
    </w:p>
    <w:p>
      <w:pPr>
        <w:pStyle w:val="TextBody"/>
        <w:ind w:left="200" w:right="0" w:hanging="200"/>
        <w:rPr>
          <w:rFonts w:ascii="times" w:hAnsi="times"/>
          <w:b/>
          <w:sz w:val="20"/>
        </w:rPr>
      </w:pPr>
      <w:bookmarkStart w:id="91" w:name="toc_cc43504_6"/>
      <w:bookmarkStart w:id="92" w:name="cc43504_organization_and_duration"/>
      <w:bookmarkEnd w:id="91"/>
      <w:bookmarkEnd w:id="92"/>
      <w:r>
        <w:rPr>
          <w:rFonts w:ascii="times" w:hAnsi="times"/>
          <w:b/>
          <w:sz w:val="20"/>
        </w:rPr>
        <w:t xml:space="preserve">Organization and Duration </w:t>
      </w:r>
    </w:p>
    <w:p>
      <w:pPr>
        <w:pStyle w:val="TextBody"/>
        <w:rPr>
          <w:rFonts w:ascii="times" w:hAnsi="times"/>
          <w:sz w:val="20"/>
        </w:rPr>
      </w:pPr>
      <w:r>
        <w:rPr>
          <w:rFonts w:ascii="times" w:hAnsi="times"/>
          <w:sz w:val="20"/>
        </w:rPr>
        <w:t xml:space="preserve">We were organized on January 23, 2014 and have perpetual existence. </w:t>
      </w:r>
    </w:p>
    <w:p>
      <w:pPr>
        <w:pStyle w:val="TextBody"/>
        <w:ind w:left="200" w:right="0" w:hanging="200"/>
        <w:rPr>
          <w:rFonts w:ascii="times" w:hAnsi="times"/>
          <w:b/>
          <w:sz w:val="20"/>
        </w:rPr>
      </w:pPr>
      <w:bookmarkStart w:id="93" w:name="toc_cc43504_7"/>
      <w:bookmarkStart w:id="94" w:name="cc43504_purpose"/>
      <w:bookmarkEnd w:id="93"/>
      <w:bookmarkEnd w:id="94"/>
      <w:r>
        <w:rPr>
          <w:rFonts w:ascii="times" w:hAnsi="times"/>
          <w:b/>
          <w:sz w:val="20"/>
        </w:rPr>
        <w:t xml:space="preserve">Purpose </w:t>
      </w:r>
    </w:p>
    <w:p>
      <w:pPr>
        <w:pStyle w:val="TextBody"/>
        <w:rPr>
          <w:rFonts w:ascii="times" w:hAnsi="times"/>
          <w:sz w:val="20"/>
        </w:rPr>
      </w:pPr>
      <w:r>
        <w:rPr>
          <w:rFonts w:ascii="times" w:hAnsi="times"/>
          <w:sz w:val="20"/>
        </w:rPr>
        <w:t xml:space="preserve">Our purpose under the Partnership Agreement is to engage in any business activities that may lawfully be engaged in by a limited partnership pursuant to the Marshall Islands Act. </w:t>
      </w:r>
    </w:p>
    <w:p>
      <w:pPr>
        <w:pStyle w:val="TextBody"/>
        <w:rPr>
          <w:rFonts w:ascii="times" w:hAnsi="times"/>
          <w:sz w:val="20"/>
        </w:rPr>
      </w:pPr>
      <w:r>
        <w:rPr>
          <w:rFonts w:ascii="times" w:hAnsi="times"/>
          <w:sz w:val="20"/>
        </w:rPr>
        <w:t xml:space="preserve">Although our board of directors has the ability to cause us or our subsidiaries to engage in activities other than the provision of marine transportation services, it has no current plans to do so and may decline to do so free of any fiduciary duty or obligation whatsoever to us or the limited partners, including any duty to act in good faith or in the best interests of us or the limited partners. Our general partner has delegated to our board of directors the authority to oversee and direct our operations, management and policies on an exclusive basis. </w:t>
      </w:r>
    </w:p>
    <w:p>
      <w:pPr>
        <w:pStyle w:val="TextBody"/>
        <w:ind w:left="200" w:right="0" w:hanging="200"/>
        <w:rPr>
          <w:rFonts w:ascii="times" w:hAnsi="times"/>
          <w:b/>
          <w:sz w:val="20"/>
        </w:rPr>
      </w:pPr>
      <w:bookmarkStart w:id="95" w:name="toc_cc43504_8"/>
      <w:bookmarkStart w:id="96" w:name="cc43504_cash_distributions"/>
      <w:bookmarkEnd w:id="95"/>
      <w:bookmarkEnd w:id="96"/>
      <w:r>
        <w:rPr>
          <w:rFonts w:ascii="times" w:hAnsi="times"/>
          <w:b/>
          <w:sz w:val="20"/>
        </w:rPr>
        <w:t xml:space="preserve">Cash Distributions </w:t>
      </w:r>
    </w:p>
    <w:p>
      <w:pPr>
        <w:pStyle w:val="TextBody"/>
        <w:rPr>
          <w:rFonts w:ascii="times" w:hAnsi="times"/>
          <w:sz w:val="20"/>
        </w:rPr>
      </w:pPr>
      <w:r>
        <w:rPr>
          <w:rFonts w:ascii="times" w:hAnsi="times"/>
          <w:sz w:val="20"/>
        </w:rPr>
        <w:t xml:space="preserve">Our Partnership Agreement specifies the manner in which we will make cash distributions to holders of our Common Units and other partnership interests, including to the holders of Preference Units, as well as to our general partner in respect of its general partner interest. Please see "Our Cash Distribution Policy and Restrictions on Distributions" on page 43 of the accompanying base prospectus for further information. </w:t>
      </w:r>
    </w:p>
    <w:p>
      <w:pPr>
        <w:pStyle w:val="TextBody"/>
        <w:ind w:left="200" w:right="0" w:hanging="200"/>
        <w:rPr>
          <w:rFonts w:ascii="times" w:hAnsi="times"/>
          <w:b/>
          <w:sz w:val="20"/>
        </w:rPr>
      </w:pPr>
      <w:bookmarkStart w:id="97" w:name="toc_cc43504_9"/>
      <w:bookmarkStart w:id="98" w:name="cc43504_capital_contributions"/>
      <w:bookmarkEnd w:id="97"/>
      <w:bookmarkEnd w:id="98"/>
      <w:r>
        <w:rPr>
          <w:rFonts w:ascii="times" w:hAnsi="times"/>
          <w:b/>
          <w:sz w:val="20"/>
        </w:rPr>
        <w:t xml:space="preserve">Capital Contributions </w:t>
      </w:r>
    </w:p>
    <w:p>
      <w:pPr>
        <w:pStyle w:val="TextBody"/>
        <w:rPr>
          <w:rFonts w:ascii="times" w:hAnsi="times"/>
          <w:sz w:val="20"/>
        </w:rPr>
      </w:pPr>
      <w:r>
        <w:rPr>
          <w:rFonts w:ascii="times" w:hAnsi="times"/>
          <w:sz w:val="20"/>
        </w:rPr>
        <w:t xml:space="preserve">No holder of Common Units, Class B Units or Preference Units is obligated to make additional capital contributions, except as described below under "Limited Liability". </w:t>
      </w:r>
    </w:p>
    <w:p>
      <w:pPr>
        <w:pStyle w:val="TextBody"/>
        <w:ind w:left="200" w:right="0" w:hanging="200"/>
        <w:rPr>
          <w:rFonts w:ascii="times" w:hAnsi="times"/>
          <w:b/>
          <w:sz w:val="20"/>
        </w:rPr>
      </w:pPr>
      <w:bookmarkStart w:id="99" w:name="toc_cc43504_10"/>
      <w:bookmarkStart w:id="100" w:name="cc43504_voting_rights"/>
      <w:bookmarkEnd w:id="99"/>
      <w:bookmarkEnd w:id="100"/>
      <w:r>
        <w:rPr>
          <w:rFonts w:ascii="times" w:hAnsi="times"/>
          <w:b/>
          <w:sz w:val="20"/>
        </w:rPr>
        <w:t xml:space="preserve">Voting Rights </w:t>
      </w:r>
    </w:p>
    <w:p>
      <w:pPr>
        <w:pStyle w:val="TextBody"/>
        <w:rPr>
          <w:rFonts w:ascii="times" w:hAnsi="times"/>
          <w:sz w:val="20"/>
        </w:rPr>
      </w:pPr>
      <w:r>
        <w:rPr>
          <w:rFonts w:ascii="times" w:hAnsi="times"/>
          <w:sz w:val="20"/>
        </w:rPr>
        <w:t xml:space="preserve">The following is a summary of the unitholder vote required for approval of the matters specified below. Matters that require the approval of a "Unit Majority" require the approval of a majority of the Common Units voting as a single class (excluding Class B Units prior to their conversion into Common Units). In voting their Common Units, our general partner and its affiliates will have no fiduciary duty or obligation whatsoever to us or the limited partners, including any duty to act in good faith or in the best interests of us or the limited partners. </w:t>
      </w:r>
    </w:p>
    <w:p>
      <w:pPr>
        <w:pStyle w:val="TextBody"/>
        <w:rPr>
          <w:rFonts w:ascii="times" w:hAnsi="times"/>
          <w:sz w:val="20"/>
        </w:rPr>
      </w:pPr>
      <w:r>
        <w:rPr>
          <w:rFonts w:ascii="times" w:hAnsi="times"/>
          <w:sz w:val="20"/>
        </w:rPr>
        <w:t xml:space="preserve">Each outstanding Common Unit is entitled to one vote on matters subject to a vote of the holders of Common Units ("Common Unitholders"). However, to preserve our ability to claim an exemption from U.S. federal income tax under Section 883 of the U.S. Internal Revenue Code of 1986, as amended (the "Code"), if at any time any person or group owns beneficially more than 4.9% of any class or series of units then outstanding, any units beneficially owned by that person or group in excess of 4.9% </w:t>
      </w:r>
    </w:p>
    <w:p>
      <w:pPr>
        <w:pStyle w:val="TextBody"/>
        <w:jc w:val="center"/>
        <w:rPr>
          <w:rFonts w:ascii="times" w:hAnsi="times"/>
          <w:sz w:val="20"/>
        </w:rPr>
      </w:pPr>
      <w:r>
        <w:rPr>
          <w:rFonts w:ascii="times" w:hAnsi="times"/>
          <w:sz w:val="20"/>
        </w:rPr>
        <w:t>S-30</w:t>
      </w:r>
    </w:p>
    <w:p>
      <w:pPr>
        <w:pStyle w:val="HorizontalLine"/>
        <w:pBdr>
          <w:bottom w:val="single" w:sz="20" w:space="0" w:color="808080"/>
        </w:pBdr>
        <w:rPr/>
      </w:pPr>
      <w:r>
        <w:rPr/>
      </w:r>
      <w:r>
        <w:br w:type="page"/>
      </w:r>
    </w:p>
    <w:p>
      <w:pPr>
        <w:pStyle w:val="TextBody"/>
        <w:rPr/>
      </w:pPr>
      <w:hyperlink w:anchor="bE43504A_main_toc">
        <w:bookmarkStart w:id="101" w:name="page_cc43504_1_31"/>
        <w:bookmarkEnd w:id="101"/>
        <w:r>
          <w:rPr>
            <w:rStyle w:val="InternetLink"/>
            <w:rFonts w:ascii="times" w:hAnsi="times"/>
            <w:sz w:val="20"/>
          </w:rPr>
          <w:t>Table of Contents</w:t>
        </w:r>
      </w:hyperlink>
    </w:p>
    <w:p>
      <w:pPr>
        <w:pStyle w:val="TextBody"/>
        <w:rPr>
          <w:rFonts w:ascii="times" w:hAnsi="times"/>
          <w:sz w:val="20"/>
        </w:rPr>
      </w:pPr>
      <w:r>
        <w:rPr>
          <w:rFonts w:ascii="times" w:hAnsi="times"/>
          <w:sz w:val="20"/>
        </w:rPr>
        <w:t xml:space="preserve">may not be voted on any matter and will not be considered to be outstanding when sending notices of a meeting of limited partners, calculating required votes (except for purposes of nominating a person for election to our board of directors), determining the presence of a quorum or for other similar purposes under our Partnership Agreement, unless otherwise required by law. Effectively, this means that the voting rights of any such unitholders in excess of 4.9% will be redistributed pro rata among the other unitholders holding less than 4.9% of the voting power of all classes of units entitled to vote. Our general partner, its affiliates and persons who acquired Common Units with the prior approval of our board of directors will not be subject to this 4.9% limitation except with respect to voting their Common Units in the election of the elected directors. This loss of voting rights does not apply to the Preference Units. </w:t>
      </w:r>
    </w:p>
    <w:p>
      <w:pPr>
        <w:pStyle w:val="TextBody"/>
        <w:rPr>
          <w:rFonts w:ascii="times" w:hAnsi="times"/>
          <w:sz w:val="20"/>
        </w:rPr>
      </w:pPr>
      <w:r>
        <w:rPr>
          <w:rFonts w:ascii="times" w:hAnsi="times"/>
          <w:sz w:val="20"/>
        </w:rPr>
        <w:t xml:space="preserve">Holders of Class B Units and Preference Units generally have no voting rights. However, the consent of the holders of at least two-thirds of the outstanding Series A Preference Units, Series B Preference Units or Series C Preference Units (as applicable), voting as a separate class, is required prior to any amendment to the Partnership Agreement that would have a material adverse effect on the existing terms of the Series A Preference Units, Series B Preference Units or Series C Preference Units, as applicable. In addition, unless we receive the affirmative vote or consent of the holders of at least two-thirds of the outstanding Preference Units, voting as a class together with holders of any other Parity Securities, we may not (i) issue any Parity Securities if the cumulative distributions on Preference Units are in arrears or (ii) create or issue any Senior Securities (as defined in the Partnership Agreement). Distributions payable on the Preference Units will be considered to be in arrears for any quarterly period for which full cumulative distributions through the most recent distribution payment date have not been paid on all outstanding Preference Units. In addition, in certain limited instances, the holders of Preference Units will be entitled to elect one director to our board of directors, at which point our general partner would similarly be entitled, at its election, to appoint one additional director to serve for only as long a period of time as the director elected by the holders of Preference Units. </w:t>
      </w:r>
    </w:p>
    <w:p>
      <w:pPr>
        <w:pStyle w:val="TextBody"/>
        <w:rPr>
          <w:rFonts w:ascii="times" w:hAnsi="times"/>
          <w:sz w:val="20"/>
        </w:rPr>
      </w:pPr>
      <w:r>
        <w:rPr>
          <w:rFonts w:ascii="times" w:hAnsi="times"/>
          <w:sz w:val="20"/>
        </w:rPr>
        <w:t xml:space="preserve">We hold a meeting of the limited partners every year to elect one or more members of our board of directors and to vote on any other matters that are properly brought before the meeting. Our general partner has appointed three of our five directors and the Common Unitholders elected the remaining two directors. Four of our directors meet the independence standards of the NYSE, two of which also qualify as independent of GasLog under our Partnership Agreement, so as to be eligible for membership on our conflicts committee. If our general partner exercises its right to transfer the power to elect a majority of our directors to the Common Unitholders, an additional director will thereafter be elected by our Common Unitholders. Our general partner may exercise this right in order to permit us to claim, or continue to claim, an exemption from U.S. federal income tax under Section 883 of the Code. </w:t>
      </w:r>
    </w:p>
    <w:tbl>
      <w:tblPr>
        <w:tblW w:w="5000" w:type="pct"/>
        <w:jc w:val="center"/>
        <w:tblInd w:w="0" w:type="dxa"/>
        <w:tblCellMar>
          <w:top w:w="0" w:type="dxa"/>
          <w:left w:w="0" w:type="dxa"/>
          <w:bottom w:w="0" w:type="dxa"/>
          <w:right w:w="0" w:type="dxa"/>
        </w:tblCellMar>
      </w:tblPr>
      <w:tblGrid>
        <w:gridCol w:w="1669"/>
        <w:gridCol w:w="104"/>
        <w:gridCol w:w="8432"/>
      </w:tblGrid>
      <w:tr>
        <w:trPr/>
        <w:tc>
          <w:tcPr>
            <w:tcW w:w="1669" w:type="dxa"/>
            <w:tcBorders/>
            <w:shd w:fill="auto" w:val="clear"/>
            <w:vAlign w:val="center"/>
          </w:tcPr>
          <w:p>
            <w:pPr>
              <w:pStyle w:val="TableContents"/>
              <w:spacing w:before="0" w:after="283"/>
              <w:rPr>
                <w:sz w:val="4"/>
                <w:szCs w:val="4"/>
              </w:rPr>
            </w:pPr>
            <w:r>
              <w:rPr>
                <w:sz w:val="4"/>
                <w:szCs w:val="4"/>
              </w:rPr>
            </w:r>
          </w:p>
        </w:tc>
        <w:tc>
          <w:tcPr>
            <w:tcW w:w="104" w:type="dxa"/>
            <w:tcBorders/>
            <w:shd w:fill="auto" w:val="clear"/>
            <w:vAlign w:val="center"/>
          </w:tcPr>
          <w:p>
            <w:pPr>
              <w:pStyle w:val="TableContents"/>
              <w:spacing w:before="0" w:after="283"/>
              <w:rPr>
                <w:sz w:val="4"/>
                <w:szCs w:val="4"/>
              </w:rPr>
            </w:pPr>
            <w:r>
              <w:rPr>
                <w:sz w:val="4"/>
                <w:szCs w:val="4"/>
              </w:rPr>
            </w:r>
          </w:p>
        </w:tc>
        <w:tc>
          <w:tcPr>
            <w:tcW w:w="8432" w:type="dxa"/>
            <w:tcBorders/>
            <w:shd w:fill="auto" w:val="clear"/>
            <w:vAlign w:val="center"/>
          </w:tcPr>
          <w:p>
            <w:pPr>
              <w:pStyle w:val="TableContents"/>
              <w:spacing w:before="0" w:after="283"/>
              <w:rPr>
                <w:sz w:val="4"/>
                <w:szCs w:val="4"/>
              </w:rPr>
            </w:pPr>
            <w:r>
              <w:rPr>
                <w:sz w:val="4"/>
                <w:szCs w:val="4"/>
              </w:rPr>
            </w:r>
          </w:p>
        </w:tc>
      </w:tr>
      <w:tr>
        <w:trPr/>
        <w:tc>
          <w:tcPr>
            <w:tcW w:w="1669" w:type="dxa"/>
            <w:tcBorders/>
            <w:shd w:fill="auto" w:val="clear"/>
            <w:vAlign w:val="bottom"/>
          </w:tcPr>
          <w:p>
            <w:pPr>
              <w:pStyle w:val="TableHeading"/>
              <w:spacing w:before="0" w:after="0"/>
              <w:jc w:val="left"/>
              <w:rPr>
                <w:rFonts w:ascii="times" w:hAnsi="times"/>
                <w:b/>
                <w:sz w:val="14"/>
                <w:bdr w:val="single" w:sz="8" w:space="1" w:color="000000"/>
              </w:rPr>
            </w:pPr>
            <w:r>
              <w:rPr>
                <w:rFonts w:ascii="times" w:hAnsi="times"/>
                <w:b/>
                <w:sz w:val="14"/>
                <w:bdr w:val="single" w:sz="8" w:space="1" w:color="000000"/>
              </w:rPr>
              <w:t xml:space="preserve">Action </w:t>
            </w:r>
          </w:p>
        </w:tc>
        <w:tc>
          <w:tcPr>
            <w:tcW w:w="104" w:type="dxa"/>
            <w:tcBorders/>
            <w:shd w:fill="auto" w:val="clear"/>
            <w:vAlign w:val="bottom"/>
          </w:tcPr>
          <w:p>
            <w:pPr>
              <w:pStyle w:val="TableHeading"/>
              <w:suppressLineNumbers/>
              <w:spacing w:before="0" w:after="283"/>
              <w:jc w:val="center"/>
              <w:rPr/>
            </w:pPr>
            <w:r>
              <w:rPr/>
              <w:t> </w:t>
            </w:r>
          </w:p>
        </w:tc>
        <w:tc>
          <w:tcPr>
            <w:tcW w:w="8432" w:type="dxa"/>
            <w:tcBorders>
              <w:bottom w:val="single" w:sz="8" w:space="0" w:color="000000"/>
            </w:tcBorders>
            <w:shd w:fill="auto" w:val="clear"/>
            <w:tcMar>
              <w:bottom w:w="28" w:type="dxa"/>
            </w:tcMar>
            <w:vAlign w:val="bottom"/>
          </w:tcPr>
          <w:p>
            <w:pPr>
              <w:pStyle w:val="TableHeading"/>
              <w:spacing w:before="0" w:after="283"/>
              <w:jc w:val="left"/>
              <w:rPr>
                <w:rFonts w:ascii="times" w:hAnsi="times"/>
                <w:b/>
                <w:sz w:val="14"/>
              </w:rPr>
            </w:pPr>
            <w:r>
              <w:rPr>
                <w:rFonts w:ascii="times" w:hAnsi="times"/>
                <w:b/>
                <w:sz w:val="14"/>
              </w:rPr>
              <w:t xml:space="preserve">Unitholder Approval Required and Voting Rights </w:t>
            </w:r>
          </w:p>
        </w:tc>
      </w:tr>
      <w:tr>
        <w:trPr/>
        <w:tc>
          <w:tcPr>
            <w:tcW w:w="1669" w:type="dxa"/>
            <w:tcBorders/>
            <w:shd w:fill="auto" w:val="clear"/>
          </w:tcPr>
          <w:p>
            <w:pPr>
              <w:pStyle w:val="TableContents"/>
              <w:spacing w:before="0" w:after="283"/>
              <w:rPr>
                <w:rFonts w:ascii="times" w:hAnsi="times"/>
                <w:sz w:val="20"/>
              </w:rPr>
            </w:pPr>
            <w:r>
              <w:rPr>
                <w:rFonts w:ascii="times" w:hAnsi="times"/>
                <w:sz w:val="20"/>
              </w:rPr>
              <w:t>Issuance of additional Common Units or other limited partner interests</w:t>
            </w:r>
          </w:p>
        </w:tc>
        <w:tc>
          <w:tcPr>
            <w:tcW w:w="104" w:type="dxa"/>
            <w:tcBorders/>
            <w:shd w:fill="auto" w:val="clear"/>
          </w:tcPr>
          <w:p>
            <w:pPr>
              <w:pStyle w:val="TableContents"/>
              <w:spacing w:before="0" w:after="283"/>
              <w:rPr/>
            </w:pPr>
            <w:r>
              <w:rPr/>
              <w:t> </w:t>
            </w:r>
          </w:p>
        </w:tc>
        <w:tc>
          <w:tcPr>
            <w:tcW w:w="8432" w:type="dxa"/>
            <w:tcBorders/>
            <w:shd w:fill="auto" w:val="clear"/>
          </w:tcPr>
          <w:p>
            <w:pPr>
              <w:pStyle w:val="TableContents"/>
              <w:spacing w:before="0" w:after="283"/>
              <w:rPr>
                <w:rFonts w:ascii="times" w:hAnsi="times"/>
                <w:sz w:val="20"/>
              </w:rPr>
            </w:pPr>
            <w:r>
              <w:rPr>
                <w:rFonts w:ascii="times" w:hAnsi="times"/>
                <w:sz w:val="20"/>
              </w:rPr>
              <w:t>No approval rights; general partner approval required for all issuances not reasonably expected to be accretive within twelve months of issuance or which would otherwise have a material adverse impact on the general partner or its interest in our partnership.</w:t>
            </w:r>
          </w:p>
        </w:tc>
      </w:tr>
      <w:tr>
        <w:trPr/>
        <w:tc>
          <w:tcPr>
            <w:tcW w:w="1669" w:type="dxa"/>
            <w:tcBorders/>
            <w:shd w:fill="auto" w:val="clear"/>
          </w:tcPr>
          <w:p>
            <w:pPr>
              <w:pStyle w:val="TableContents"/>
              <w:spacing w:before="0" w:after="283"/>
              <w:rPr>
                <w:rFonts w:ascii="times" w:hAnsi="times"/>
              </w:rPr>
            </w:pPr>
            <w:r>
              <w:rPr>
                <w:rFonts w:ascii="times" w:hAnsi="times"/>
              </w:rPr>
              <w:br/>
            </w:r>
            <w:r>
              <w:rPr>
                <w:rFonts w:ascii="times" w:hAnsi="times"/>
                <w:sz w:val="20"/>
              </w:rPr>
              <w:t>Amendment of the Partnership Agreement</w:t>
            </w:r>
          </w:p>
        </w:tc>
        <w:tc>
          <w:tcPr>
            <w:tcW w:w="104" w:type="dxa"/>
            <w:tcBorders/>
            <w:shd w:fill="auto" w:val="clear"/>
          </w:tcPr>
          <w:p>
            <w:pPr>
              <w:pStyle w:val="TableContents"/>
              <w:spacing w:before="0" w:after="283"/>
              <w:rPr>
                <w:rFonts w:ascii="times" w:hAnsi="times"/>
                <w:sz w:val="20"/>
              </w:rPr>
            </w:pPr>
            <w:r>
              <w:rPr>
                <w:rFonts w:ascii="times" w:hAnsi="times"/>
                <w:sz w:val="20"/>
              </w:rPr>
              <w:br/>
              <w:t> </w:t>
            </w:r>
          </w:p>
        </w:tc>
        <w:tc>
          <w:tcPr>
            <w:tcW w:w="8432" w:type="dxa"/>
            <w:tcBorders/>
            <w:shd w:fill="auto" w:val="clear"/>
          </w:tcPr>
          <w:p>
            <w:pPr>
              <w:pStyle w:val="TableContents"/>
              <w:spacing w:before="0" w:after="283"/>
              <w:rPr>
                <w:rFonts w:ascii="times" w:hAnsi="times"/>
              </w:rPr>
            </w:pPr>
            <w:r>
              <w:rPr>
                <w:rFonts w:ascii="times" w:hAnsi="times"/>
              </w:rPr>
              <w:br/>
            </w:r>
            <w:r>
              <w:rPr>
                <w:rFonts w:ascii="times" w:hAnsi="times"/>
                <w:sz w:val="20"/>
              </w:rPr>
              <w:t>Certain amendments may be made by our board of directors without the approval of the unitholders. Other amendments generally require the approval of a Unit Majority. See "Amendment of the Partnership Agreement".</w:t>
            </w:r>
          </w:p>
        </w:tc>
      </w:tr>
    </w:tbl>
    <w:p>
      <w:pPr>
        <w:pStyle w:val="TextBody"/>
        <w:jc w:val="center"/>
        <w:rPr>
          <w:rFonts w:ascii="times" w:hAnsi="times"/>
          <w:sz w:val="20"/>
        </w:rPr>
      </w:pPr>
      <w:r>
        <w:rPr>
          <w:rFonts w:ascii="times" w:hAnsi="times"/>
          <w:sz w:val="20"/>
        </w:rPr>
        <w:t>S-31</w:t>
      </w:r>
    </w:p>
    <w:p>
      <w:pPr>
        <w:pStyle w:val="HorizontalLine"/>
        <w:pBdr>
          <w:bottom w:val="single" w:sz="20" w:space="0" w:color="808080"/>
        </w:pBdr>
        <w:rPr/>
      </w:pPr>
      <w:r>
        <w:rPr/>
      </w:r>
      <w:r>
        <w:br w:type="page"/>
      </w:r>
    </w:p>
    <w:p>
      <w:pPr>
        <w:pStyle w:val="TextBody"/>
        <w:rPr/>
      </w:pPr>
      <w:hyperlink w:anchor="bE43504A_main_toc">
        <w:bookmarkStart w:id="102" w:name="page_cc43504_1_32"/>
        <w:bookmarkEnd w:id="102"/>
        <w:r>
          <w:rPr>
            <w:rStyle w:val="InternetLink"/>
            <w:rFonts w:ascii="times" w:hAnsi="times"/>
            <w:sz w:val="20"/>
          </w:rPr>
          <w:t>Table of Contents</w:t>
        </w:r>
      </w:hyperlink>
    </w:p>
    <w:tbl>
      <w:tblPr>
        <w:tblW w:w="5000" w:type="pct"/>
        <w:jc w:val="center"/>
        <w:tblInd w:w="0" w:type="dxa"/>
        <w:tblCellMar>
          <w:top w:w="0" w:type="dxa"/>
          <w:left w:w="0" w:type="dxa"/>
          <w:bottom w:w="0" w:type="dxa"/>
          <w:right w:w="0" w:type="dxa"/>
        </w:tblCellMar>
      </w:tblPr>
      <w:tblGrid>
        <w:gridCol w:w="1482"/>
        <w:gridCol w:w="78"/>
        <w:gridCol w:w="8645"/>
      </w:tblGrid>
      <w:tr>
        <w:trPr/>
        <w:tc>
          <w:tcPr>
            <w:tcW w:w="1482" w:type="dxa"/>
            <w:tcBorders/>
            <w:shd w:fill="auto" w:val="clear"/>
            <w:vAlign w:val="center"/>
          </w:tcPr>
          <w:p>
            <w:pPr>
              <w:pStyle w:val="TableContents"/>
              <w:spacing w:before="0" w:after="283"/>
              <w:rPr>
                <w:sz w:val="4"/>
                <w:szCs w:val="4"/>
              </w:rPr>
            </w:pPr>
            <w:r>
              <w:rPr>
                <w:sz w:val="4"/>
                <w:szCs w:val="4"/>
              </w:rPr>
            </w:r>
          </w:p>
        </w:tc>
        <w:tc>
          <w:tcPr>
            <w:tcW w:w="78" w:type="dxa"/>
            <w:tcBorders/>
            <w:shd w:fill="auto" w:val="clear"/>
            <w:vAlign w:val="center"/>
          </w:tcPr>
          <w:p>
            <w:pPr>
              <w:pStyle w:val="TableContents"/>
              <w:spacing w:before="0" w:after="283"/>
              <w:rPr>
                <w:sz w:val="4"/>
                <w:szCs w:val="4"/>
              </w:rPr>
            </w:pPr>
            <w:r>
              <w:rPr>
                <w:sz w:val="4"/>
                <w:szCs w:val="4"/>
              </w:rPr>
            </w:r>
          </w:p>
        </w:tc>
        <w:tc>
          <w:tcPr>
            <w:tcW w:w="8645" w:type="dxa"/>
            <w:tcBorders/>
            <w:shd w:fill="auto" w:val="clear"/>
            <w:vAlign w:val="center"/>
          </w:tcPr>
          <w:p>
            <w:pPr>
              <w:pStyle w:val="TableContents"/>
              <w:spacing w:before="0" w:after="283"/>
              <w:rPr>
                <w:sz w:val="4"/>
                <w:szCs w:val="4"/>
              </w:rPr>
            </w:pPr>
            <w:r>
              <w:rPr>
                <w:sz w:val="4"/>
                <w:szCs w:val="4"/>
              </w:rPr>
            </w:r>
          </w:p>
        </w:tc>
      </w:tr>
      <w:tr>
        <w:trPr/>
        <w:tc>
          <w:tcPr>
            <w:tcW w:w="1482" w:type="dxa"/>
            <w:tcBorders/>
            <w:shd w:fill="auto" w:val="clear"/>
            <w:vAlign w:val="bottom"/>
          </w:tcPr>
          <w:p>
            <w:pPr>
              <w:pStyle w:val="TableHeading"/>
              <w:spacing w:before="0" w:after="0"/>
              <w:jc w:val="left"/>
              <w:rPr>
                <w:rFonts w:ascii="times" w:hAnsi="times"/>
                <w:b/>
                <w:sz w:val="14"/>
                <w:bdr w:val="single" w:sz="8" w:space="1" w:color="000000"/>
              </w:rPr>
            </w:pPr>
            <w:r>
              <w:rPr>
                <w:rFonts w:ascii="times" w:hAnsi="times"/>
                <w:b/>
                <w:sz w:val="14"/>
                <w:bdr w:val="single" w:sz="8" w:space="1" w:color="000000"/>
              </w:rPr>
              <w:t xml:space="preserve">Action </w:t>
            </w:r>
          </w:p>
        </w:tc>
        <w:tc>
          <w:tcPr>
            <w:tcW w:w="78" w:type="dxa"/>
            <w:tcBorders/>
            <w:shd w:fill="auto" w:val="clear"/>
            <w:vAlign w:val="bottom"/>
          </w:tcPr>
          <w:p>
            <w:pPr>
              <w:pStyle w:val="TableHeading"/>
              <w:suppressLineNumbers/>
              <w:spacing w:before="0" w:after="283"/>
              <w:jc w:val="center"/>
              <w:rPr/>
            </w:pPr>
            <w:r>
              <w:rPr/>
              <w:t> </w:t>
            </w:r>
          </w:p>
        </w:tc>
        <w:tc>
          <w:tcPr>
            <w:tcW w:w="8645" w:type="dxa"/>
            <w:tcBorders>
              <w:bottom w:val="single" w:sz="8" w:space="0" w:color="000000"/>
            </w:tcBorders>
            <w:shd w:fill="auto" w:val="clear"/>
            <w:tcMar>
              <w:bottom w:w="28" w:type="dxa"/>
            </w:tcMar>
            <w:vAlign w:val="bottom"/>
          </w:tcPr>
          <w:p>
            <w:pPr>
              <w:pStyle w:val="TableHeading"/>
              <w:spacing w:before="0" w:after="283"/>
              <w:jc w:val="left"/>
              <w:rPr>
                <w:rFonts w:ascii="times" w:hAnsi="times"/>
                <w:b/>
                <w:sz w:val="14"/>
              </w:rPr>
            </w:pPr>
            <w:r>
              <w:rPr>
                <w:rFonts w:ascii="times" w:hAnsi="times"/>
                <w:b/>
                <w:sz w:val="14"/>
              </w:rPr>
              <w:t xml:space="preserve">Unitholder Approval Required and Voting Rights </w:t>
            </w:r>
          </w:p>
        </w:tc>
      </w:tr>
      <w:tr>
        <w:trPr/>
        <w:tc>
          <w:tcPr>
            <w:tcW w:w="1482" w:type="dxa"/>
            <w:tcBorders/>
            <w:shd w:fill="auto" w:val="clear"/>
          </w:tcPr>
          <w:p>
            <w:pPr>
              <w:pStyle w:val="TableContents"/>
              <w:spacing w:before="0" w:after="283"/>
              <w:rPr>
                <w:rFonts w:ascii="times" w:hAnsi="times"/>
                <w:sz w:val="20"/>
              </w:rPr>
            </w:pPr>
            <w:r>
              <w:rPr>
                <w:rFonts w:ascii="times" w:hAnsi="times"/>
                <w:sz w:val="20"/>
              </w:rPr>
              <w:t>Merger of our partnership or the sale of all or substantially all of our assets</w:t>
            </w:r>
          </w:p>
        </w:tc>
        <w:tc>
          <w:tcPr>
            <w:tcW w:w="78" w:type="dxa"/>
            <w:tcBorders/>
            <w:shd w:fill="auto" w:val="clear"/>
          </w:tcPr>
          <w:p>
            <w:pPr>
              <w:pStyle w:val="TableContents"/>
              <w:spacing w:before="0" w:after="283"/>
              <w:rPr/>
            </w:pPr>
            <w:r>
              <w:rPr/>
              <w:t> </w:t>
            </w:r>
          </w:p>
        </w:tc>
        <w:tc>
          <w:tcPr>
            <w:tcW w:w="8645" w:type="dxa"/>
            <w:tcBorders/>
            <w:shd w:fill="auto" w:val="clear"/>
          </w:tcPr>
          <w:p>
            <w:pPr>
              <w:pStyle w:val="TableContents"/>
              <w:spacing w:before="0" w:after="283"/>
              <w:rPr>
                <w:rFonts w:ascii="times" w:hAnsi="times"/>
                <w:sz w:val="20"/>
              </w:rPr>
            </w:pPr>
            <w:r>
              <w:rPr>
                <w:rFonts w:ascii="times" w:hAnsi="times"/>
                <w:sz w:val="20"/>
              </w:rPr>
              <w:t>Unit Majority and approval of our general partner and our board of directors. See "Merger, Sale, Conversion or Other Disposition of Assets".</w:t>
            </w:r>
          </w:p>
        </w:tc>
      </w:tr>
      <w:tr>
        <w:trPr/>
        <w:tc>
          <w:tcPr>
            <w:tcW w:w="1482" w:type="dxa"/>
            <w:tcBorders/>
            <w:shd w:fill="auto" w:val="clear"/>
          </w:tcPr>
          <w:p>
            <w:pPr>
              <w:pStyle w:val="TableContents"/>
              <w:spacing w:before="0" w:after="283"/>
              <w:rPr>
                <w:rFonts w:ascii="times" w:hAnsi="times"/>
              </w:rPr>
            </w:pPr>
            <w:r>
              <w:rPr>
                <w:rFonts w:ascii="times" w:hAnsi="times"/>
              </w:rPr>
              <w:br/>
            </w:r>
            <w:r>
              <w:rPr>
                <w:rFonts w:ascii="times" w:hAnsi="times"/>
                <w:sz w:val="20"/>
              </w:rPr>
              <w:t>Dissolution of our partnership</w:t>
            </w:r>
          </w:p>
        </w:tc>
        <w:tc>
          <w:tcPr>
            <w:tcW w:w="78" w:type="dxa"/>
            <w:tcBorders/>
            <w:shd w:fill="auto" w:val="clear"/>
          </w:tcPr>
          <w:p>
            <w:pPr>
              <w:pStyle w:val="TableContents"/>
              <w:spacing w:before="0" w:after="283"/>
              <w:rPr>
                <w:rFonts w:ascii="times" w:hAnsi="times"/>
                <w:sz w:val="20"/>
              </w:rPr>
            </w:pPr>
            <w:r>
              <w:rPr>
                <w:rFonts w:ascii="times" w:hAnsi="times"/>
                <w:sz w:val="20"/>
              </w:rPr>
              <w:br/>
              <w:t> </w:t>
            </w:r>
          </w:p>
        </w:tc>
        <w:tc>
          <w:tcPr>
            <w:tcW w:w="8645" w:type="dxa"/>
            <w:tcBorders/>
            <w:shd w:fill="auto" w:val="clear"/>
          </w:tcPr>
          <w:p>
            <w:pPr>
              <w:pStyle w:val="TableContents"/>
              <w:spacing w:before="0" w:after="283"/>
              <w:rPr>
                <w:rFonts w:ascii="times" w:hAnsi="times"/>
              </w:rPr>
            </w:pPr>
            <w:r>
              <w:rPr>
                <w:rFonts w:ascii="times" w:hAnsi="times"/>
              </w:rPr>
              <w:br/>
            </w:r>
            <w:r>
              <w:rPr>
                <w:rFonts w:ascii="times" w:hAnsi="times"/>
                <w:sz w:val="20"/>
              </w:rPr>
              <w:t>Unit Majority and approval of our general partner and our board of directors. See "Termination and Dissolution".</w:t>
            </w:r>
          </w:p>
        </w:tc>
      </w:tr>
      <w:tr>
        <w:trPr/>
        <w:tc>
          <w:tcPr>
            <w:tcW w:w="1482" w:type="dxa"/>
            <w:tcBorders/>
            <w:shd w:fill="auto" w:val="clear"/>
          </w:tcPr>
          <w:p>
            <w:pPr>
              <w:pStyle w:val="TableContents"/>
              <w:spacing w:before="0" w:after="283"/>
              <w:rPr>
                <w:rFonts w:ascii="times" w:hAnsi="times"/>
              </w:rPr>
            </w:pPr>
            <w:r>
              <w:rPr>
                <w:rFonts w:ascii="times" w:hAnsi="times"/>
              </w:rPr>
              <w:br/>
            </w:r>
            <w:r>
              <w:rPr>
                <w:rFonts w:ascii="times" w:hAnsi="times"/>
                <w:sz w:val="20"/>
              </w:rPr>
              <w:t>Reconstitution of our partnership upon dissolution</w:t>
            </w:r>
          </w:p>
        </w:tc>
        <w:tc>
          <w:tcPr>
            <w:tcW w:w="78" w:type="dxa"/>
            <w:tcBorders/>
            <w:shd w:fill="auto" w:val="clear"/>
          </w:tcPr>
          <w:p>
            <w:pPr>
              <w:pStyle w:val="TableContents"/>
              <w:spacing w:before="0" w:after="283"/>
              <w:rPr>
                <w:rFonts w:ascii="times" w:hAnsi="times"/>
                <w:sz w:val="20"/>
              </w:rPr>
            </w:pPr>
            <w:r>
              <w:rPr>
                <w:rFonts w:ascii="times" w:hAnsi="times"/>
                <w:sz w:val="20"/>
              </w:rPr>
              <w:br/>
              <w:t> </w:t>
            </w:r>
          </w:p>
        </w:tc>
        <w:tc>
          <w:tcPr>
            <w:tcW w:w="8645" w:type="dxa"/>
            <w:tcBorders/>
            <w:shd w:fill="auto" w:val="clear"/>
          </w:tcPr>
          <w:p>
            <w:pPr>
              <w:pStyle w:val="TableContents"/>
              <w:spacing w:before="0" w:after="283"/>
              <w:rPr>
                <w:rFonts w:ascii="times" w:hAnsi="times"/>
              </w:rPr>
            </w:pPr>
            <w:r>
              <w:rPr>
                <w:rFonts w:ascii="times" w:hAnsi="times"/>
              </w:rPr>
              <w:br/>
            </w:r>
            <w:r>
              <w:rPr>
                <w:rFonts w:ascii="times" w:hAnsi="times"/>
                <w:sz w:val="20"/>
              </w:rPr>
              <w:t>Unit Majority. See "Termination and Dissolution".</w:t>
            </w:r>
          </w:p>
        </w:tc>
      </w:tr>
      <w:tr>
        <w:trPr/>
        <w:tc>
          <w:tcPr>
            <w:tcW w:w="1482" w:type="dxa"/>
            <w:tcBorders/>
            <w:shd w:fill="auto" w:val="clear"/>
          </w:tcPr>
          <w:p>
            <w:pPr>
              <w:pStyle w:val="TableContents"/>
              <w:spacing w:before="0" w:after="283"/>
              <w:rPr>
                <w:rFonts w:ascii="times" w:hAnsi="times"/>
              </w:rPr>
            </w:pPr>
            <w:r>
              <w:rPr>
                <w:rFonts w:ascii="times" w:hAnsi="times"/>
              </w:rPr>
              <w:br/>
            </w:r>
            <w:r>
              <w:rPr>
                <w:rFonts w:ascii="times" w:hAnsi="times"/>
                <w:sz w:val="20"/>
              </w:rPr>
              <w:t>Withdrawal of our general partner</w:t>
            </w:r>
          </w:p>
        </w:tc>
        <w:tc>
          <w:tcPr>
            <w:tcW w:w="78" w:type="dxa"/>
            <w:tcBorders/>
            <w:shd w:fill="auto" w:val="clear"/>
          </w:tcPr>
          <w:p>
            <w:pPr>
              <w:pStyle w:val="TableContents"/>
              <w:spacing w:before="0" w:after="283"/>
              <w:rPr>
                <w:rFonts w:ascii="times" w:hAnsi="times"/>
                <w:sz w:val="20"/>
              </w:rPr>
            </w:pPr>
            <w:r>
              <w:rPr>
                <w:rFonts w:ascii="times" w:hAnsi="times"/>
                <w:sz w:val="20"/>
              </w:rPr>
              <w:br/>
              <w:t> </w:t>
            </w:r>
          </w:p>
        </w:tc>
        <w:tc>
          <w:tcPr>
            <w:tcW w:w="8645" w:type="dxa"/>
            <w:tcBorders/>
            <w:shd w:fill="auto" w:val="clear"/>
          </w:tcPr>
          <w:p>
            <w:pPr>
              <w:pStyle w:val="TableContents"/>
              <w:spacing w:before="0" w:after="283"/>
              <w:rPr>
                <w:rFonts w:ascii="times" w:hAnsi="times"/>
              </w:rPr>
            </w:pPr>
            <w:r>
              <w:rPr>
                <w:rFonts w:ascii="times" w:hAnsi="times"/>
              </w:rPr>
              <w:br/>
            </w:r>
            <w:r>
              <w:rPr>
                <w:rFonts w:ascii="times" w:hAnsi="times"/>
                <w:sz w:val="20"/>
              </w:rPr>
              <w:t>Under most circumstances, the approval of a majority of the Common Units, excluding Common Units held by our general partner and its affiliates, is required for the withdrawal of our general partner prior to March 31, 2024 in a manner that would cause a dissolution of our partnership. See "Withdrawal or Removal of our General Partner".</w:t>
            </w:r>
          </w:p>
        </w:tc>
      </w:tr>
      <w:tr>
        <w:trPr/>
        <w:tc>
          <w:tcPr>
            <w:tcW w:w="1482" w:type="dxa"/>
            <w:tcBorders/>
            <w:shd w:fill="auto" w:val="clear"/>
          </w:tcPr>
          <w:p>
            <w:pPr>
              <w:pStyle w:val="TableContents"/>
              <w:spacing w:before="0" w:after="283"/>
              <w:rPr>
                <w:rFonts w:ascii="times" w:hAnsi="times"/>
              </w:rPr>
            </w:pPr>
            <w:r>
              <w:rPr>
                <w:rFonts w:ascii="times" w:hAnsi="times"/>
              </w:rPr>
              <w:br/>
            </w:r>
            <w:r>
              <w:rPr>
                <w:rFonts w:ascii="times" w:hAnsi="times"/>
                <w:sz w:val="20"/>
              </w:rPr>
              <w:t>Removal of our general partner</w:t>
            </w:r>
          </w:p>
        </w:tc>
        <w:tc>
          <w:tcPr>
            <w:tcW w:w="78" w:type="dxa"/>
            <w:tcBorders/>
            <w:shd w:fill="auto" w:val="clear"/>
          </w:tcPr>
          <w:p>
            <w:pPr>
              <w:pStyle w:val="TableContents"/>
              <w:spacing w:before="0" w:after="283"/>
              <w:rPr>
                <w:rFonts w:ascii="times" w:hAnsi="times"/>
                <w:sz w:val="20"/>
              </w:rPr>
            </w:pPr>
            <w:r>
              <w:rPr>
                <w:rFonts w:ascii="times" w:hAnsi="times"/>
                <w:sz w:val="20"/>
              </w:rPr>
              <w:br/>
              <w:t> </w:t>
            </w:r>
          </w:p>
        </w:tc>
        <w:tc>
          <w:tcPr>
            <w:tcW w:w="8645" w:type="dxa"/>
            <w:tcBorders/>
            <w:shd w:fill="auto" w:val="clear"/>
          </w:tcPr>
          <w:p>
            <w:pPr>
              <w:pStyle w:val="TableContents"/>
              <w:spacing w:before="0" w:after="283"/>
              <w:rPr>
                <w:rFonts w:ascii="times" w:hAnsi="times"/>
              </w:rPr>
            </w:pPr>
            <w:r>
              <w:rPr>
                <w:rFonts w:ascii="times" w:hAnsi="times"/>
              </w:rPr>
              <w:br/>
            </w:r>
            <w:r>
              <w:rPr>
                <w:rFonts w:ascii="times" w:hAnsi="times"/>
                <w:sz w:val="20"/>
              </w:rPr>
              <w:t>Not less than 66</w:t>
            </w:r>
            <w:r>
              <w:rPr>
                <w:rFonts w:ascii="times" w:hAnsi="times"/>
                <w:position w:val="7"/>
                <w:sz w:val="16"/>
                <w:sz w:val="20"/>
              </w:rPr>
              <w:t>2</w:t>
            </w:r>
            <w:r>
              <w:rPr>
                <w:rFonts w:ascii="times" w:hAnsi="times"/>
                <w:sz w:val="20"/>
              </w:rPr>
              <w:t>/</w:t>
            </w:r>
            <w:r>
              <w:rPr>
                <w:rFonts w:ascii="times" w:hAnsi="times"/>
                <w:sz w:val="14"/>
              </w:rPr>
              <w:t>3</w:t>
            </w:r>
            <w:r>
              <w:rPr>
                <w:rFonts w:ascii="times" w:hAnsi="times"/>
                <w:sz w:val="20"/>
              </w:rPr>
              <w:t>% of the outstanding Common Units, including Common Units held by our general partner and its affiliates, voting together as a single class. See "Withdrawal or Removal of our General Partner".</w:t>
            </w:r>
          </w:p>
        </w:tc>
      </w:tr>
      <w:tr>
        <w:trPr/>
        <w:tc>
          <w:tcPr>
            <w:tcW w:w="1482" w:type="dxa"/>
            <w:tcBorders/>
            <w:shd w:fill="auto" w:val="clear"/>
          </w:tcPr>
          <w:p>
            <w:pPr>
              <w:pStyle w:val="TableContents"/>
              <w:spacing w:before="0" w:after="283"/>
              <w:rPr>
                <w:rFonts w:ascii="times" w:hAnsi="times"/>
              </w:rPr>
            </w:pPr>
            <w:r>
              <w:rPr>
                <w:rFonts w:ascii="times" w:hAnsi="times"/>
              </w:rPr>
              <w:br/>
            </w:r>
            <w:r>
              <w:rPr>
                <w:rFonts w:ascii="times" w:hAnsi="times"/>
                <w:sz w:val="20"/>
              </w:rPr>
              <w:t>Transfer of our general partner interest in us</w:t>
            </w:r>
          </w:p>
        </w:tc>
        <w:tc>
          <w:tcPr>
            <w:tcW w:w="78" w:type="dxa"/>
            <w:tcBorders/>
            <w:shd w:fill="auto" w:val="clear"/>
          </w:tcPr>
          <w:p>
            <w:pPr>
              <w:pStyle w:val="TableContents"/>
              <w:spacing w:before="0" w:after="283"/>
              <w:rPr>
                <w:rFonts w:ascii="times" w:hAnsi="times"/>
                <w:sz w:val="20"/>
              </w:rPr>
            </w:pPr>
            <w:r>
              <w:rPr>
                <w:rFonts w:ascii="times" w:hAnsi="times"/>
                <w:sz w:val="20"/>
              </w:rPr>
              <w:br/>
              <w:t> </w:t>
            </w:r>
          </w:p>
        </w:tc>
        <w:tc>
          <w:tcPr>
            <w:tcW w:w="8645" w:type="dxa"/>
            <w:tcBorders/>
            <w:shd w:fill="auto" w:val="clear"/>
          </w:tcPr>
          <w:p>
            <w:pPr>
              <w:pStyle w:val="TableContents"/>
              <w:spacing w:before="0" w:after="283"/>
              <w:rPr>
                <w:rFonts w:ascii="times" w:hAnsi="times"/>
              </w:rPr>
            </w:pPr>
            <w:r>
              <w:rPr>
                <w:rFonts w:ascii="times" w:hAnsi="times"/>
              </w:rPr>
              <w:br/>
            </w:r>
            <w:r>
              <w:rPr>
                <w:rFonts w:ascii="times" w:hAnsi="times"/>
                <w:sz w:val="20"/>
              </w:rPr>
              <w:t>Our general partner may transfer all, but not less than all, of its general partner interest in us without a vote of our Common Unitholders or other limited partners to an affiliate or another person in connection with its merger or consolidation with or into, or sale of all or substantially all of its assets to, such person. The approval of a majority of the Common Units, excluding Common Units held by our general partner and its affiliates, is required in other circumstances for a transfer of the general partner interest to a third party prior to March 31, 2024. See "Transfer of General Partner Interest".</w:t>
            </w:r>
          </w:p>
        </w:tc>
      </w:tr>
      <w:tr>
        <w:trPr/>
        <w:tc>
          <w:tcPr>
            <w:tcW w:w="1482" w:type="dxa"/>
            <w:tcBorders/>
            <w:shd w:fill="auto" w:val="clear"/>
          </w:tcPr>
          <w:p>
            <w:pPr>
              <w:pStyle w:val="TableContents"/>
              <w:spacing w:before="0" w:after="283"/>
              <w:rPr>
                <w:rFonts w:ascii="times" w:hAnsi="times"/>
              </w:rPr>
            </w:pPr>
            <w:r>
              <w:rPr>
                <w:rFonts w:ascii="times" w:hAnsi="times"/>
              </w:rPr>
              <w:br/>
            </w:r>
            <w:r>
              <w:rPr>
                <w:rFonts w:ascii="times" w:hAnsi="times"/>
                <w:sz w:val="20"/>
              </w:rPr>
              <w:t>Transfer of ownership interests in our general partner</w:t>
            </w:r>
          </w:p>
        </w:tc>
        <w:tc>
          <w:tcPr>
            <w:tcW w:w="78" w:type="dxa"/>
            <w:tcBorders/>
            <w:shd w:fill="auto" w:val="clear"/>
          </w:tcPr>
          <w:p>
            <w:pPr>
              <w:pStyle w:val="TableContents"/>
              <w:spacing w:before="0" w:after="283"/>
              <w:rPr>
                <w:rFonts w:ascii="times" w:hAnsi="times"/>
                <w:sz w:val="20"/>
              </w:rPr>
            </w:pPr>
            <w:r>
              <w:rPr>
                <w:rFonts w:ascii="times" w:hAnsi="times"/>
                <w:sz w:val="20"/>
              </w:rPr>
              <w:br/>
              <w:t> </w:t>
            </w:r>
          </w:p>
        </w:tc>
        <w:tc>
          <w:tcPr>
            <w:tcW w:w="8645" w:type="dxa"/>
            <w:tcBorders/>
            <w:shd w:fill="auto" w:val="clear"/>
          </w:tcPr>
          <w:p>
            <w:pPr>
              <w:pStyle w:val="TableContents"/>
              <w:spacing w:before="0" w:after="283"/>
              <w:rPr>
                <w:rFonts w:ascii="times" w:hAnsi="times"/>
              </w:rPr>
            </w:pPr>
            <w:r>
              <w:rPr>
                <w:rFonts w:ascii="times" w:hAnsi="times"/>
              </w:rPr>
              <w:br/>
            </w:r>
            <w:r>
              <w:rPr>
                <w:rFonts w:ascii="times" w:hAnsi="times"/>
                <w:sz w:val="20"/>
              </w:rPr>
              <w:t>No approval required at any time. See "Transfer of Ownership Interests in General Partner".</w:t>
            </w:r>
          </w:p>
        </w:tc>
      </w:tr>
    </w:tbl>
    <w:p>
      <w:pPr>
        <w:pStyle w:val="TextBody"/>
        <w:ind w:left="200" w:right="0" w:hanging="200"/>
        <w:rPr>
          <w:rFonts w:ascii="times" w:hAnsi="times"/>
          <w:b/>
          <w:sz w:val="20"/>
        </w:rPr>
      </w:pPr>
      <w:bookmarkStart w:id="103" w:name="toc_cc43504_11"/>
      <w:bookmarkStart w:id="104" w:name="cc43504_applicable_law;_forum,_venue_and"/>
      <w:bookmarkEnd w:id="103"/>
      <w:bookmarkEnd w:id="104"/>
      <w:r>
        <w:rPr>
          <w:rFonts w:ascii="times" w:hAnsi="times"/>
          <w:b/>
          <w:sz w:val="20"/>
        </w:rPr>
        <w:t xml:space="preserve">Applicable Law; Forum, Venue and Jurisdiction </w:t>
      </w:r>
    </w:p>
    <w:p>
      <w:pPr>
        <w:pStyle w:val="TextBody"/>
        <w:rPr>
          <w:rFonts w:ascii="times" w:hAnsi="times"/>
          <w:sz w:val="20"/>
        </w:rPr>
      </w:pPr>
      <w:r>
        <w:rPr>
          <w:rFonts w:ascii="times" w:hAnsi="times"/>
          <w:sz w:val="20"/>
        </w:rPr>
        <w:t>Our Partnership Agreement is governed by Marshall Islands law. Our Partnership Agreement requires that any claims, suits, actions or proceedings:</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arising out of or relating in any way to the Partnership Agreement (including any claims, suits or actions to interpret, apply or enforce the provisions of the Partnership Agreement or the duties, obligations or liabilities among limited partners or of limited partners to us, or the rights or powers of, or restrictions on, the limited partners or us);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brought in a derivative manner on our behalf;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asserting a claim of breach of a fiduciary duty owed by any director, officer or other employee of us or our general partner, or owed by our general partner, to us or the limited partners;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asserting a claim arising pursuant to any provision of the Marshall Islands Act; and </w:t>
      </w:r>
    </w:p>
    <w:p>
      <w:pPr>
        <w:pStyle w:val="TextBody"/>
        <w:jc w:val="center"/>
        <w:rPr>
          <w:rFonts w:ascii="times" w:hAnsi="times"/>
          <w:sz w:val="20"/>
        </w:rPr>
      </w:pPr>
      <w:r>
        <w:rPr>
          <w:rFonts w:ascii="times" w:hAnsi="times"/>
          <w:sz w:val="20"/>
        </w:rPr>
        <w:t>S-32</w:t>
      </w:r>
    </w:p>
    <w:p>
      <w:pPr>
        <w:pStyle w:val="HorizontalLine"/>
        <w:pBdr>
          <w:bottom w:val="single" w:sz="20" w:space="0" w:color="808080"/>
        </w:pBdr>
        <w:rPr/>
      </w:pPr>
      <w:r>
        <w:rPr/>
      </w:r>
      <w:r>
        <w:br w:type="page"/>
      </w:r>
    </w:p>
    <w:p>
      <w:pPr>
        <w:pStyle w:val="TextBody"/>
        <w:rPr/>
      </w:pPr>
      <w:hyperlink w:anchor="bE43504A_main_toc">
        <w:bookmarkStart w:id="105" w:name="page_cc43504_1_33"/>
        <w:bookmarkEnd w:id="105"/>
        <w:r>
          <w:rPr>
            <w:rStyle w:val="InternetLink"/>
            <w:rFonts w:ascii="times" w:hAnsi="times"/>
            <w:sz w:val="20"/>
          </w:rPr>
          <w:t>Table of Contents</w:t>
        </w:r>
      </w:hyperlink>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asserting a claim governed by the internal affairs doctrine; </w:t>
      </w:r>
    </w:p>
    <w:p>
      <w:pPr>
        <w:pStyle w:val="TextBody"/>
        <w:rPr>
          <w:rFonts w:ascii="times" w:hAnsi="times"/>
          <w:sz w:val="20"/>
        </w:rPr>
      </w:pPr>
      <w:r>
        <w:rPr>
          <w:rFonts w:ascii="times" w:hAnsi="times"/>
          <w:sz w:val="20"/>
        </w:rPr>
        <w:t xml:space="preserve">shall be exclusively brought in the Court of Chancery of the State of Delaware, unless otherwise provided for by Marshall Islands law, regardless of whether such claims, suits, actions or proceedings arise under laws relating to contract, tort, fraud or otherwise, are based on common law, statutory, equitable, legal or other grounds, or are derivative or direct claims. By purchasing a unit, a limited partner is irrevocably consenting to these limitations and provisions regarding claims, suits, actions or proceedings and submitting to the exclusive jurisdiction of the Court of Chancery of the State of Delaware, unless otherwise provided for by Marshall Islands law, in connection with any such claims, suits, actions or proceedings; however, a court could rule that such provisions are inapplicable or unenforceable. Any person or entity purchasing or otherwise acquiring any interest in our units shall be deemed to have notice of and to have consented to the provisions described above. This forum selection provision may limit our unitholders' ability to obtain a judicial forum that they find favorable for disputes with us or our directors, officers or other employees or unitholders. </w:t>
      </w:r>
    </w:p>
    <w:p>
      <w:pPr>
        <w:pStyle w:val="TextBody"/>
        <w:ind w:left="200" w:right="0" w:hanging="200"/>
        <w:rPr>
          <w:rFonts w:ascii="times" w:hAnsi="times"/>
          <w:b/>
          <w:sz w:val="20"/>
        </w:rPr>
      </w:pPr>
      <w:bookmarkStart w:id="106" w:name="toc_cc43504_12"/>
      <w:bookmarkStart w:id="107" w:name="cc43504_limited_liability"/>
      <w:bookmarkEnd w:id="106"/>
      <w:bookmarkEnd w:id="107"/>
      <w:r>
        <w:rPr>
          <w:rFonts w:ascii="times" w:hAnsi="times"/>
          <w:b/>
          <w:sz w:val="20"/>
        </w:rPr>
        <w:t xml:space="preserve">Limited Liability </w:t>
      </w:r>
    </w:p>
    <w:p>
      <w:pPr>
        <w:pStyle w:val="TextBody"/>
        <w:rPr>
          <w:rFonts w:ascii="times" w:hAnsi="times"/>
          <w:sz w:val="20"/>
        </w:rPr>
      </w:pPr>
      <w:r>
        <w:rPr>
          <w:rFonts w:ascii="times" w:hAnsi="times"/>
          <w:sz w:val="20"/>
        </w:rPr>
        <w:t>Assuming that a limited partner does not participate in the control of our business within the meaning of the Marshall Islands Act and that he or she otherwise acts in conformity with the provisions of our Partnership Agreement, his or her liability under the Marshall Islands Act will be limited, subject to possible exceptions, to the amount of capital he or she is obligated to contribute to us for his or her units plus his or her share of any undistributed profits and assets. If it were determined, however, that the right, or exercise of the right, by the limited partners as a group:</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to remove or replace our general partner;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to elect two (or, following the general partner's exercise of its right to transfer the power to elect a majority of our directors to the Common Unitholders, three) of our five directors;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to approve some amendments to our Partnership Agreement; or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to take other action under our Partnership Agreement; </w:t>
      </w:r>
    </w:p>
    <w:p>
      <w:pPr>
        <w:pStyle w:val="TextBody"/>
        <w:rPr>
          <w:rFonts w:ascii="times" w:hAnsi="times"/>
          <w:sz w:val="20"/>
        </w:rPr>
      </w:pPr>
      <w:r>
        <w:rPr>
          <w:rFonts w:ascii="times" w:hAnsi="times"/>
          <w:sz w:val="20"/>
        </w:rPr>
        <w:t xml:space="preserve">constituted "participation in the control" of our business for the purposes of the Marshall Islands Act, then the limited partners could be held personally liable for our obligations under the laws of the Marshall Islands, to the same extent as our general partner. This liability would extend to persons who transact business with us who reasonably believe that the limited partner is a general partner. Neither our Partnership Agreement nor the Marshall Islands Act specifically provides for legal recourse against our general partner if a limited partner were to lose limited liability through any fault of our general partner. While this does not mean that a limited partner could not seek legal recourse, we know of no precedent for this type of a claim in Marshall Islands case law. </w:t>
      </w:r>
    </w:p>
    <w:p>
      <w:pPr>
        <w:pStyle w:val="TextBody"/>
        <w:rPr>
          <w:rFonts w:ascii="times" w:hAnsi="times"/>
          <w:sz w:val="20"/>
        </w:rPr>
      </w:pPr>
      <w:r>
        <w:rPr>
          <w:rFonts w:ascii="times" w:hAnsi="times"/>
          <w:sz w:val="20"/>
        </w:rPr>
        <w:t xml:space="preserve">Under the Marshall Islands Act, a limited partnership may not make a distribution to a partner if, after the distribution, all liabilities of the limited partnership, other than liabilities to partners on account of their partnership interests and liabilities for which the recourse of creditors is limited to specific property of the partnership, would exceed the fair value of the assets of the limited partnership. For the purpose of determining the fair value of the assets of a limited partnership, the Marshall Islands Act provides that the fair value of property subject to liability for which recourse of creditors is limited shall be included in the assets of the limited partnership only to the extent that the fair value of that property exceeds the non-recourse liability. The Marshall Islands Act provides that a limited partner who receives a distribution and knew at the time of the distribution that the distribution was in violation of the Marshall Islands Act shall be liable to the limited partnership for the amount of the </w:t>
      </w:r>
    </w:p>
    <w:p>
      <w:pPr>
        <w:pStyle w:val="TextBody"/>
        <w:jc w:val="center"/>
        <w:rPr>
          <w:rFonts w:ascii="times" w:hAnsi="times"/>
          <w:sz w:val="20"/>
        </w:rPr>
      </w:pPr>
      <w:r>
        <w:rPr>
          <w:rFonts w:ascii="times" w:hAnsi="times"/>
          <w:sz w:val="20"/>
        </w:rPr>
        <w:t>S-33</w:t>
      </w:r>
    </w:p>
    <w:p>
      <w:pPr>
        <w:pStyle w:val="HorizontalLine"/>
        <w:pBdr>
          <w:bottom w:val="single" w:sz="20" w:space="0" w:color="808080"/>
        </w:pBdr>
        <w:rPr/>
      </w:pPr>
      <w:r>
        <w:rPr/>
      </w:r>
      <w:r>
        <w:br w:type="page"/>
      </w:r>
    </w:p>
    <w:p>
      <w:pPr>
        <w:pStyle w:val="TextBody"/>
        <w:rPr/>
      </w:pPr>
      <w:hyperlink w:anchor="bE43504A_main_toc">
        <w:bookmarkStart w:id="108" w:name="page_cc43504_1_34"/>
        <w:bookmarkEnd w:id="108"/>
        <w:r>
          <w:rPr>
            <w:rStyle w:val="InternetLink"/>
            <w:rFonts w:ascii="times" w:hAnsi="times"/>
            <w:sz w:val="20"/>
          </w:rPr>
          <w:t>Table of Contents</w:t>
        </w:r>
      </w:hyperlink>
    </w:p>
    <w:p>
      <w:pPr>
        <w:pStyle w:val="TextBody"/>
        <w:rPr>
          <w:rFonts w:ascii="times" w:hAnsi="times"/>
          <w:sz w:val="20"/>
        </w:rPr>
      </w:pPr>
      <w:r>
        <w:rPr>
          <w:rFonts w:ascii="times" w:hAnsi="times"/>
          <w:sz w:val="20"/>
        </w:rPr>
        <w:t xml:space="preserve">distribution for three years. Under the Marshall Islands Act, a purchaser of units who becomes a limited partner of a limited partnership is liable for the obligations of the transferor to make contributions to the partnership, except that the transferee is not obligated for liabilities unknown to him at the time he became a limited partner and that could not be ascertained from the Partnership Agreement. </w:t>
      </w:r>
    </w:p>
    <w:p>
      <w:pPr>
        <w:pStyle w:val="TextBody"/>
        <w:rPr>
          <w:rFonts w:ascii="times" w:hAnsi="times"/>
          <w:sz w:val="20"/>
        </w:rPr>
      </w:pPr>
      <w:r>
        <w:rPr>
          <w:rFonts w:ascii="times" w:hAnsi="times"/>
          <w:sz w:val="20"/>
        </w:rPr>
        <w:t xml:space="preserve">Maintenance of our limited liability may require compliance with legal requirements in the jurisdictions in which our subsidiaries conduct business, which may include qualifying to do business in those jurisdictions. Limitations on the liability of limited partners for the obligations of a limited partnership or limited liability company have not been clearly established in many jurisdictions. If, by virtue of our membership interest in an operating subsidiary or otherwise, it was determined that we were conducting business in any jurisdiction without compliance with the applicable limited partnership or limited liability company statute, or that the right or exercise of the right by the limited partners as a group to remove or replace the general partner, to approve some amendments to the Partnership Agreement or to take other action under the Partnership Agreement constituted "participation in the control" of our business for purposes of the statutes of any relevant jurisdiction, then the limited partners could be held personally liable for our obligations under the law of that jurisdiction to the same extent as our general partner under the circumstances. We will operate in a manner that our board of directors considers reasonable and necessary or appropriate to preserve the limited liability of the limited partners. </w:t>
      </w:r>
    </w:p>
    <w:p>
      <w:pPr>
        <w:pStyle w:val="TextBody"/>
        <w:ind w:left="200" w:right="0" w:hanging="200"/>
        <w:rPr>
          <w:rFonts w:ascii="times" w:hAnsi="times"/>
          <w:b/>
          <w:sz w:val="20"/>
        </w:rPr>
      </w:pPr>
      <w:bookmarkStart w:id="109" w:name="toc_cc43504_13"/>
      <w:bookmarkStart w:id="110" w:name="cc43504_issuance_of_additional_interests"/>
      <w:bookmarkEnd w:id="109"/>
      <w:bookmarkEnd w:id="110"/>
      <w:r>
        <w:rPr>
          <w:rFonts w:ascii="times" w:hAnsi="times"/>
          <w:b/>
          <w:sz w:val="20"/>
        </w:rPr>
        <w:t xml:space="preserve">Issuance of Additional Interests </w:t>
      </w:r>
    </w:p>
    <w:p>
      <w:pPr>
        <w:pStyle w:val="TextBody"/>
        <w:rPr>
          <w:rFonts w:ascii="times" w:hAnsi="times"/>
          <w:sz w:val="20"/>
        </w:rPr>
      </w:pPr>
      <w:r>
        <w:rPr>
          <w:rFonts w:ascii="times" w:hAnsi="times"/>
          <w:sz w:val="20"/>
        </w:rPr>
        <w:t xml:space="preserve">The Partnership Agreement authorizes us to issue an unlimited amount of additional partnership interests and rights to buy partnership interests for the consideration and on the terms and conditions determined by our board of directors without the approval of the unitholders, other than certain limited approval rights of the holders of the Preference Units. However, our general partner will be required to approve all issuances of additional partnership interests that are not reasonably expected to be accretive within twelve months of issuance or which would otherwise have a material adverse impact on the general partner or its interest in us. </w:t>
      </w:r>
    </w:p>
    <w:p>
      <w:pPr>
        <w:pStyle w:val="TextBody"/>
        <w:rPr>
          <w:rFonts w:ascii="times" w:hAnsi="times"/>
          <w:sz w:val="20"/>
        </w:rPr>
      </w:pPr>
      <w:r>
        <w:rPr>
          <w:rFonts w:ascii="times" w:hAnsi="times"/>
          <w:sz w:val="20"/>
        </w:rPr>
        <w:t xml:space="preserve">We intend to fund acquisitions through borrowings and the issuance of additional Common Units or other equity securities and the issuance of debt securities. Holders of any additional Series A Preference Units we issue will be entitled to share equally with the then-existing holders of Series A Preference Units in our distributions, holders of any additional Series B Preference Units we issue will be entitled to share equally with the then-existing holders of Series B Preference Units in our distributions, holders of any additional Series C Preference Units we issue will be entitled to share equally with the then-existing holders of Series C Preference Units in our distributions and holders of any additional Common Units we issue will be entitled to share equally with the then-existing holders of Common Units in our distributions. Additionally, we may issue other equity securities that may dilute the value of the interests of the then-existing holders of Common Units or Preference Units in our net assets and such securities may have priority over Common Units or Preference Units for receipt of distributions. </w:t>
      </w:r>
    </w:p>
    <w:p>
      <w:pPr>
        <w:pStyle w:val="TextBody"/>
        <w:rPr>
          <w:rFonts w:ascii="times" w:hAnsi="times"/>
          <w:sz w:val="20"/>
        </w:rPr>
      </w:pPr>
      <w:r>
        <w:rPr>
          <w:rFonts w:ascii="times" w:hAnsi="times"/>
          <w:sz w:val="20"/>
        </w:rPr>
        <w:t xml:space="preserve">In accordance with Marshall Islands law and the provisions of our Partnership Agreement, we may also issue additional partnership interests that, as determined by our board of directors, have special voting or other rights to which the Common Units or the Preference Units are not entitled. </w:t>
      </w:r>
    </w:p>
    <w:p>
      <w:pPr>
        <w:pStyle w:val="TextBody"/>
        <w:rPr>
          <w:rFonts w:ascii="times" w:hAnsi="times"/>
          <w:sz w:val="20"/>
        </w:rPr>
      </w:pPr>
      <w:r>
        <w:rPr>
          <w:rFonts w:ascii="times" w:hAnsi="times"/>
          <w:sz w:val="20"/>
        </w:rPr>
        <w:t xml:space="preserve">Upon issuance of additional partnership interests (including our Common Units and Class B Units, but excluding the issuance of partnership interests upon conversion of outstanding partnership interests), our general partner will have the right, but not the obligation, to make additional capital contributions to the extent necessary to maintain its 2.0% general partner interest in us. Our general partner's </w:t>
      </w:r>
    </w:p>
    <w:p>
      <w:pPr>
        <w:pStyle w:val="TextBody"/>
        <w:jc w:val="center"/>
        <w:rPr>
          <w:rFonts w:ascii="times" w:hAnsi="times"/>
          <w:sz w:val="20"/>
        </w:rPr>
      </w:pPr>
      <w:r>
        <w:rPr>
          <w:rFonts w:ascii="times" w:hAnsi="times"/>
          <w:sz w:val="20"/>
        </w:rPr>
        <w:t>S-34</w:t>
      </w:r>
    </w:p>
    <w:p>
      <w:pPr>
        <w:pStyle w:val="HorizontalLine"/>
        <w:pBdr>
          <w:bottom w:val="single" w:sz="20" w:space="0" w:color="808080"/>
        </w:pBdr>
        <w:rPr/>
      </w:pPr>
      <w:r>
        <w:rPr/>
      </w:r>
      <w:r>
        <w:br w:type="page"/>
      </w:r>
    </w:p>
    <w:p>
      <w:pPr>
        <w:pStyle w:val="TextBody"/>
        <w:rPr/>
      </w:pPr>
      <w:hyperlink w:anchor="bE43504A_main_toc">
        <w:bookmarkStart w:id="111" w:name="page_cc43504_1_35"/>
        <w:bookmarkEnd w:id="111"/>
        <w:r>
          <w:rPr>
            <w:rStyle w:val="InternetLink"/>
            <w:rFonts w:ascii="times" w:hAnsi="times"/>
            <w:sz w:val="20"/>
          </w:rPr>
          <w:t>Table of Contents</w:t>
        </w:r>
      </w:hyperlink>
    </w:p>
    <w:p>
      <w:pPr>
        <w:pStyle w:val="TextBody"/>
        <w:rPr>
          <w:rFonts w:ascii="times" w:hAnsi="times"/>
          <w:sz w:val="20"/>
        </w:rPr>
      </w:pPr>
      <w:r>
        <w:rPr>
          <w:rFonts w:ascii="times" w:hAnsi="times"/>
          <w:sz w:val="20"/>
        </w:rPr>
        <w:t xml:space="preserve">interest in us will thus be reduced if we issue additional partnership interests in the future and our general partner does not elect to maintain its 2.0% general partner interest in us. Our general partner and its affiliates will have the right, which it may from time to time assign in whole or in part to any of its affiliates, to purchase Common Units, Class B Units, Preference Units or other equity securities whenever, and on the same terms that, we issue those securities to persons other than our general partner and its affiliates, to the extent necessary to maintain its and its affiliates' percentage interest, including its interest represented by the Common Units and Class B Units that existed immediately prior to each issuance. Other holders of Common Units or Class B Units will not have similar pre-emptive rights to acquire additional Common Units or other partnership interests. </w:t>
      </w:r>
    </w:p>
    <w:p>
      <w:pPr>
        <w:pStyle w:val="TextBody"/>
        <w:ind w:left="200" w:right="0" w:hanging="200"/>
        <w:rPr>
          <w:rFonts w:ascii="times" w:hAnsi="times"/>
          <w:b/>
          <w:sz w:val="20"/>
        </w:rPr>
      </w:pPr>
      <w:bookmarkStart w:id="112" w:name="toc_cc43504_14"/>
      <w:bookmarkStart w:id="113" w:name="cc43504_tax_status"/>
      <w:bookmarkEnd w:id="112"/>
      <w:bookmarkEnd w:id="113"/>
      <w:r>
        <w:rPr>
          <w:rFonts w:ascii="times" w:hAnsi="times"/>
          <w:b/>
          <w:sz w:val="20"/>
        </w:rPr>
        <w:t xml:space="preserve">Tax Status </w:t>
      </w:r>
    </w:p>
    <w:p>
      <w:pPr>
        <w:pStyle w:val="TextBody"/>
        <w:rPr>
          <w:rFonts w:ascii="times" w:hAnsi="times"/>
          <w:sz w:val="20"/>
        </w:rPr>
      </w:pPr>
      <w:r>
        <w:rPr>
          <w:rFonts w:ascii="times" w:hAnsi="times"/>
          <w:sz w:val="20"/>
        </w:rPr>
        <w:t xml:space="preserve">The Partnership Agreement provides that the partnership will elect to be treated as a corporation for U.S. federal income tax purposes. </w:t>
      </w:r>
    </w:p>
    <w:p>
      <w:pPr>
        <w:pStyle w:val="TextBody"/>
        <w:ind w:left="200" w:right="0" w:hanging="200"/>
        <w:rPr>
          <w:rFonts w:ascii="times" w:hAnsi="times"/>
          <w:b/>
          <w:sz w:val="20"/>
        </w:rPr>
      </w:pPr>
      <w:bookmarkStart w:id="114" w:name="toc_cc43504_15"/>
      <w:bookmarkStart w:id="115" w:name="cc43504_amendment_of_the_partnership_agr"/>
      <w:bookmarkEnd w:id="114"/>
      <w:bookmarkEnd w:id="115"/>
      <w:r>
        <w:rPr>
          <w:rFonts w:ascii="times" w:hAnsi="times"/>
          <w:b/>
          <w:sz w:val="20"/>
        </w:rPr>
        <w:t xml:space="preserve">Amendment of the Partnership Agreement </w:t>
      </w:r>
    </w:p>
    <w:p>
      <w:pPr>
        <w:pStyle w:val="TextBody"/>
        <w:ind w:left="200" w:right="0" w:hanging="200"/>
        <w:rPr>
          <w:rFonts w:ascii="times" w:hAnsi="times"/>
          <w:b/>
          <w:i/>
          <w:sz w:val="20"/>
        </w:rPr>
      </w:pPr>
      <w:r>
        <w:rPr>
          <w:rFonts w:ascii="times" w:hAnsi="times"/>
          <w:b/>
          <w:i/>
          <w:sz w:val="20"/>
        </w:rPr>
        <w:t xml:space="preserve">General </w:t>
      </w:r>
    </w:p>
    <w:p>
      <w:pPr>
        <w:pStyle w:val="TextBody"/>
        <w:rPr>
          <w:rFonts w:ascii="times" w:hAnsi="times"/>
          <w:sz w:val="20"/>
        </w:rPr>
      </w:pPr>
      <w:r>
        <w:rPr>
          <w:rFonts w:ascii="times" w:hAnsi="times"/>
          <w:sz w:val="20"/>
        </w:rPr>
        <w:t xml:space="preserve">Amendments to our Partnership Agreement may be proposed only by or with the consent of our board of directors. However, our board of directors will have no duty or obligation to propose any amendment and may decline to do so free of any fiduciary duty or obligation whatsoever to us or the limited partners, including any duty to act in good faith or in the best interests of us or the limited partners. In order to adopt a proposed amendment, other than the amendments discussed below, approval of our board of directors is required, as well as written approval of the holders of the number of Common Units required to approve the amendment or call a meeting of the limited partners to consider and vote upon the proposed amendment. In addition, holders of Preference Units must approve certain amendments as described under "Voting Rights". Except as we describe below, an amendment must be approved by a Unit Majority. </w:t>
      </w:r>
    </w:p>
    <w:p>
      <w:pPr>
        <w:pStyle w:val="TextBody"/>
        <w:ind w:left="200" w:right="0" w:hanging="200"/>
        <w:rPr>
          <w:rFonts w:ascii="times" w:hAnsi="times"/>
          <w:b/>
          <w:i/>
          <w:sz w:val="20"/>
        </w:rPr>
      </w:pPr>
      <w:r>
        <w:rPr>
          <w:rFonts w:ascii="times" w:hAnsi="times"/>
          <w:b/>
          <w:i/>
          <w:sz w:val="20"/>
        </w:rPr>
        <w:t xml:space="preserve">Prohibited Amendments </w:t>
      </w:r>
    </w:p>
    <w:p>
      <w:pPr>
        <w:pStyle w:val="TextBody"/>
        <w:rPr>
          <w:rFonts w:ascii="times" w:hAnsi="times"/>
          <w:sz w:val="20"/>
        </w:rPr>
      </w:pPr>
      <w:r>
        <w:rPr>
          <w:rFonts w:ascii="times" w:hAnsi="times"/>
          <w:sz w:val="20"/>
        </w:rPr>
        <w:t xml:space="preserve">No amendment may be made that would: </w:t>
      </w:r>
    </w:p>
    <w:p>
      <w:pPr>
        <w:pStyle w:val="TextBody"/>
        <w:numPr>
          <w:ilvl w:val="0"/>
          <w:numId w:val="0"/>
        </w:numPr>
        <w:ind w:left="1414" w:hanging="0"/>
        <w:rPr>
          <w:rFonts w:ascii="times" w:hAnsi="times"/>
          <w:sz w:val="20"/>
        </w:rPr>
      </w:pPr>
      <w:r>
        <w:rPr>
          <w:rFonts w:ascii="times" w:hAnsi="times"/>
          <w:sz w:val="20"/>
        </w:rPr>
        <w:t xml:space="preserve">(1)         increase the obligations of any limited partner without its consent, unless approved by at least a majority of the type or class of limited partner interests so affected; </w:t>
      </w:r>
    </w:p>
    <w:p>
      <w:pPr>
        <w:pStyle w:val="TextBody"/>
        <w:numPr>
          <w:ilvl w:val="0"/>
          <w:numId w:val="0"/>
        </w:numPr>
        <w:ind w:left="1414" w:hanging="0"/>
        <w:rPr>
          <w:rFonts w:ascii="times" w:hAnsi="times"/>
          <w:sz w:val="20"/>
        </w:rPr>
      </w:pPr>
      <w:r>
        <w:rPr>
          <w:rFonts w:ascii="times" w:hAnsi="times"/>
          <w:sz w:val="20"/>
        </w:rPr>
        <w:t xml:space="preserve">(2)         increase the obligations of, restrict in any way any action by or rights of, or reduce in any way the amounts distributable, reimbursable or otherwise payable by us to our general partner or any of its affiliates without the consent of the general partner, which may be given or withheld at its option; </w:t>
      </w:r>
    </w:p>
    <w:p>
      <w:pPr>
        <w:pStyle w:val="TextBody"/>
        <w:numPr>
          <w:ilvl w:val="0"/>
          <w:numId w:val="0"/>
        </w:numPr>
        <w:ind w:left="1414" w:hanging="0"/>
        <w:rPr>
          <w:rFonts w:ascii="times" w:hAnsi="times"/>
          <w:sz w:val="20"/>
        </w:rPr>
      </w:pPr>
      <w:r>
        <w:rPr>
          <w:rFonts w:ascii="times" w:hAnsi="times"/>
          <w:sz w:val="20"/>
        </w:rPr>
        <w:t xml:space="preserve">(3)         change the term of our partnership; </w:t>
      </w:r>
    </w:p>
    <w:p>
      <w:pPr>
        <w:pStyle w:val="TextBody"/>
        <w:numPr>
          <w:ilvl w:val="0"/>
          <w:numId w:val="0"/>
        </w:numPr>
        <w:ind w:left="1414" w:hanging="0"/>
        <w:rPr>
          <w:rFonts w:ascii="times" w:hAnsi="times"/>
          <w:sz w:val="20"/>
        </w:rPr>
      </w:pPr>
      <w:r>
        <w:rPr>
          <w:rFonts w:ascii="times" w:hAnsi="times"/>
          <w:sz w:val="20"/>
        </w:rPr>
        <w:t xml:space="preserve">(4)         provide that our partnership is not dissolved upon an election to dissolve our partnership by our general partner and our board of directors that is approved by the holders of a Unit Majority; or </w:t>
      </w:r>
    </w:p>
    <w:p>
      <w:pPr>
        <w:pStyle w:val="TextBody"/>
        <w:numPr>
          <w:ilvl w:val="0"/>
          <w:numId w:val="0"/>
        </w:numPr>
        <w:ind w:left="1414" w:hanging="0"/>
        <w:rPr>
          <w:rFonts w:ascii="times" w:hAnsi="times"/>
          <w:sz w:val="20"/>
        </w:rPr>
      </w:pPr>
      <w:r>
        <w:rPr>
          <w:rFonts w:ascii="times" w:hAnsi="times"/>
          <w:sz w:val="20"/>
        </w:rPr>
        <w:t xml:space="preserve">(5)         give any person the right to dissolve our partnership other than the right of our general partner and our board of directors to dissolve our partnership with the approval of the holders of a Unit Majority. </w:t>
      </w:r>
    </w:p>
    <w:p>
      <w:pPr>
        <w:pStyle w:val="TextBody"/>
        <w:jc w:val="center"/>
        <w:rPr>
          <w:rFonts w:ascii="times" w:hAnsi="times"/>
          <w:sz w:val="20"/>
        </w:rPr>
      </w:pPr>
      <w:r>
        <w:rPr>
          <w:rFonts w:ascii="times" w:hAnsi="times"/>
          <w:sz w:val="20"/>
        </w:rPr>
        <w:t>S-35</w:t>
      </w:r>
    </w:p>
    <w:p>
      <w:pPr>
        <w:pStyle w:val="HorizontalLine"/>
        <w:pBdr>
          <w:bottom w:val="single" w:sz="20" w:space="0" w:color="808080"/>
        </w:pBdr>
        <w:rPr/>
      </w:pPr>
      <w:r>
        <w:rPr/>
      </w:r>
      <w:r>
        <w:br w:type="page"/>
      </w:r>
    </w:p>
    <w:p>
      <w:pPr>
        <w:pStyle w:val="TextBody"/>
        <w:rPr/>
      </w:pPr>
      <w:hyperlink w:anchor="bE43504A_main_toc">
        <w:bookmarkStart w:id="116" w:name="page_cc43504_1_36"/>
        <w:bookmarkEnd w:id="116"/>
        <w:r>
          <w:rPr>
            <w:rStyle w:val="InternetLink"/>
            <w:rFonts w:ascii="times" w:hAnsi="times"/>
            <w:sz w:val="20"/>
          </w:rPr>
          <w:t>Table of Contents</w:t>
        </w:r>
      </w:hyperlink>
    </w:p>
    <w:p>
      <w:pPr>
        <w:pStyle w:val="TextBody"/>
        <w:rPr>
          <w:rFonts w:ascii="times" w:hAnsi="times"/>
          <w:sz w:val="20"/>
        </w:rPr>
      </w:pPr>
      <w:r>
        <w:rPr>
          <w:rFonts w:ascii="times" w:hAnsi="times"/>
          <w:sz w:val="20"/>
        </w:rPr>
        <w:t xml:space="preserve">The provision of our Partnership Agreement preventing the amendments having the effects described in clauses (1) through (5) above can be amended upon the approval of the holders of at least 90% of the outstanding units voting together as a single class (including units owned by our general partner and its affiliates). </w:t>
      </w:r>
    </w:p>
    <w:p>
      <w:pPr>
        <w:pStyle w:val="TextBody"/>
        <w:ind w:left="200" w:right="0" w:hanging="200"/>
        <w:rPr>
          <w:rFonts w:ascii="times" w:hAnsi="times"/>
          <w:b/>
          <w:i/>
          <w:sz w:val="20"/>
        </w:rPr>
      </w:pPr>
      <w:r>
        <w:rPr>
          <w:rFonts w:ascii="times" w:hAnsi="times"/>
          <w:b/>
          <w:i/>
          <w:sz w:val="20"/>
        </w:rPr>
        <w:t xml:space="preserve">No Unitholder Approval </w:t>
      </w:r>
    </w:p>
    <w:p>
      <w:pPr>
        <w:pStyle w:val="TextBody"/>
        <w:rPr>
          <w:rFonts w:ascii="times" w:hAnsi="times"/>
          <w:sz w:val="20"/>
        </w:rPr>
      </w:pPr>
      <w:r>
        <w:rPr>
          <w:rFonts w:ascii="times" w:hAnsi="times"/>
          <w:sz w:val="20"/>
        </w:rPr>
        <w:t xml:space="preserve">Our board of directors may generally make amendments to our Partnership Agreement without the approval of any limited partner to reflect: </w:t>
      </w:r>
    </w:p>
    <w:p>
      <w:pPr>
        <w:pStyle w:val="TextBody"/>
        <w:numPr>
          <w:ilvl w:val="0"/>
          <w:numId w:val="0"/>
        </w:numPr>
        <w:ind w:left="1414" w:hanging="0"/>
        <w:rPr>
          <w:rFonts w:ascii="times" w:hAnsi="times"/>
          <w:sz w:val="20"/>
        </w:rPr>
      </w:pPr>
      <w:r>
        <w:rPr>
          <w:rFonts w:ascii="times" w:hAnsi="times"/>
          <w:sz w:val="20"/>
        </w:rPr>
        <w:t xml:space="preserve">(1)         a change in our name, the location of our principal place of business, our registered agent or our registered office; </w:t>
      </w:r>
    </w:p>
    <w:p>
      <w:pPr>
        <w:pStyle w:val="TextBody"/>
        <w:numPr>
          <w:ilvl w:val="0"/>
          <w:numId w:val="0"/>
        </w:numPr>
        <w:ind w:left="1414" w:hanging="0"/>
        <w:rPr>
          <w:rFonts w:ascii="times" w:hAnsi="times"/>
          <w:sz w:val="20"/>
        </w:rPr>
      </w:pPr>
      <w:r>
        <w:rPr>
          <w:rFonts w:ascii="times" w:hAnsi="times"/>
          <w:sz w:val="20"/>
        </w:rPr>
        <w:t xml:space="preserve">(2)         the admission, substitution, withdrawal or removal of partners in accordance with our Partnership Agreement; </w:t>
      </w:r>
    </w:p>
    <w:p>
      <w:pPr>
        <w:pStyle w:val="TextBody"/>
        <w:numPr>
          <w:ilvl w:val="0"/>
          <w:numId w:val="0"/>
        </w:numPr>
        <w:ind w:left="1414" w:hanging="0"/>
        <w:rPr>
          <w:rFonts w:ascii="times" w:hAnsi="times"/>
          <w:sz w:val="20"/>
        </w:rPr>
      </w:pPr>
      <w:r>
        <w:rPr>
          <w:rFonts w:ascii="times" w:hAnsi="times"/>
          <w:sz w:val="20"/>
        </w:rPr>
        <w:t xml:space="preserve">(3)         a change that our board of directors determines to be necessary or appropriate for us to qualify or to continue our qualification as a limited partnership or a partnership in which the limited partners have limited liability under the Marshall Islands Act; </w:t>
      </w:r>
    </w:p>
    <w:p>
      <w:pPr>
        <w:pStyle w:val="TextBody"/>
        <w:numPr>
          <w:ilvl w:val="0"/>
          <w:numId w:val="0"/>
        </w:numPr>
        <w:ind w:left="1414" w:hanging="0"/>
        <w:rPr>
          <w:rFonts w:ascii="times" w:hAnsi="times"/>
          <w:sz w:val="20"/>
        </w:rPr>
      </w:pPr>
      <w:r>
        <w:rPr>
          <w:rFonts w:ascii="times" w:hAnsi="times"/>
          <w:sz w:val="20"/>
        </w:rPr>
        <w:t xml:space="preserve">(4)         an amendment that is necessary, upon the advice of our counsel, to prevent us or our officers or directors or our general partner or their or its agents or trustees from in any manner being subjected to the provisions of the U.S. Investment Company Act of 1940, the U.S. Investment Advisors Act of 1940, or plan asset regulations adopted under the U.S. Employee Retirement Income Security Act of 1974 whether or not substantially similar to plan asset regulations currently applied or proposed; </w:t>
      </w:r>
    </w:p>
    <w:p>
      <w:pPr>
        <w:pStyle w:val="TextBody"/>
        <w:numPr>
          <w:ilvl w:val="0"/>
          <w:numId w:val="0"/>
        </w:numPr>
        <w:ind w:left="1414" w:hanging="0"/>
        <w:rPr>
          <w:rFonts w:ascii="times" w:hAnsi="times"/>
          <w:sz w:val="20"/>
        </w:rPr>
      </w:pPr>
      <w:r>
        <w:rPr>
          <w:rFonts w:ascii="times" w:hAnsi="times"/>
          <w:sz w:val="20"/>
        </w:rPr>
        <w:t xml:space="preserve">(5)         an amendment that our board of directors determines to be necessary or appropriate for the authorization of additional partnership interests or rights to acquire partnership interests, including any amendment that our board of directors determines is necessary or appropriate in connection with any amendment expressly permitted in the Partnership Agreement to be made by our board of directors acting alone; </w:t>
      </w:r>
    </w:p>
    <w:p>
      <w:pPr>
        <w:pStyle w:val="TextBody"/>
        <w:numPr>
          <w:ilvl w:val="0"/>
          <w:numId w:val="0"/>
        </w:numPr>
        <w:ind w:left="1414" w:hanging="0"/>
        <w:rPr>
          <w:rFonts w:ascii="times" w:hAnsi="times"/>
          <w:sz w:val="20"/>
        </w:rPr>
      </w:pPr>
      <w:r>
        <w:rPr>
          <w:rFonts w:ascii="times" w:hAnsi="times"/>
          <w:sz w:val="20"/>
        </w:rPr>
        <w:t xml:space="preserve">(6)         an amendment effected, necessitated or contemplated by a merger agreement that has been approved under the terms of the Partnership Agreement; </w:t>
      </w:r>
    </w:p>
    <w:p>
      <w:pPr>
        <w:pStyle w:val="TextBody"/>
        <w:numPr>
          <w:ilvl w:val="0"/>
          <w:numId w:val="0"/>
        </w:numPr>
        <w:ind w:left="1414" w:hanging="0"/>
        <w:rPr>
          <w:rFonts w:ascii="times" w:hAnsi="times"/>
          <w:sz w:val="20"/>
        </w:rPr>
      </w:pPr>
      <w:r>
        <w:rPr>
          <w:rFonts w:ascii="times" w:hAnsi="times"/>
          <w:sz w:val="20"/>
        </w:rPr>
        <w:t xml:space="preserve">(7)         any amendment that our board of directors determines to be necessary or appropriate for the formation by us of, or our investment in, any corporation, partnership or other entity, as otherwise permitted by the Partnership Agreement; </w:t>
      </w:r>
    </w:p>
    <w:p>
      <w:pPr>
        <w:pStyle w:val="TextBody"/>
        <w:numPr>
          <w:ilvl w:val="0"/>
          <w:numId w:val="0"/>
        </w:numPr>
        <w:ind w:left="1414" w:hanging="0"/>
        <w:rPr>
          <w:rFonts w:ascii="times" w:hAnsi="times"/>
          <w:sz w:val="20"/>
        </w:rPr>
      </w:pPr>
      <w:r>
        <w:rPr>
          <w:rFonts w:ascii="times" w:hAnsi="times"/>
          <w:sz w:val="20"/>
        </w:rPr>
        <w:t xml:space="preserve">(8)         a change in our fiscal year or taxable year and related changes; </w:t>
      </w:r>
    </w:p>
    <w:p>
      <w:pPr>
        <w:pStyle w:val="TextBody"/>
        <w:numPr>
          <w:ilvl w:val="0"/>
          <w:numId w:val="0"/>
        </w:numPr>
        <w:ind w:left="1414" w:hanging="0"/>
        <w:rPr>
          <w:rFonts w:ascii="times" w:hAnsi="times"/>
          <w:sz w:val="20"/>
        </w:rPr>
      </w:pPr>
      <w:r>
        <w:rPr>
          <w:rFonts w:ascii="times" w:hAnsi="times"/>
          <w:sz w:val="20"/>
        </w:rPr>
        <w:t xml:space="preserve">(9)         certain mergers or conveyances as set forth in our Partnership Agreement; </w:t>
      </w:r>
    </w:p>
    <w:p>
      <w:pPr>
        <w:pStyle w:val="TextBody"/>
        <w:numPr>
          <w:ilvl w:val="0"/>
          <w:numId w:val="0"/>
        </w:numPr>
        <w:ind w:left="1414" w:hanging="0"/>
        <w:rPr>
          <w:rFonts w:ascii="times" w:hAnsi="times"/>
          <w:sz w:val="20"/>
        </w:rPr>
      </w:pPr>
      <w:r>
        <w:rPr>
          <w:rFonts w:ascii="times" w:hAnsi="times"/>
          <w:sz w:val="20"/>
        </w:rPr>
        <w:t xml:space="preserve">(10)       an amendment to cure any ambiguity, defect or inconsistency; or </w:t>
      </w:r>
    </w:p>
    <w:p>
      <w:pPr>
        <w:pStyle w:val="TextBody"/>
        <w:numPr>
          <w:ilvl w:val="0"/>
          <w:numId w:val="0"/>
        </w:numPr>
        <w:ind w:left="1414" w:hanging="0"/>
        <w:rPr>
          <w:rFonts w:ascii="times" w:hAnsi="times"/>
          <w:sz w:val="20"/>
        </w:rPr>
      </w:pPr>
      <w:r>
        <w:rPr>
          <w:rFonts w:ascii="times" w:hAnsi="times"/>
          <w:sz w:val="20"/>
        </w:rPr>
        <w:t xml:space="preserve">(11)       any other amendments substantially similar to any of the matters described in (1) through (10) above. </w:t>
      </w:r>
    </w:p>
    <w:p>
      <w:pPr>
        <w:pStyle w:val="TextBody"/>
        <w:rPr>
          <w:rFonts w:ascii="times" w:hAnsi="times"/>
          <w:sz w:val="20"/>
        </w:rPr>
      </w:pPr>
      <w:r>
        <w:rPr>
          <w:rFonts w:ascii="times" w:hAnsi="times"/>
          <w:sz w:val="20"/>
        </w:rPr>
        <w:t xml:space="preserve">In addition, our board of directors may make amendments to the Partnership Agreement without the approval of any limited partner or our general partner (subject to the limited approval rights of the </w:t>
      </w:r>
    </w:p>
    <w:p>
      <w:pPr>
        <w:pStyle w:val="TextBody"/>
        <w:jc w:val="center"/>
        <w:rPr>
          <w:rFonts w:ascii="times" w:hAnsi="times"/>
          <w:sz w:val="20"/>
        </w:rPr>
      </w:pPr>
      <w:r>
        <w:rPr>
          <w:rFonts w:ascii="times" w:hAnsi="times"/>
          <w:sz w:val="20"/>
        </w:rPr>
        <w:t>S-36</w:t>
      </w:r>
    </w:p>
    <w:p>
      <w:pPr>
        <w:pStyle w:val="HorizontalLine"/>
        <w:pBdr>
          <w:bottom w:val="single" w:sz="20" w:space="0" w:color="808080"/>
        </w:pBdr>
        <w:rPr/>
      </w:pPr>
      <w:r>
        <w:rPr/>
      </w:r>
      <w:r>
        <w:br w:type="page"/>
      </w:r>
    </w:p>
    <w:p>
      <w:pPr>
        <w:pStyle w:val="TextBody"/>
        <w:rPr/>
      </w:pPr>
      <w:hyperlink w:anchor="bE43504A_main_toc">
        <w:bookmarkStart w:id="117" w:name="page_cc43504_1_37"/>
        <w:bookmarkEnd w:id="117"/>
        <w:r>
          <w:rPr>
            <w:rStyle w:val="InternetLink"/>
            <w:rFonts w:ascii="times" w:hAnsi="times"/>
            <w:sz w:val="20"/>
          </w:rPr>
          <w:t>Table of Contents</w:t>
        </w:r>
      </w:hyperlink>
    </w:p>
    <w:p>
      <w:pPr>
        <w:pStyle w:val="TextBody"/>
        <w:rPr>
          <w:rFonts w:ascii="times" w:hAnsi="times"/>
          <w:sz w:val="20"/>
        </w:rPr>
      </w:pPr>
      <w:r>
        <w:rPr>
          <w:rFonts w:ascii="times" w:hAnsi="times"/>
          <w:sz w:val="20"/>
        </w:rPr>
        <w:t xml:space="preserve">holders of the Preference Units and the holders of other Parity Securities (if applicable)) if our board of directors determines that those amendments: </w:t>
      </w:r>
    </w:p>
    <w:p>
      <w:pPr>
        <w:pStyle w:val="TextBody"/>
        <w:numPr>
          <w:ilvl w:val="0"/>
          <w:numId w:val="0"/>
        </w:numPr>
        <w:ind w:left="1414" w:hanging="0"/>
        <w:rPr>
          <w:rFonts w:ascii="times" w:hAnsi="times"/>
          <w:sz w:val="20"/>
        </w:rPr>
      </w:pPr>
      <w:r>
        <w:rPr>
          <w:rFonts w:ascii="times" w:hAnsi="times"/>
          <w:sz w:val="20"/>
        </w:rPr>
        <w:t xml:space="preserve">(1)         do not adversely affect the rights of our limited partners (or any particular class of limited partners) or our general partner in any material respect; </w:t>
      </w:r>
    </w:p>
    <w:p>
      <w:pPr>
        <w:pStyle w:val="TextBody"/>
        <w:numPr>
          <w:ilvl w:val="0"/>
          <w:numId w:val="0"/>
        </w:numPr>
        <w:ind w:left="1414" w:hanging="0"/>
        <w:rPr>
          <w:rFonts w:ascii="times" w:hAnsi="times"/>
          <w:sz w:val="20"/>
        </w:rPr>
      </w:pPr>
      <w:r>
        <w:rPr>
          <w:rFonts w:ascii="times" w:hAnsi="times"/>
          <w:sz w:val="20"/>
        </w:rPr>
        <w:t xml:space="preserve">(2)         are necessary or appropriate to satisfy any requirements, conditions or guidelines contained in any opinion, directive, order, ruling or regulation of any Marshall Islands authority or statute; </w:t>
      </w:r>
    </w:p>
    <w:p>
      <w:pPr>
        <w:pStyle w:val="TextBody"/>
        <w:numPr>
          <w:ilvl w:val="0"/>
          <w:numId w:val="0"/>
        </w:numPr>
        <w:ind w:left="1414" w:hanging="0"/>
        <w:rPr>
          <w:rFonts w:ascii="times" w:hAnsi="times"/>
          <w:sz w:val="20"/>
        </w:rPr>
      </w:pPr>
      <w:r>
        <w:rPr>
          <w:rFonts w:ascii="times" w:hAnsi="times"/>
          <w:sz w:val="20"/>
        </w:rPr>
        <w:t xml:space="preserve">(3)         are necessary or appropriate to facilitate the trading of limited partner interests or to comply with any rule, regulation, guideline or requirement of any securities exchange on which the limited partner interests are or will be listed for trading; </w:t>
      </w:r>
    </w:p>
    <w:p>
      <w:pPr>
        <w:pStyle w:val="TextBody"/>
        <w:numPr>
          <w:ilvl w:val="0"/>
          <w:numId w:val="0"/>
        </w:numPr>
        <w:ind w:left="1414" w:hanging="0"/>
        <w:rPr>
          <w:rFonts w:ascii="times" w:hAnsi="times"/>
          <w:sz w:val="20"/>
        </w:rPr>
      </w:pPr>
      <w:r>
        <w:rPr>
          <w:rFonts w:ascii="times" w:hAnsi="times"/>
          <w:sz w:val="20"/>
        </w:rPr>
        <w:t xml:space="preserve">(4)         are necessary or appropriate for any action taken by our board of directors relating to splits or combinations of units under the provisions of the Partnership Agreement; or </w:t>
      </w:r>
    </w:p>
    <w:p>
      <w:pPr>
        <w:pStyle w:val="TextBody"/>
        <w:numPr>
          <w:ilvl w:val="0"/>
          <w:numId w:val="0"/>
        </w:numPr>
        <w:ind w:left="1414" w:hanging="0"/>
        <w:rPr>
          <w:rFonts w:ascii="times" w:hAnsi="times"/>
          <w:sz w:val="20"/>
        </w:rPr>
      </w:pPr>
      <w:r>
        <w:rPr>
          <w:rFonts w:ascii="times" w:hAnsi="times"/>
          <w:sz w:val="20"/>
        </w:rPr>
        <w:t xml:space="preserve">(5)         are required to effect the intent expressed in this prospectus or the intent of the provisions of the Partnership Agreement or are otherwise contemplated by the Partnership Agreement. </w:t>
      </w:r>
    </w:p>
    <w:p>
      <w:pPr>
        <w:pStyle w:val="TextBody"/>
        <w:ind w:left="200" w:right="0" w:hanging="200"/>
        <w:rPr>
          <w:rFonts w:ascii="times" w:hAnsi="times"/>
          <w:b/>
          <w:i/>
          <w:sz w:val="20"/>
        </w:rPr>
      </w:pPr>
      <w:r>
        <w:rPr>
          <w:rFonts w:ascii="times" w:hAnsi="times"/>
          <w:b/>
          <w:i/>
          <w:sz w:val="20"/>
        </w:rPr>
        <w:t xml:space="preserve">Opinion of Counsel and Limited Partner Approval </w:t>
      </w:r>
    </w:p>
    <w:p>
      <w:pPr>
        <w:pStyle w:val="TextBody"/>
        <w:rPr>
          <w:rFonts w:ascii="times" w:hAnsi="times"/>
          <w:sz w:val="20"/>
        </w:rPr>
      </w:pPr>
      <w:r>
        <w:rPr>
          <w:rFonts w:ascii="times" w:hAnsi="times"/>
          <w:sz w:val="20"/>
        </w:rPr>
        <w:t xml:space="preserve">Our board of directors will not be required to obtain an opinion of counsel that an amendment will not result in a loss of limited liability to the limited partners if one of the amendments described above under "Amendment of the Partnership AgreementNo Unitholder Approval" should occur. No other amendments to our Partnership Agreement will become effective without the approval of holders of at least 90% of the outstanding units voting as a single class unless we obtain an opinion of counsel to the effect that the amendment will not affect the limited liability under applicable law of any of our limited partners. </w:t>
      </w:r>
    </w:p>
    <w:p>
      <w:pPr>
        <w:pStyle w:val="TextBody"/>
        <w:rPr>
          <w:rFonts w:ascii="times" w:hAnsi="times"/>
        </w:rPr>
      </w:pPr>
      <w:r>
        <w:rPr>
          <w:rFonts w:ascii="times" w:hAnsi="times"/>
          <w:sz w:val="20"/>
        </w:rPr>
        <w:t xml:space="preserve">In addition to the above restrictions, any amendment that would have a material adverse effect on the rights or privileges of any type or class or series of outstanding limited partner interests (other than Preference Units) in relation to other classes or series of limited partner interests will require the approval of at least a majority of the type or class or series of units so affected; </w:t>
      </w:r>
      <w:r>
        <w:rPr>
          <w:rFonts w:ascii="times" w:hAnsi="times"/>
          <w:i/>
          <w:sz w:val="20"/>
        </w:rPr>
        <w:t>provided</w:t>
      </w:r>
      <w:r>
        <w:rPr>
          <w:rFonts w:ascii="times" w:hAnsi="times"/>
          <w:sz w:val="20"/>
        </w:rPr>
        <w:t xml:space="preserve">, </w:t>
      </w:r>
      <w:r>
        <w:rPr>
          <w:rFonts w:ascii="times" w:hAnsi="times"/>
          <w:i/>
          <w:sz w:val="20"/>
        </w:rPr>
        <w:t>however</w:t>
      </w:r>
      <w:r>
        <w:rPr>
          <w:rFonts w:ascii="times" w:hAnsi="times"/>
          <w:sz w:val="20"/>
        </w:rPr>
        <w:t xml:space="preserve">, that any amendment that would have a material adverse effect on the existing terms of the Preference Units will require the approval of at least two-thirds of the outstanding Preference Units. Any amendment that reduces the voting percentage required to take any action must be approved by the affirmative vote of limited partners whose aggregate outstanding units constitute not less than the voting requirement sought to be reduced. </w:t>
      </w:r>
    </w:p>
    <w:p>
      <w:pPr>
        <w:pStyle w:val="TextBody"/>
        <w:ind w:left="200" w:right="0" w:hanging="200"/>
        <w:rPr>
          <w:rFonts w:ascii="times" w:hAnsi="times"/>
          <w:b/>
          <w:sz w:val="20"/>
        </w:rPr>
      </w:pPr>
      <w:bookmarkStart w:id="118" w:name="toc_cc43504_16"/>
      <w:bookmarkStart w:id="119" w:name="cc43504_merger,_sale,_conversi__cc402212"/>
      <w:bookmarkEnd w:id="118"/>
      <w:bookmarkEnd w:id="119"/>
      <w:r>
        <w:rPr>
          <w:rFonts w:ascii="times" w:hAnsi="times"/>
          <w:b/>
          <w:sz w:val="20"/>
        </w:rPr>
        <w:t xml:space="preserve">Merger, Sale, Conversion or Other Disposition of Assets </w:t>
      </w:r>
    </w:p>
    <w:p>
      <w:pPr>
        <w:pStyle w:val="TextBody"/>
        <w:rPr>
          <w:rFonts w:ascii="times" w:hAnsi="times"/>
          <w:sz w:val="20"/>
        </w:rPr>
      </w:pPr>
      <w:r>
        <w:rPr>
          <w:rFonts w:ascii="times" w:hAnsi="times"/>
          <w:sz w:val="20"/>
        </w:rPr>
        <w:t xml:space="preserve">A merger or consolidation of us requires the approval of our board of directors and the prior consent of our general partner and a Unit Majority. However, to the fullest extent permitted by law, our board of directors and our general partner will have no duty or obligation to consent to any merger or consolidation and may decline to do so free of any fiduciary duty or obligation whatsoever to us or the limited partners, including any duty to act in good faith or in the best interests of us or the limited partners. In addition, our Partnership Agreement generally prohibits our board of directors, without the prior approval of our general partner and the holders of units representing a Unit Majority, from causing us to, among other things, sell, exchange or otherwise dispose of all or substantially all of our assets in a single transaction or a series of related transactions, including by way of merger, consolidation or other combination, or approving on our behalf the sale, exchange or other disposition </w:t>
      </w:r>
    </w:p>
    <w:p>
      <w:pPr>
        <w:pStyle w:val="TextBody"/>
        <w:jc w:val="center"/>
        <w:rPr>
          <w:rFonts w:ascii="times" w:hAnsi="times"/>
          <w:sz w:val="20"/>
        </w:rPr>
      </w:pPr>
      <w:r>
        <w:rPr>
          <w:rFonts w:ascii="times" w:hAnsi="times"/>
          <w:sz w:val="20"/>
        </w:rPr>
        <w:t>S-37</w:t>
      </w:r>
    </w:p>
    <w:p>
      <w:pPr>
        <w:pStyle w:val="HorizontalLine"/>
        <w:pBdr>
          <w:bottom w:val="single" w:sz="20" w:space="0" w:color="808080"/>
        </w:pBdr>
        <w:rPr/>
      </w:pPr>
      <w:r>
        <w:rPr/>
      </w:r>
      <w:r>
        <w:br w:type="page"/>
      </w:r>
    </w:p>
    <w:p>
      <w:pPr>
        <w:pStyle w:val="TextBody"/>
        <w:rPr/>
      </w:pPr>
      <w:hyperlink w:anchor="bE43504A_main_toc">
        <w:bookmarkStart w:id="120" w:name="page_cc43504_1_38"/>
        <w:bookmarkEnd w:id="120"/>
        <w:r>
          <w:rPr>
            <w:rStyle w:val="InternetLink"/>
            <w:rFonts w:ascii="times" w:hAnsi="times"/>
            <w:sz w:val="20"/>
          </w:rPr>
          <w:t>Table of Contents</w:t>
        </w:r>
      </w:hyperlink>
    </w:p>
    <w:p>
      <w:pPr>
        <w:pStyle w:val="TextBody"/>
        <w:rPr>
          <w:rFonts w:ascii="times" w:hAnsi="times"/>
          <w:sz w:val="20"/>
        </w:rPr>
      </w:pPr>
      <w:r>
        <w:rPr>
          <w:rFonts w:ascii="times" w:hAnsi="times"/>
          <w:sz w:val="20"/>
        </w:rPr>
        <w:t xml:space="preserve">of all or substantially all of the assets of our subsidiaries taken as a whole. Our board of directors may, however, mortgage, pledge, hypothecate or grant a security interest in all or substantially all of our assets without the prior approval of the holders of units representing a Unit Majority. Our general partner and our board of directors may also determine to sell all or substantially all of our assets under a foreclosure or other realization upon those encumbrances without the approval of the holders of units representing a Unit Majority. </w:t>
      </w:r>
    </w:p>
    <w:p>
      <w:pPr>
        <w:pStyle w:val="TextBody"/>
        <w:rPr>
          <w:rFonts w:ascii="times" w:hAnsi="times"/>
          <w:sz w:val="20"/>
        </w:rPr>
      </w:pPr>
      <w:r>
        <w:rPr>
          <w:rFonts w:ascii="times" w:hAnsi="times"/>
          <w:sz w:val="20"/>
        </w:rPr>
        <w:t xml:space="preserve">If conditions specified in our Partnership Agreement are satisfied, our board of directors, with the consent of our general partner, may convert us or any of our subsidiaries into a new limited liability entity or merge us or any of our subsidiaries into, or convey some or all of our assets to, a newly formed entity if the sole purpose of that merger or conveyance is to effect a mere change in our legal form into another limited liability entity. The unitholders are not entitled to dissenters' rights of appraisal under our Partnership Agreement or applicable law in the event of a conversion, merger or consolidation, sale of substantially all of our assets or any other transaction or event. </w:t>
      </w:r>
    </w:p>
    <w:p>
      <w:pPr>
        <w:pStyle w:val="TextBody"/>
        <w:rPr>
          <w:rFonts w:ascii="times" w:hAnsi="times"/>
          <w:sz w:val="20"/>
        </w:rPr>
      </w:pPr>
      <w:r>
        <w:rPr>
          <w:rFonts w:ascii="times" w:hAnsi="times"/>
          <w:sz w:val="20"/>
        </w:rPr>
        <w:t xml:space="preserve">Immediately before the consummation of a change of control (as defined in the Partnership Agreement) or the consummation of a merger, consolidation or conversion of the partnership, all Class B Units that have not yet converted will automatically convert into Common Units on a one-for-one basis. </w:t>
      </w:r>
    </w:p>
    <w:p>
      <w:pPr>
        <w:pStyle w:val="TextBody"/>
        <w:ind w:left="200" w:right="0" w:hanging="200"/>
        <w:rPr>
          <w:rFonts w:ascii="times" w:hAnsi="times"/>
          <w:b/>
          <w:sz w:val="20"/>
        </w:rPr>
      </w:pPr>
      <w:bookmarkStart w:id="121" w:name="toc_cc43504_17"/>
      <w:bookmarkStart w:id="122" w:name="cc43504_termination_and_dissolution"/>
      <w:bookmarkEnd w:id="121"/>
      <w:bookmarkEnd w:id="122"/>
      <w:r>
        <w:rPr>
          <w:rFonts w:ascii="times" w:hAnsi="times"/>
          <w:b/>
          <w:sz w:val="20"/>
        </w:rPr>
        <w:t xml:space="preserve">Termination and Dissolution </w:t>
      </w:r>
    </w:p>
    <w:p>
      <w:pPr>
        <w:pStyle w:val="TextBody"/>
        <w:rPr>
          <w:rFonts w:ascii="times" w:hAnsi="times"/>
          <w:sz w:val="20"/>
        </w:rPr>
      </w:pPr>
      <w:r>
        <w:rPr>
          <w:rFonts w:ascii="times" w:hAnsi="times"/>
          <w:sz w:val="20"/>
        </w:rPr>
        <w:t xml:space="preserve">We will continue as a limited partnership until terminated or converted under our Partnership Agreement. We will dissolve upon: </w:t>
      </w:r>
    </w:p>
    <w:p>
      <w:pPr>
        <w:pStyle w:val="TextBody"/>
        <w:numPr>
          <w:ilvl w:val="0"/>
          <w:numId w:val="0"/>
        </w:numPr>
        <w:ind w:left="1414" w:hanging="0"/>
        <w:rPr>
          <w:rFonts w:ascii="times" w:hAnsi="times"/>
          <w:sz w:val="20"/>
        </w:rPr>
      </w:pPr>
      <w:r>
        <w:rPr>
          <w:rFonts w:ascii="times" w:hAnsi="times"/>
          <w:sz w:val="20"/>
        </w:rPr>
        <w:t xml:space="preserve">(1)         the election of our general partner and our board of directors to dissolve us, if approved by the holders of units representing a Unit Majority; </w:t>
      </w:r>
    </w:p>
    <w:p>
      <w:pPr>
        <w:pStyle w:val="TextBody"/>
        <w:numPr>
          <w:ilvl w:val="0"/>
          <w:numId w:val="0"/>
        </w:numPr>
        <w:ind w:left="1414" w:hanging="0"/>
        <w:rPr>
          <w:rFonts w:ascii="times" w:hAnsi="times"/>
          <w:sz w:val="20"/>
        </w:rPr>
      </w:pPr>
      <w:r>
        <w:rPr>
          <w:rFonts w:ascii="times" w:hAnsi="times"/>
          <w:sz w:val="20"/>
        </w:rPr>
        <w:t xml:space="preserve">(2)         at any time there are no limited partners, unless we continue without dissolution in accordance with the Marshall Islands Act; </w:t>
      </w:r>
    </w:p>
    <w:p>
      <w:pPr>
        <w:pStyle w:val="TextBody"/>
        <w:numPr>
          <w:ilvl w:val="0"/>
          <w:numId w:val="0"/>
        </w:numPr>
        <w:ind w:left="1414" w:hanging="0"/>
        <w:rPr>
          <w:rFonts w:ascii="times" w:hAnsi="times"/>
          <w:sz w:val="20"/>
        </w:rPr>
      </w:pPr>
      <w:r>
        <w:rPr>
          <w:rFonts w:ascii="times" w:hAnsi="times"/>
          <w:sz w:val="20"/>
        </w:rPr>
        <w:t xml:space="preserve">(3)         the entry of a decree of judicial dissolution of us; or </w:t>
      </w:r>
    </w:p>
    <w:p>
      <w:pPr>
        <w:pStyle w:val="TextBody"/>
        <w:numPr>
          <w:ilvl w:val="0"/>
          <w:numId w:val="0"/>
        </w:numPr>
        <w:ind w:left="1414" w:hanging="0"/>
        <w:rPr>
          <w:rFonts w:ascii="times" w:hAnsi="times"/>
          <w:sz w:val="20"/>
        </w:rPr>
      </w:pPr>
      <w:r>
        <w:rPr>
          <w:rFonts w:ascii="times" w:hAnsi="times"/>
          <w:sz w:val="20"/>
        </w:rPr>
        <w:t xml:space="preserve">(4)         the withdrawal or removal of our general partner or any other event that results in its ceasing to be our general partner other than by reason of a transfer of its general partner interest in accordance with the Partnership Agreement or withdrawal or removal following approval and admission of a successor. </w:t>
      </w:r>
    </w:p>
    <w:p>
      <w:pPr>
        <w:pStyle w:val="TextBody"/>
        <w:rPr>
          <w:rFonts w:ascii="times" w:hAnsi="times"/>
          <w:sz w:val="20"/>
        </w:rPr>
      </w:pPr>
      <w:r>
        <w:rPr>
          <w:rFonts w:ascii="times" w:hAnsi="times"/>
          <w:sz w:val="20"/>
        </w:rPr>
        <w:t xml:space="preserve">Upon a dissolution under clause (4), the holders of a Unit Majority may also elect, within specific time limitations, to continue our business on the same terms and conditions described in the Partnership Agreement by appointing as general partner an entity approved by the holders of units representing a Unit Majority, subject to our receipt of an opinion of counsel to the effect that the action would not result in the loss of limited liability of any limited partner. </w:t>
      </w:r>
    </w:p>
    <w:p>
      <w:pPr>
        <w:pStyle w:val="TextBody"/>
        <w:ind w:left="200" w:right="0" w:hanging="200"/>
        <w:rPr>
          <w:rFonts w:ascii="times" w:hAnsi="times"/>
          <w:b/>
          <w:sz w:val="20"/>
        </w:rPr>
      </w:pPr>
      <w:bookmarkStart w:id="123" w:name="toc_cc43504_18"/>
      <w:bookmarkStart w:id="124" w:name="cc43504_liquidation_and_distribution_of_"/>
      <w:bookmarkEnd w:id="123"/>
      <w:bookmarkEnd w:id="124"/>
      <w:r>
        <w:rPr>
          <w:rFonts w:ascii="times" w:hAnsi="times"/>
          <w:b/>
          <w:sz w:val="20"/>
        </w:rPr>
        <w:t xml:space="preserve">Liquidation and Distribution of Proceeds </w:t>
      </w:r>
    </w:p>
    <w:p>
      <w:pPr>
        <w:pStyle w:val="TextBody"/>
        <w:rPr>
          <w:rFonts w:ascii="times" w:hAnsi="times"/>
          <w:sz w:val="20"/>
        </w:rPr>
      </w:pPr>
      <w:r>
        <w:rPr>
          <w:rFonts w:ascii="times" w:hAnsi="times"/>
          <w:sz w:val="20"/>
        </w:rPr>
        <w:t xml:space="preserve">Upon our dissolution, unless we are continued as a new limited partnership, the liquidator authorized to wind up our affairs will, acting with all of the powers of our board of directors that are necessary or appropriate, liquidate our assets and apply the proceeds of the liquidation as provided in the Partnership Agreement. The liquidator may defer liquidation or distribution of our assets for a reasonable period or distribute assets to partners in kind if it determines that a sale would be impractical or would cause undue loss to our partners. A consolidation or merger of us with or into any </w:t>
      </w:r>
    </w:p>
    <w:p>
      <w:pPr>
        <w:pStyle w:val="TextBody"/>
        <w:jc w:val="center"/>
        <w:rPr>
          <w:rFonts w:ascii="times" w:hAnsi="times"/>
          <w:sz w:val="20"/>
        </w:rPr>
      </w:pPr>
      <w:r>
        <w:rPr>
          <w:rFonts w:ascii="times" w:hAnsi="times"/>
          <w:sz w:val="20"/>
        </w:rPr>
        <w:t>S-38</w:t>
      </w:r>
    </w:p>
    <w:p>
      <w:pPr>
        <w:pStyle w:val="HorizontalLine"/>
        <w:pBdr>
          <w:bottom w:val="single" w:sz="20" w:space="0" w:color="808080"/>
        </w:pBdr>
        <w:rPr/>
      </w:pPr>
      <w:r>
        <w:rPr/>
      </w:r>
      <w:r>
        <w:br w:type="page"/>
      </w:r>
    </w:p>
    <w:p>
      <w:pPr>
        <w:pStyle w:val="TextBody"/>
        <w:rPr/>
      </w:pPr>
      <w:hyperlink w:anchor="bE43504A_main_toc">
        <w:bookmarkStart w:id="125" w:name="page_cc43504_1_39"/>
        <w:bookmarkEnd w:id="125"/>
        <w:r>
          <w:rPr>
            <w:rStyle w:val="InternetLink"/>
            <w:rFonts w:ascii="times" w:hAnsi="times"/>
            <w:sz w:val="20"/>
          </w:rPr>
          <w:t>Table of Contents</w:t>
        </w:r>
      </w:hyperlink>
    </w:p>
    <w:p>
      <w:pPr>
        <w:pStyle w:val="TextBody"/>
        <w:rPr>
          <w:rFonts w:ascii="times" w:hAnsi="times"/>
          <w:sz w:val="20"/>
        </w:rPr>
      </w:pPr>
      <w:r>
        <w:rPr>
          <w:rFonts w:ascii="times" w:hAnsi="times"/>
          <w:sz w:val="20"/>
        </w:rPr>
        <w:t xml:space="preserve">other entity, individually or in a series of transactions, will not be deemed to be a liquidation, dissolution or winding up of our affairs. </w:t>
      </w:r>
    </w:p>
    <w:p>
      <w:pPr>
        <w:pStyle w:val="TextBody"/>
        <w:rPr>
          <w:rFonts w:ascii="times" w:hAnsi="times"/>
          <w:sz w:val="20"/>
        </w:rPr>
      </w:pPr>
      <w:r>
        <w:rPr>
          <w:rFonts w:ascii="times" w:hAnsi="times"/>
          <w:sz w:val="20"/>
        </w:rPr>
        <w:t xml:space="preserve">In the event of any liquidation, dissolution or winding up of our affairs, whether voluntary or involuntary, holders of the Preference Units will generally have the right to receive the liquidation preference of $25.00 per unit plus an amount equal to all accumulated and unpaid distributions thereon to the date of payment, whether or not declared, before any payments are made to holders of our Common Units or general partner units. </w:t>
      </w:r>
    </w:p>
    <w:p>
      <w:pPr>
        <w:pStyle w:val="TextBody"/>
        <w:rPr>
          <w:rFonts w:ascii="times" w:hAnsi="times"/>
          <w:sz w:val="20"/>
        </w:rPr>
      </w:pPr>
      <w:r>
        <w:rPr>
          <w:rFonts w:ascii="times" w:hAnsi="times"/>
          <w:sz w:val="20"/>
        </w:rPr>
        <w:t xml:space="preserve">Immediately upon the dissolution of the partnership, before any liquidation distributions are made, all Class B Units that have not yet converted will automatically convert into Common Units on a one-for-one basis. </w:t>
      </w:r>
    </w:p>
    <w:p>
      <w:pPr>
        <w:pStyle w:val="TextBody"/>
        <w:ind w:left="200" w:right="0" w:hanging="200"/>
        <w:rPr>
          <w:rFonts w:ascii="times" w:hAnsi="times"/>
          <w:b/>
          <w:sz w:val="20"/>
        </w:rPr>
      </w:pPr>
      <w:bookmarkStart w:id="126" w:name="toc_cc43504_19"/>
      <w:bookmarkStart w:id="127" w:name="cc43504_withdrawal_or_removal_of_our_gen"/>
      <w:bookmarkEnd w:id="126"/>
      <w:bookmarkEnd w:id="127"/>
      <w:r>
        <w:rPr>
          <w:rFonts w:ascii="times" w:hAnsi="times"/>
          <w:b/>
          <w:sz w:val="20"/>
        </w:rPr>
        <w:t xml:space="preserve">Withdrawal or Removal of our General Partner </w:t>
      </w:r>
    </w:p>
    <w:p>
      <w:pPr>
        <w:pStyle w:val="TextBody"/>
        <w:rPr>
          <w:rFonts w:ascii="times" w:hAnsi="times"/>
          <w:sz w:val="20"/>
        </w:rPr>
      </w:pPr>
      <w:r>
        <w:rPr>
          <w:rFonts w:ascii="times" w:hAnsi="times"/>
          <w:sz w:val="20"/>
        </w:rPr>
        <w:t xml:space="preserve">Except as described below, our general partner has agreed not to withdraw voluntarily as our general partner prior to March 31, 2024 without obtaining the approval of the holders of at least a majority of the outstanding Common Units, excluding Common Units held by our general partner and its affiliates, and furnishing an opinion of counsel regarding limited liability. On or after March 31, 2024, our general partner may withdraw as general partner without first obtaining approval of any unitholder by giving 90 days' written notice, and that withdrawal will not constitute a violation of the Partnership Agreement. Notwithstanding the above, our general partner may withdraw without unitholder approval upon 90 days' written notice to the limited partners if at least 50% of the outstanding Common Units are held or controlled by one person and its affiliates other than our general partner and its affiliates. In addition, the Partnership Agreement permits our general partner in some instances to sell or otherwise transfer all of its general partner interest in us without the approval of the unitholders. See "Transfer of General Partner Interest". </w:t>
      </w:r>
    </w:p>
    <w:p>
      <w:pPr>
        <w:pStyle w:val="TextBody"/>
        <w:rPr>
          <w:rFonts w:ascii="times" w:hAnsi="times"/>
          <w:sz w:val="20"/>
        </w:rPr>
      </w:pPr>
      <w:r>
        <w:rPr>
          <w:rFonts w:ascii="times" w:hAnsi="times"/>
          <w:sz w:val="20"/>
        </w:rPr>
        <w:t xml:space="preserve">Upon withdrawal of our general partner under any circumstances, other than as a result of a transfer by our general partner of all or a part of its general partner interest in us, the holders of a majority of the outstanding Common Units, may select a successor to that withdrawing general partner. If a successor is not elected, or is elected but an opinion of counsel regarding limited liability cannot be obtained, we will be dissolved, wound up and liquidated, unless within a specified period of time after that withdrawal, the holders of a Unit Majority agree in writing to continue our business and to appoint a successor general partner. See "Termination and Dissolution". </w:t>
      </w:r>
    </w:p>
    <w:p>
      <w:pPr>
        <w:pStyle w:val="TextBody"/>
        <w:rPr>
          <w:rFonts w:ascii="times" w:hAnsi="times"/>
          <w:sz w:val="20"/>
        </w:rPr>
      </w:pPr>
      <w:r>
        <w:rPr>
          <w:rFonts w:ascii="times" w:hAnsi="times"/>
          <w:sz w:val="20"/>
        </w:rPr>
        <w:t>Our general partner may not be removed unless that removal is approved by the vote of the holders of not less than 66</w:t>
      </w:r>
      <w:r>
        <w:rPr>
          <w:rFonts w:ascii="times" w:hAnsi="times"/>
          <w:position w:val="7"/>
          <w:sz w:val="16"/>
          <w:sz w:val="20"/>
        </w:rPr>
        <w:t>2</w:t>
      </w:r>
      <w:r>
        <w:rPr>
          <w:rFonts w:ascii="times" w:hAnsi="times"/>
          <w:sz w:val="20"/>
        </w:rPr>
        <w:t>/</w:t>
      </w:r>
      <w:r>
        <w:rPr>
          <w:rFonts w:ascii="times" w:hAnsi="times"/>
          <w:sz w:val="14"/>
        </w:rPr>
        <w:t>3</w:t>
      </w:r>
      <w:r>
        <w:rPr>
          <w:rFonts w:ascii="times" w:hAnsi="times"/>
          <w:sz w:val="20"/>
        </w:rPr>
        <w:t>% of the outstanding Common Units, including units held by our general partner and its affiliates, voting together as a single class, and we receive an opinion of counsel regarding limited liability. The ownership of more than 33</w:t>
      </w:r>
      <w:r>
        <w:rPr>
          <w:rFonts w:ascii="times" w:hAnsi="times"/>
          <w:position w:val="7"/>
          <w:sz w:val="16"/>
          <w:sz w:val="20"/>
        </w:rPr>
        <w:t>1</w:t>
      </w:r>
      <w:r>
        <w:rPr>
          <w:rFonts w:ascii="times" w:hAnsi="times"/>
          <w:sz w:val="20"/>
        </w:rPr>
        <w:t>/</w:t>
      </w:r>
      <w:r>
        <w:rPr>
          <w:rFonts w:ascii="times" w:hAnsi="times"/>
          <w:sz w:val="14"/>
        </w:rPr>
        <w:t>3</w:t>
      </w:r>
      <w:r>
        <w:rPr>
          <w:rFonts w:ascii="times" w:hAnsi="times"/>
          <w:sz w:val="20"/>
        </w:rPr>
        <w:t xml:space="preserve">% of the outstanding units by our general partner and its affiliates or the control of our board of directors by our general partner and its affiliates would provide the practical ability to prevent our general partner's removal. Any removal of our general partner is also subject to the successor general partner being approved by the vote of the holders of a majority of the outstanding Common Units, voting as a single class. </w:t>
      </w:r>
    </w:p>
    <w:p>
      <w:pPr>
        <w:pStyle w:val="TextBody"/>
        <w:rPr>
          <w:rFonts w:ascii="times" w:hAnsi="times"/>
          <w:sz w:val="20"/>
        </w:rPr>
      </w:pPr>
      <w:r>
        <w:rPr>
          <w:rFonts w:ascii="times" w:hAnsi="times"/>
          <w:sz w:val="20"/>
        </w:rPr>
        <w:t>Our Partnership Agreement also provides that if our general partner is removed as our general partner under circumstances where cause does not exist and units held by our general partner and its affiliates are not voted in favor of that removal:</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all Class B Units will immediately and automatically convert into Common Units on a one-for-one basis; and </w:t>
      </w:r>
    </w:p>
    <w:p>
      <w:pPr>
        <w:pStyle w:val="TextBody"/>
        <w:jc w:val="center"/>
        <w:rPr>
          <w:rFonts w:ascii="times" w:hAnsi="times"/>
          <w:sz w:val="20"/>
        </w:rPr>
      </w:pPr>
      <w:r>
        <w:rPr>
          <w:rFonts w:ascii="times" w:hAnsi="times"/>
          <w:sz w:val="20"/>
        </w:rPr>
        <w:t>S-39</w:t>
      </w:r>
    </w:p>
    <w:p>
      <w:pPr>
        <w:pStyle w:val="HorizontalLine"/>
        <w:pBdr>
          <w:bottom w:val="single" w:sz="20" w:space="0" w:color="808080"/>
        </w:pBdr>
        <w:rPr/>
      </w:pPr>
      <w:r>
        <w:rPr/>
      </w:r>
      <w:r>
        <w:br w:type="page"/>
      </w:r>
    </w:p>
    <w:p>
      <w:pPr>
        <w:pStyle w:val="TextBody"/>
        <w:rPr/>
      </w:pPr>
      <w:hyperlink w:anchor="bE43504A_main_toc">
        <w:bookmarkStart w:id="128" w:name="page_cc43504_1_40"/>
        <w:bookmarkEnd w:id="128"/>
        <w:r>
          <w:rPr>
            <w:rStyle w:val="InternetLink"/>
            <w:rFonts w:ascii="times" w:hAnsi="times"/>
            <w:sz w:val="20"/>
          </w:rPr>
          <w:t>Table of Contents</w:t>
        </w:r>
      </w:hyperlink>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our general partner will have the right to convert its general partner interest into Common Units or to receive cash in exchange for that interest based on the fair market value of that interest at the time. </w:t>
      </w:r>
    </w:p>
    <w:p>
      <w:pPr>
        <w:pStyle w:val="TextBody"/>
        <w:rPr>
          <w:rFonts w:ascii="times" w:hAnsi="times"/>
          <w:sz w:val="20"/>
        </w:rPr>
      </w:pPr>
      <w:r>
        <w:rPr>
          <w:rFonts w:ascii="times" w:hAnsi="times"/>
          <w:sz w:val="20"/>
        </w:rPr>
        <w:t xml:space="preserve">In the event of removal of our general partner under circumstances where cause exists or withdrawal of our general partner where that withdrawal violates the Partnership Agreement, a successor general partner will have the option to purchase the general partner interest owned by the departing general partner for a cash payment equal to the fair market value of that interest. Under all other circumstances where our general partner withdraws or is removed by the limited partners, the departing general partner will have the option to require the successor general partner to purchase the general partner interest of the departing general partner for its fair market value. In each case, this fair market value will be determined by agreement between the departing general partner and the successor general partner. If no agreement is reached, an independent investment banking firm or other independent expert selected by the departing general partner and the successor general partner will determine the fair market value. Or, if the departing general partner and the successor general partner cannot agree upon an expert, then an expert chosen by agreement of the experts selected by each of them will determine the fair market value. </w:t>
      </w:r>
    </w:p>
    <w:p>
      <w:pPr>
        <w:pStyle w:val="TextBody"/>
        <w:rPr>
          <w:rFonts w:ascii="times" w:hAnsi="times"/>
          <w:sz w:val="20"/>
        </w:rPr>
      </w:pPr>
      <w:r>
        <w:rPr>
          <w:rFonts w:ascii="times" w:hAnsi="times"/>
          <w:sz w:val="20"/>
        </w:rPr>
        <w:t xml:space="preserve">If the option described above is not exercised by either the departing general partner or the successor general partner, the departing general partner's general partner interest will automatically convert into Common Units equal to the fair market value of those interests as determined by an independent investment banking firm or other independent expert selected in the manner described in the preceding paragraph. </w:t>
      </w:r>
    </w:p>
    <w:p>
      <w:pPr>
        <w:pStyle w:val="TextBody"/>
        <w:rPr>
          <w:rFonts w:ascii="times" w:hAnsi="times"/>
          <w:sz w:val="20"/>
        </w:rPr>
      </w:pPr>
      <w:r>
        <w:rPr>
          <w:rFonts w:ascii="times" w:hAnsi="times"/>
          <w:sz w:val="20"/>
        </w:rPr>
        <w:t xml:space="preserve">In addition, we will be required to reimburse the departing general partner for all amounts due the departing general partner, including, without limitation, any employee-related liabilities, including severance liabilities, incurred for the termination of any employees employed by the departing general partner or its affiliates for our benefit. </w:t>
      </w:r>
    </w:p>
    <w:p>
      <w:pPr>
        <w:pStyle w:val="TextBody"/>
        <w:ind w:left="200" w:right="0" w:hanging="200"/>
        <w:rPr>
          <w:rFonts w:ascii="times" w:hAnsi="times"/>
          <w:b/>
          <w:sz w:val="20"/>
        </w:rPr>
      </w:pPr>
      <w:bookmarkStart w:id="129" w:name="toc_cc43504_20"/>
      <w:bookmarkStart w:id="130" w:name="cc43504_transfer_of_general_partner_inte"/>
      <w:bookmarkEnd w:id="129"/>
      <w:bookmarkEnd w:id="130"/>
      <w:r>
        <w:rPr>
          <w:rFonts w:ascii="times" w:hAnsi="times"/>
          <w:b/>
          <w:sz w:val="20"/>
        </w:rPr>
        <w:t xml:space="preserve">Transfer of General Partner Interest </w:t>
      </w:r>
    </w:p>
    <w:p>
      <w:pPr>
        <w:pStyle w:val="TextBody"/>
        <w:rPr>
          <w:rFonts w:ascii="times" w:hAnsi="times"/>
          <w:sz w:val="20"/>
        </w:rPr>
      </w:pPr>
      <w:r>
        <w:rPr>
          <w:rFonts w:ascii="times" w:hAnsi="times"/>
          <w:sz w:val="20"/>
        </w:rPr>
        <w:t>Except for the transfer by our general partner of all, but not less than all, of its general partner interest in us to:</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an affiliate of our general partner (other than an individual); or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another entity as part of the merger or consolidation of our general partner with or into another entity or the transfer by our general partner of all or substantially all of its assets to another entity, </w:t>
      </w:r>
    </w:p>
    <w:p>
      <w:pPr>
        <w:pStyle w:val="TextBody"/>
        <w:rPr>
          <w:rFonts w:ascii="times" w:hAnsi="times"/>
          <w:sz w:val="20"/>
        </w:rPr>
      </w:pPr>
      <w:r>
        <w:rPr>
          <w:rFonts w:ascii="times" w:hAnsi="times"/>
          <w:sz w:val="20"/>
        </w:rPr>
        <w:t xml:space="preserve">our general partner may not transfer all or any part of its general partner interest in us to another person prior to March 31, 2024, without the approval of the holders of at least a majority of the outstanding Common Units, excluding Common Units held by our general partner and its affiliates. As a condition of this transfer, the transferee must, among other things, assume the rights and duties of the general partner, agree to be bound by the provisions of the Partnership Agreement and furnish an opinion of counsel regarding limited liability. </w:t>
      </w:r>
    </w:p>
    <w:p>
      <w:pPr>
        <w:pStyle w:val="TextBody"/>
        <w:rPr>
          <w:rFonts w:ascii="times" w:hAnsi="times"/>
          <w:sz w:val="20"/>
        </w:rPr>
      </w:pPr>
      <w:r>
        <w:rPr>
          <w:rFonts w:ascii="times" w:hAnsi="times"/>
          <w:sz w:val="20"/>
        </w:rPr>
        <w:t xml:space="preserve">Our general partner and its affiliates may at any time transfer units to one or more persons, without unitholder approval. </w:t>
      </w:r>
    </w:p>
    <w:p>
      <w:pPr>
        <w:pStyle w:val="TextBody"/>
        <w:jc w:val="center"/>
        <w:rPr>
          <w:rFonts w:ascii="times" w:hAnsi="times"/>
          <w:sz w:val="20"/>
        </w:rPr>
      </w:pPr>
      <w:r>
        <w:rPr>
          <w:rFonts w:ascii="times" w:hAnsi="times"/>
          <w:sz w:val="20"/>
        </w:rPr>
        <w:t>S-40</w:t>
      </w:r>
    </w:p>
    <w:p>
      <w:pPr>
        <w:pStyle w:val="HorizontalLine"/>
        <w:pBdr>
          <w:bottom w:val="single" w:sz="20" w:space="0" w:color="808080"/>
        </w:pBdr>
        <w:rPr/>
      </w:pPr>
      <w:r>
        <w:rPr/>
      </w:r>
      <w:r>
        <w:br w:type="page"/>
      </w:r>
    </w:p>
    <w:p>
      <w:pPr>
        <w:pStyle w:val="TextBody"/>
        <w:rPr/>
      </w:pPr>
      <w:hyperlink w:anchor="bE43504A_main_toc">
        <w:bookmarkStart w:id="131" w:name="page_cc43504_1_41"/>
        <w:bookmarkEnd w:id="131"/>
        <w:r>
          <w:rPr>
            <w:rStyle w:val="InternetLink"/>
            <w:rFonts w:ascii="times" w:hAnsi="times"/>
            <w:sz w:val="20"/>
          </w:rPr>
          <w:t>Table of Contents</w:t>
        </w:r>
      </w:hyperlink>
    </w:p>
    <w:p>
      <w:pPr>
        <w:pStyle w:val="TextBody"/>
        <w:ind w:left="200" w:right="0" w:hanging="200"/>
        <w:rPr>
          <w:rFonts w:ascii="times" w:hAnsi="times"/>
          <w:b/>
          <w:sz w:val="20"/>
        </w:rPr>
      </w:pPr>
      <w:bookmarkStart w:id="132" w:name="toc_cc43504_21"/>
      <w:bookmarkStart w:id="133" w:name="cc43504_transfer_of_ownership_interests_"/>
      <w:bookmarkEnd w:id="132"/>
      <w:bookmarkEnd w:id="133"/>
      <w:r>
        <w:rPr>
          <w:rFonts w:ascii="times" w:hAnsi="times"/>
          <w:b/>
          <w:sz w:val="20"/>
        </w:rPr>
        <w:t xml:space="preserve">Transfer of Ownership Interests in General Partner </w:t>
      </w:r>
    </w:p>
    <w:p>
      <w:pPr>
        <w:pStyle w:val="TextBody"/>
        <w:rPr>
          <w:rFonts w:ascii="times" w:hAnsi="times"/>
          <w:sz w:val="20"/>
        </w:rPr>
      </w:pPr>
      <w:r>
        <w:rPr>
          <w:rFonts w:ascii="times" w:hAnsi="times"/>
          <w:sz w:val="20"/>
        </w:rPr>
        <w:t xml:space="preserve">At any time, the members of our general partner may sell or transfer all or part of their respective membership interests in our general partner to an affiliate or a third party without the approval of our unitholders. </w:t>
      </w:r>
    </w:p>
    <w:p>
      <w:pPr>
        <w:pStyle w:val="TextBody"/>
        <w:ind w:left="200" w:right="0" w:hanging="200"/>
        <w:rPr>
          <w:rFonts w:ascii="times" w:hAnsi="times"/>
          <w:b/>
          <w:sz w:val="20"/>
        </w:rPr>
      </w:pPr>
      <w:bookmarkStart w:id="134" w:name="toc_cc43504_22"/>
      <w:bookmarkStart w:id="135" w:name="cc43504_transfer_of_common_uni__cc402456"/>
      <w:bookmarkEnd w:id="134"/>
      <w:bookmarkEnd w:id="135"/>
      <w:r>
        <w:rPr>
          <w:rFonts w:ascii="times" w:hAnsi="times"/>
          <w:b/>
          <w:sz w:val="20"/>
        </w:rPr>
        <w:t xml:space="preserve">Transfer of Common Units, Class B Units and Preference Units </w:t>
      </w:r>
    </w:p>
    <w:p>
      <w:pPr>
        <w:pStyle w:val="TextBody"/>
        <w:rPr>
          <w:rFonts w:ascii="times" w:hAnsi="times"/>
          <w:sz w:val="20"/>
        </w:rPr>
      </w:pPr>
      <w:r>
        <w:rPr>
          <w:rFonts w:ascii="times" w:hAnsi="times"/>
          <w:sz w:val="20"/>
        </w:rPr>
        <w:t>By transfer of Common Units, Class B Units or Preference Units in accordance with the Partnership Agreement , each transferee of Common Units, Class B Units or Preference Units automatically is admitted as a limited partner with respect to the Common Units, Class B Units or Preference Units transferred when such transfer and admission is reflected in our books and records. We will cause any transfers to be recorded on our books and records no less frequently than quarterly. Each transferee automatically is deemed to:</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represent that the transferee has the capacity, power and authority to become bound by the Partnership Agreement;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agree to be bound by the terms and conditions of, and to have executed, the Partnership Agreement;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grant power of attorney to officers of our general partner and any liquidator of us as specified in the Partnership Agreement; and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give the consents and approvals contained in the Partnership Agreement. </w:t>
      </w:r>
    </w:p>
    <w:p>
      <w:pPr>
        <w:pStyle w:val="TextBody"/>
        <w:rPr>
          <w:rFonts w:ascii="times" w:hAnsi="times"/>
          <w:sz w:val="20"/>
        </w:rPr>
      </w:pPr>
      <w:r>
        <w:rPr>
          <w:rFonts w:ascii="times" w:hAnsi="times"/>
          <w:sz w:val="20"/>
        </w:rPr>
        <w:t xml:space="preserve">We are entitled to treat the nominee holder of a Common Unit, Class B Unit or a Preference Unit as the absolute owner. In that case, the beneficial holder's rights are limited solely to those that it has against the nominee holder as a result of any agreement between the beneficial owner and the nominee holder. </w:t>
      </w:r>
    </w:p>
    <w:p>
      <w:pPr>
        <w:pStyle w:val="TextBody"/>
        <w:rPr>
          <w:rFonts w:ascii="times" w:hAnsi="times"/>
          <w:sz w:val="20"/>
        </w:rPr>
      </w:pPr>
      <w:r>
        <w:rPr>
          <w:rFonts w:ascii="times" w:hAnsi="times"/>
          <w:sz w:val="20"/>
        </w:rPr>
        <w:t xml:space="preserve">Common Units, Class B Units and Preference Units are securities and are transferable according to the laws governing transfer of securities. In addition to other rights acquired upon transfer, the transferor gives the transferee the right to become a limited partner in our partnership for the transferred units. </w:t>
      </w:r>
    </w:p>
    <w:p>
      <w:pPr>
        <w:pStyle w:val="TextBody"/>
        <w:rPr>
          <w:rFonts w:ascii="times" w:hAnsi="times"/>
          <w:sz w:val="20"/>
        </w:rPr>
      </w:pPr>
      <w:r>
        <w:rPr>
          <w:rFonts w:ascii="times" w:hAnsi="times"/>
          <w:sz w:val="20"/>
        </w:rPr>
        <w:t xml:space="preserve">Until a Common Unit, Class B Unit or a Preference Unit has been transferred on our books, we and our transfer agent may treat the record holder of the unit as the absolute owner of such unit for all purposes, except as otherwise required by law or stock exchange regulations. </w:t>
      </w:r>
    </w:p>
    <w:p>
      <w:pPr>
        <w:pStyle w:val="TextBody"/>
        <w:ind w:left="200" w:right="0" w:hanging="200"/>
        <w:rPr>
          <w:rFonts w:ascii="times" w:hAnsi="times"/>
          <w:b/>
          <w:sz w:val="20"/>
        </w:rPr>
      </w:pPr>
      <w:bookmarkStart w:id="136" w:name="toc_cc43504_23"/>
      <w:bookmarkStart w:id="137" w:name="cc43504_change_of_management_provisions"/>
      <w:bookmarkEnd w:id="136"/>
      <w:bookmarkEnd w:id="137"/>
      <w:r>
        <w:rPr>
          <w:rFonts w:ascii="times" w:hAnsi="times"/>
          <w:b/>
          <w:sz w:val="20"/>
        </w:rPr>
        <w:t xml:space="preserve">Change of Management Provisions </w:t>
      </w:r>
    </w:p>
    <w:p>
      <w:pPr>
        <w:pStyle w:val="TextBody"/>
        <w:rPr>
          <w:rFonts w:ascii="times" w:hAnsi="times"/>
          <w:sz w:val="20"/>
        </w:rPr>
      </w:pPr>
      <w:r>
        <w:rPr>
          <w:rFonts w:ascii="times" w:hAnsi="times"/>
          <w:sz w:val="20"/>
        </w:rPr>
        <w:t xml:space="preserve">The Partnership Agreement contains specific provisions that are intended to discourage a person or group from attempting to remove GasLog Partners GP LLC as our general partner or otherwise change management. If any person or group acquires beneficial ownership of more than 4.9% of any class or series of units then outstanding, that person or group loses voting rights on all of its units in excess of 4.9% of all such units. Our general partner, its affiliates and persons who acquired Common Units with the prior approval of our board of directors will not be subject to this 4.9% limitation except with respect to voting their Common Units in the election of the elected directors. This loss of voting rights does not apply to the Preference Units. </w:t>
      </w:r>
    </w:p>
    <w:p>
      <w:pPr>
        <w:pStyle w:val="TextBody"/>
        <w:jc w:val="center"/>
        <w:rPr>
          <w:rFonts w:ascii="times" w:hAnsi="times"/>
          <w:sz w:val="20"/>
        </w:rPr>
      </w:pPr>
      <w:r>
        <w:rPr>
          <w:rFonts w:ascii="times" w:hAnsi="times"/>
          <w:sz w:val="20"/>
        </w:rPr>
        <w:t>S-41</w:t>
      </w:r>
    </w:p>
    <w:p>
      <w:pPr>
        <w:pStyle w:val="HorizontalLine"/>
        <w:pBdr>
          <w:bottom w:val="single" w:sz="20" w:space="0" w:color="808080"/>
        </w:pBdr>
        <w:rPr/>
      </w:pPr>
      <w:r>
        <w:rPr/>
      </w:r>
      <w:r>
        <w:br w:type="page"/>
      </w:r>
    </w:p>
    <w:p>
      <w:pPr>
        <w:pStyle w:val="TextBody"/>
        <w:rPr/>
      </w:pPr>
      <w:hyperlink w:anchor="bE43504A_main_toc">
        <w:bookmarkStart w:id="138" w:name="page_cc43504_1_42"/>
        <w:bookmarkEnd w:id="138"/>
        <w:r>
          <w:rPr>
            <w:rStyle w:val="InternetLink"/>
            <w:rFonts w:ascii="times" w:hAnsi="times"/>
            <w:sz w:val="20"/>
          </w:rPr>
          <w:t>Table of Contents</w:t>
        </w:r>
      </w:hyperlink>
    </w:p>
    <w:p>
      <w:pPr>
        <w:pStyle w:val="TextBody"/>
        <w:rPr>
          <w:rFonts w:ascii="times" w:hAnsi="times"/>
          <w:sz w:val="20"/>
        </w:rPr>
      </w:pPr>
      <w:r>
        <w:rPr>
          <w:rFonts w:ascii="times" w:hAnsi="times"/>
          <w:sz w:val="20"/>
        </w:rPr>
        <w:t>The Partnership Agreement also provides that if our general partner is removed under circumstances where cause does not exist and units held by our general partner and its affiliates are not voted in favor of that removal:</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all Class B Units will immediately and automatically convert into Common Units on a one-for-one basis; and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our general partner will have the right to convert its general partner interest into Common Units or to receive cash in exchange for that interest. </w:t>
      </w:r>
    </w:p>
    <w:p>
      <w:pPr>
        <w:pStyle w:val="TextBody"/>
        <w:ind w:left="200" w:right="0" w:hanging="200"/>
        <w:rPr>
          <w:rFonts w:ascii="times" w:hAnsi="times"/>
          <w:b/>
          <w:sz w:val="20"/>
        </w:rPr>
      </w:pPr>
      <w:bookmarkStart w:id="139" w:name="toc_cc43504_24"/>
      <w:bookmarkStart w:id="140" w:name="cc43504_limited_call_right"/>
      <w:bookmarkEnd w:id="139"/>
      <w:bookmarkEnd w:id="140"/>
      <w:r>
        <w:rPr>
          <w:rFonts w:ascii="times" w:hAnsi="times"/>
          <w:b/>
          <w:sz w:val="20"/>
        </w:rPr>
        <w:t xml:space="preserve">Limited Call Right </w:t>
      </w:r>
    </w:p>
    <w:p>
      <w:pPr>
        <w:pStyle w:val="TextBody"/>
        <w:rPr>
          <w:rFonts w:ascii="times" w:hAnsi="times"/>
          <w:sz w:val="20"/>
        </w:rPr>
      </w:pPr>
      <w:r>
        <w:rPr>
          <w:rFonts w:ascii="times" w:hAnsi="times"/>
          <w:sz w:val="20"/>
        </w:rPr>
        <w:t xml:space="preserve">If at any time our general partner and its affiliates hold more than 80% of the then-issued and outstanding partnership interests of any class or series, except for the Class B Units and Preference Units, our general partner will have the right, which it may assign in whole or in part to any of its affiliates or to us, to acquire all, but not less than all, of the remaining partnership interests of the class held by unaffiliated persons as of a record date to be selected by the general partner, on at least ten but not more than 60 days' written notice at a price equal to the greater of (x) the average of the daily closing prices of the partnership interests of such class over the 20 trading days preceding the date three days before the notice of exercise of the call right is first mailed and (y) the highest price paid by our general partner or any of its affiliates for partnership interests of such class during the 90-day period preceding the date such notice is first mailed. Our general partner is not obligated to obtain a fairness opinion regarding the value of the Partnership interests to be repurchased by it upon the exercise of this limited call right and has no fiduciary duty in determining whether to exercise this limited call right. </w:t>
      </w:r>
    </w:p>
    <w:p>
      <w:pPr>
        <w:pStyle w:val="TextBody"/>
        <w:rPr>
          <w:rFonts w:ascii="times" w:hAnsi="times"/>
          <w:sz w:val="20"/>
        </w:rPr>
      </w:pPr>
      <w:r>
        <w:rPr>
          <w:rFonts w:ascii="times" w:hAnsi="times"/>
          <w:sz w:val="20"/>
        </w:rPr>
        <w:t xml:space="preserve">As a result of the general partner's right to purchase outstanding partnership interests, a holder of partnership interests may have the holder's partnership interests (except for the Class B Units and Preference Units) purchased at an undesirable time or price. The tax consequences to a unitholder of the exercise of this call right are the same as a sale by that unitholder of units in the market. See "Material U.S. Federal Income Tax Considerations" and "Non-United States Tax Considerations". </w:t>
      </w:r>
    </w:p>
    <w:p>
      <w:pPr>
        <w:pStyle w:val="TextBody"/>
        <w:ind w:left="200" w:right="0" w:hanging="200"/>
        <w:rPr>
          <w:rFonts w:ascii="times" w:hAnsi="times"/>
          <w:b/>
          <w:sz w:val="20"/>
        </w:rPr>
      </w:pPr>
      <w:bookmarkStart w:id="141" w:name="toc_cc43504_25"/>
      <w:bookmarkStart w:id="142" w:name="cc43504_board_of_directors"/>
      <w:bookmarkEnd w:id="141"/>
      <w:bookmarkEnd w:id="142"/>
      <w:r>
        <w:rPr>
          <w:rFonts w:ascii="times" w:hAnsi="times"/>
          <w:b/>
          <w:sz w:val="20"/>
        </w:rPr>
        <w:t xml:space="preserve">Board of Directors </w:t>
      </w:r>
    </w:p>
    <w:p>
      <w:pPr>
        <w:pStyle w:val="TextBody"/>
        <w:rPr>
          <w:rFonts w:ascii="times" w:hAnsi="times"/>
          <w:sz w:val="20"/>
        </w:rPr>
      </w:pPr>
      <w:r>
        <w:rPr>
          <w:rFonts w:ascii="times" w:hAnsi="times"/>
          <w:sz w:val="20"/>
        </w:rPr>
        <w:t xml:space="preserve">Under our Partnership Agreement, our general partner has delegated to our board of directors the authority to oversee and direct our operations, policies and management on an exclusive basis, and such delegation will be binding on any successor general partner of the partnership. As of October 9, 2020, our board of directors is comprised of five persons. Our general partner has appointed three of our five directors and the Common Unitholders elected the remaining two directors. Four of our directors meet the independence standards of the NYSE, two of which also qualify as independent of GasLog under our Partnership Agreement, so as to be eligible for membership on our conflicts committee. If our general partner exercises its right to transfer the power to elect a majority of our directors to the Common Unitholders, an additional director will thereafter be elected by our Common Unitholders. </w:t>
      </w:r>
    </w:p>
    <w:p>
      <w:pPr>
        <w:pStyle w:val="TextBody"/>
        <w:rPr>
          <w:rFonts w:ascii="times" w:hAnsi="times"/>
          <w:sz w:val="20"/>
        </w:rPr>
      </w:pPr>
      <w:r>
        <w:rPr>
          <w:rFonts w:ascii="times" w:hAnsi="times"/>
          <w:sz w:val="20"/>
        </w:rPr>
        <w:t xml:space="preserve">Under certain limited circumstances, holders of our Preference Units (voting together as a class with any other Parity Securities) may elect one additional director to serve on our board of directors, at which point our general partner would similarly be entitled, at its election, to appoint one additional director to serve for only as long a period of time as the director elected by the holders of Preference Units and any other Parity Securities. </w:t>
      </w:r>
    </w:p>
    <w:p>
      <w:pPr>
        <w:pStyle w:val="TextBody"/>
        <w:jc w:val="center"/>
        <w:rPr>
          <w:rFonts w:ascii="times" w:hAnsi="times"/>
          <w:sz w:val="20"/>
        </w:rPr>
      </w:pPr>
      <w:r>
        <w:rPr>
          <w:rFonts w:ascii="times" w:hAnsi="times"/>
          <w:sz w:val="20"/>
        </w:rPr>
        <w:t>S-42</w:t>
      </w:r>
    </w:p>
    <w:p>
      <w:pPr>
        <w:pStyle w:val="HorizontalLine"/>
        <w:pBdr>
          <w:bottom w:val="single" w:sz="20" w:space="0" w:color="808080"/>
        </w:pBdr>
        <w:rPr/>
      </w:pPr>
      <w:r>
        <w:rPr/>
      </w:r>
      <w:r>
        <w:br w:type="page"/>
      </w:r>
    </w:p>
    <w:p>
      <w:pPr>
        <w:pStyle w:val="TextBody"/>
        <w:rPr/>
      </w:pPr>
      <w:hyperlink w:anchor="bE43504A_main_toc">
        <w:bookmarkStart w:id="143" w:name="page_cc43504_1_43"/>
        <w:bookmarkEnd w:id="143"/>
        <w:r>
          <w:rPr>
            <w:rStyle w:val="InternetLink"/>
            <w:rFonts w:ascii="times" w:hAnsi="times"/>
            <w:sz w:val="20"/>
          </w:rPr>
          <w:t>Table of Contents</w:t>
        </w:r>
      </w:hyperlink>
    </w:p>
    <w:p>
      <w:pPr>
        <w:pStyle w:val="TextBody"/>
        <w:rPr>
          <w:rFonts w:ascii="times" w:hAnsi="times"/>
          <w:sz w:val="20"/>
        </w:rPr>
      </w:pPr>
      <w:r>
        <w:rPr>
          <w:rFonts w:ascii="times" w:hAnsi="times"/>
          <w:sz w:val="20"/>
        </w:rPr>
        <w:t>Our board of directors nominates individuals to stand for election as elected board members on a staggered basis at an annual meeting of our limited partners. In addition, any limited partner or group of limited partners that holds beneficially 10% or more of the outstanding Common Units is entitled to nominate one or more individuals to stand for election as elected board members at the annual meeting by providing written notice to our board of directors not more than 120 days nor less than 90 days prior to the meeting. However, if the date of the annual meeting is not publicly announced by us at least 100 days prior to the date of the meeting, the notice must be delivered to our board of directors not later than ten days following the public announcement of the meeting date. The notice must set forth:</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the name and address of the limited partner or limited partners making the nomination or nominations;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the number of Common Units beneficially owned by the limited partner or limited partners;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the information regarding the nominee(s) proposed by the limited partner or limited partners as would be required to be included in a proxy statement relating to the solicitation of proxies for the election of directors filed pursuant to the proxy rules of the SEC;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the written consent of the nominee(s) to serve as a member of our board of directors if so elected; and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a certification that the nominee(s) qualify as elected board members. </w:t>
      </w:r>
    </w:p>
    <w:p>
      <w:pPr>
        <w:pStyle w:val="TextBody"/>
        <w:rPr>
          <w:rFonts w:ascii="times" w:hAnsi="times"/>
          <w:sz w:val="20"/>
        </w:rPr>
      </w:pPr>
      <w:r>
        <w:rPr>
          <w:rFonts w:ascii="times" w:hAnsi="times"/>
          <w:sz w:val="20"/>
        </w:rPr>
        <w:t xml:space="preserve">Our general partner may remove an appointed board member with or without cause at any time. "Cause" generally means a court's finding a person liable for actual fraud or willful misconduct in his or its capacity as a director. Any and all of the board members may be removed at any time for cause by the affirmative vote of a majority of the other board members. Any and all of the board members appointed by our general partner may be removed for cause at a properly called meeting of the limited partners by a majority vote of the outstanding units, voting as a single class. If any appointed board member is removed, resigns or is otherwise unable to serve as a board member, our general partner may fill the vacancy. Any and all of the board members elected by the Common Unitholders may be removed for cause at a properly called meeting of the limited partners by a majority vote of the outstanding Common Units. If any elected board member is removed, resigns or is otherwise unable to serve as a board member, the vacancy may be filled by a majority of the other elected board members then serving. </w:t>
      </w:r>
    </w:p>
    <w:p>
      <w:pPr>
        <w:pStyle w:val="TextBody"/>
        <w:ind w:left="200" w:right="0" w:hanging="200"/>
        <w:rPr>
          <w:rFonts w:ascii="times" w:hAnsi="times"/>
          <w:b/>
          <w:sz w:val="20"/>
        </w:rPr>
      </w:pPr>
      <w:bookmarkStart w:id="144" w:name="toc_cc43504_26"/>
      <w:bookmarkStart w:id="145" w:name="cc43504_meetings;_voting"/>
      <w:bookmarkEnd w:id="144"/>
      <w:bookmarkEnd w:id="145"/>
      <w:r>
        <w:rPr>
          <w:rFonts w:ascii="times" w:hAnsi="times"/>
          <w:b/>
          <w:sz w:val="20"/>
        </w:rPr>
        <w:t xml:space="preserve">Meetings; Voting </w:t>
      </w:r>
    </w:p>
    <w:p>
      <w:pPr>
        <w:pStyle w:val="TextBody"/>
        <w:rPr>
          <w:rFonts w:ascii="times" w:hAnsi="times"/>
          <w:sz w:val="20"/>
        </w:rPr>
      </w:pPr>
      <w:r>
        <w:rPr>
          <w:rFonts w:ascii="times" w:hAnsi="times"/>
          <w:sz w:val="20"/>
        </w:rPr>
        <w:t xml:space="preserve">Unlike the holders of common stock in a corporation, the holders of our Common Units have only limited voting rights on matters affecting our business. On those matters that are submitted to a vote of Common Unitholders, each record holder of a Common Unit may vote according to the holder's percentage interest in us of all holders entitled to vote on such matter, although additional limited partner interests having special voting rights could be issued. Holders of the Class B Units and Preference Units generally have no voting rights. However, holders of the Preference Units have limited voting rights as described under "Voting Rights". </w:t>
      </w:r>
    </w:p>
    <w:p>
      <w:pPr>
        <w:pStyle w:val="TextBody"/>
        <w:rPr>
          <w:rFonts w:ascii="times" w:hAnsi="times"/>
          <w:sz w:val="20"/>
        </w:rPr>
      </w:pPr>
      <w:r>
        <w:rPr>
          <w:rFonts w:ascii="times" w:hAnsi="times"/>
          <w:sz w:val="20"/>
        </w:rPr>
        <w:t xml:space="preserve">Except as described below regarding a person or group owning more than 4.9% of any class or series of limited partner interests then outstanding, limited partners who are record holders of units on the record date will be entitled to notice of, and to vote at, meetings of our limited partners and to act upon matters for which approvals may be solicited. </w:t>
      </w:r>
    </w:p>
    <w:p>
      <w:pPr>
        <w:pStyle w:val="TextBody"/>
        <w:jc w:val="center"/>
        <w:rPr>
          <w:rFonts w:ascii="times" w:hAnsi="times"/>
          <w:sz w:val="20"/>
        </w:rPr>
      </w:pPr>
      <w:r>
        <w:rPr>
          <w:rFonts w:ascii="times" w:hAnsi="times"/>
          <w:sz w:val="20"/>
        </w:rPr>
        <w:t>S-43</w:t>
      </w:r>
    </w:p>
    <w:p>
      <w:pPr>
        <w:pStyle w:val="HorizontalLine"/>
        <w:pBdr>
          <w:bottom w:val="single" w:sz="20" w:space="0" w:color="808080"/>
        </w:pBdr>
        <w:rPr/>
      </w:pPr>
      <w:r>
        <w:rPr/>
      </w:r>
      <w:r>
        <w:br w:type="page"/>
      </w:r>
    </w:p>
    <w:p>
      <w:pPr>
        <w:pStyle w:val="TextBody"/>
        <w:rPr/>
      </w:pPr>
      <w:hyperlink w:anchor="bE43504A_main_toc">
        <w:bookmarkStart w:id="146" w:name="page_cc43504_1_44"/>
        <w:bookmarkEnd w:id="146"/>
        <w:r>
          <w:rPr>
            <w:rStyle w:val="InternetLink"/>
            <w:rFonts w:ascii="times" w:hAnsi="times"/>
            <w:sz w:val="20"/>
          </w:rPr>
          <w:t>Table of Contents</w:t>
        </w:r>
      </w:hyperlink>
    </w:p>
    <w:p>
      <w:pPr>
        <w:pStyle w:val="TextBody"/>
        <w:rPr>
          <w:rFonts w:ascii="times" w:hAnsi="times"/>
          <w:sz w:val="20"/>
        </w:rPr>
      </w:pPr>
      <w:r>
        <w:rPr>
          <w:rFonts w:ascii="times" w:hAnsi="times"/>
          <w:sz w:val="20"/>
        </w:rPr>
        <w:t>We hold a meeting of the limited partners every year to elect one or more members of our board of directors and to vote on any other matters that are properly brought before the meeting. Any action that is required or permitted to be taken by our limited partners, or any applicable class thereof, may be taken either at a meeting of the applicable limited partners or without a meeting if consents in writing describing the action so taken are signed by holders of the number of limited partner interests necessary to authorize or take that action at a meeting. Meetings of our limited partners may be called by our board of directors or by limited partners owning at least 20% of the outstanding limited partner interests of the class for which a meeting is proposed. Limited partners may vote either in person or by proxy at meetings. The holders of 33</w:t>
      </w:r>
      <w:r>
        <w:rPr>
          <w:rFonts w:ascii="times" w:hAnsi="times"/>
          <w:position w:val="7"/>
          <w:sz w:val="16"/>
          <w:sz w:val="20"/>
        </w:rPr>
        <w:t>1</w:t>
      </w:r>
      <w:r>
        <w:rPr>
          <w:rFonts w:ascii="times" w:hAnsi="times"/>
          <w:sz w:val="20"/>
        </w:rPr>
        <w:t>/</w:t>
      </w:r>
      <w:r>
        <w:rPr>
          <w:rFonts w:ascii="times" w:hAnsi="times"/>
          <w:sz w:val="14"/>
        </w:rPr>
        <w:t>3</w:t>
      </w:r>
      <w:r>
        <w:rPr>
          <w:rFonts w:ascii="times" w:hAnsi="times"/>
          <w:sz w:val="20"/>
        </w:rPr>
        <w:t xml:space="preserve">% of the outstanding limited partner interests of the class, classes or series for which a meeting has been called, represented in person or by proxy, will constitute a quorum unless any action by the limited partners requires approval by holders of a greater percentage of the limited partner interests, in which case the quorum will be the greater percentage. </w:t>
      </w:r>
    </w:p>
    <w:p>
      <w:pPr>
        <w:pStyle w:val="TextBody"/>
        <w:rPr>
          <w:rFonts w:ascii="times" w:hAnsi="times"/>
          <w:sz w:val="20"/>
        </w:rPr>
      </w:pPr>
      <w:r>
        <w:rPr>
          <w:rFonts w:ascii="times" w:hAnsi="times"/>
          <w:sz w:val="20"/>
        </w:rPr>
        <w:t xml:space="preserve">Each record holder of a unit may vote according to the holder's percentage interest in us, although additional limited partner interests having special voting rights could be issued. See "Issuance of Additional Interests". However, if at any time, any person or group owns beneficially more than 4.9% of any class of units then outstanding, except for Class B Units and Preference Units, any such limited partner interests owned by that person or group in excess of 4.9% may not be voted on any matter and will not be considered to be outstanding when sending notices of a meeting of limited partners, calculating required votes (except for purposes of nominating a person for election to our board of directors), determining the presence of a quorum or for other similar purposes under our Partnership Agreement, unless otherwise required by law. Effectively, this means that the voting rights of any such limited partners in excess of 4.9% will be redistributed pro rata among the other limited partners of such class or series holding less than 4.9% of the voting power of all classes of limited partner interests entitled to vote. Our general partner, its affiliates and persons who acquired Common Units with the prior approval of our board of directors will not be subject to this 4.9% limitation except with respect to voting their Common Units in the election of the elected directors. This limitation will help our ability to claim an exemption from U.S. federal income tax under Section 883 of the Code in the event our general partner, by virtue of its general partner interest, transfers the power to elect a majority of our directors to the Common Unitholders. Units held in nominee or street name account will be voted by the broker or other nominee in accordance with the instruction of the beneficial owner unless the arrangement between the beneficial owner and his nominee provides otherwise. </w:t>
      </w:r>
    </w:p>
    <w:p>
      <w:pPr>
        <w:pStyle w:val="TextBody"/>
        <w:rPr>
          <w:rFonts w:ascii="times" w:hAnsi="times"/>
          <w:sz w:val="20"/>
        </w:rPr>
      </w:pPr>
      <w:r>
        <w:rPr>
          <w:rFonts w:ascii="times" w:hAnsi="times"/>
          <w:sz w:val="20"/>
        </w:rPr>
        <w:t xml:space="preserve">Any notice, demand, request, report or proxy material required or permitted to be given or made to record holders of Common Units or Preference Units under the Partnership Agreement will be delivered to the record holder by us or by the transfer agent. </w:t>
      </w:r>
    </w:p>
    <w:p>
      <w:pPr>
        <w:pStyle w:val="TextBody"/>
        <w:ind w:left="200" w:right="0" w:hanging="200"/>
        <w:rPr>
          <w:rFonts w:ascii="times" w:hAnsi="times"/>
          <w:b/>
          <w:sz w:val="20"/>
        </w:rPr>
      </w:pPr>
      <w:bookmarkStart w:id="147" w:name="toc_cc43504_27"/>
      <w:bookmarkStart w:id="148" w:name="cc43504_status_as_limited_partner_or_ass"/>
      <w:bookmarkEnd w:id="147"/>
      <w:bookmarkEnd w:id="148"/>
      <w:r>
        <w:rPr>
          <w:rFonts w:ascii="times" w:hAnsi="times"/>
          <w:b/>
          <w:sz w:val="20"/>
        </w:rPr>
        <w:t xml:space="preserve">Status as Limited Partner or Assignee </w:t>
      </w:r>
    </w:p>
    <w:p>
      <w:pPr>
        <w:pStyle w:val="TextBody"/>
        <w:rPr>
          <w:rFonts w:ascii="times" w:hAnsi="times"/>
          <w:sz w:val="20"/>
        </w:rPr>
      </w:pPr>
      <w:r>
        <w:rPr>
          <w:rFonts w:ascii="times" w:hAnsi="times"/>
          <w:sz w:val="20"/>
        </w:rPr>
        <w:t xml:space="preserve">Except as described above under "Limited Liability", the Common Units and Preference Units will be fully paid, and unitholders will not be required to make additional contributions. By transfer of Common Units or Preference Units in accordance with our Partnership Agreement, each transferee of units will be admitted as a limited partner with respect to the units transferred when such transfer and admission is reflected in our books and records. </w:t>
      </w:r>
    </w:p>
    <w:p>
      <w:pPr>
        <w:pStyle w:val="TextBody"/>
        <w:ind w:left="200" w:right="0" w:hanging="200"/>
        <w:rPr>
          <w:rFonts w:ascii="times" w:hAnsi="times"/>
          <w:b/>
          <w:sz w:val="20"/>
        </w:rPr>
      </w:pPr>
      <w:bookmarkStart w:id="149" w:name="toc_cc43504_28"/>
      <w:bookmarkStart w:id="150" w:name="cc43504_indemnification"/>
      <w:bookmarkEnd w:id="149"/>
      <w:bookmarkEnd w:id="150"/>
      <w:r>
        <w:rPr>
          <w:rFonts w:ascii="times" w:hAnsi="times"/>
          <w:b/>
          <w:sz w:val="20"/>
        </w:rPr>
        <w:t xml:space="preserve">Indemnification </w:t>
      </w:r>
    </w:p>
    <w:p>
      <w:pPr>
        <w:pStyle w:val="TextBody"/>
        <w:rPr>
          <w:rFonts w:ascii="times" w:hAnsi="times"/>
          <w:sz w:val="20"/>
        </w:rPr>
      </w:pPr>
      <w:r>
        <w:rPr>
          <w:rFonts w:ascii="times" w:hAnsi="times"/>
          <w:sz w:val="20"/>
        </w:rPr>
        <w:t xml:space="preserve">Under the Partnership Agreement, in most circumstances, we will indemnify the following persons, to the fullest extent permitted by law, from and against all losses, claims, damages or similar events: </w:t>
      </w:r>
    </w:p>
    <w:p>
      <w:pPr>
        <w:pStyle w:val="TextBody"/>
        <w:numPr>
          <w:ilvl w:val="0"/>
          <w:numId w:val="0"/>
        </w:numPr>
        <w:ind w:left="1414" w:hanging="0"/>
        <w:rPr>
          <w:rFonts w:ascii="times" w:hAnsi="times"/>
          <w:sz w:val="20"/>
        </w:rPr>
      </w:pPr>
      <w:r>
        <w:rPr>
          <w:rFonts w:ascii="times" w:hAnsi="times"/>
          <w:sz w:val="20"/>
        </w:rPr>
        <w:t xml:space="preserve">(1)         our general partner; </w:t>
      </w:r>
    </w:p>
    <w:p>
      <w:pPr>
        <w:pStyle w:val="TextBody"/>
        <w:jc w:val="center"/>
        <w:rPr>
          <w:rFonts w:ascii="times" w:hAnsi="times"/>
          <w:sz w:val="20"/>
        </w:rPr>
      </w:pPr>
      <w:r>
        <w:rPr>
          <w:rFonts w:ascii="times" w:hAnsi="times"/>
          <w:sz w:val="20"/>
        </w:rPr>
        <w:t>S-44</w:t>
      </w:r>
    </w:p>
    <w:p>
      <w:pPr>
        <w:pStyle w:val="HorizontalLine"/>
        <w:pBdr>
          <w:bottom w:val="single" w:sz="20" w:space="0" w:color="808080"/>
        </w:pBdr>
        <w:rPr/>
      </w:pPr>
      <w:r>
        <w:rPr/>
      </w:r>
      <w:r>
        <w:br w:type="page"/>
      </w:r>
    </w:p>
    <w:p>
      <w:pPr>
        <w:pStyle w:val="TextBody"/>
        <w:rPr/>
      </w:pPr>
      <w:hyperlink w:anchor="bE43504A_main_toc">
        <w:bookmarkStart w:id="151" w:name="page_cc43504_1_45"/>
        <w:bookmarkEnd w:id="151"/>
        <w:r>
          <w:rPr>
            <w:rStyle w:val="InternetLink"/>
            <w:rFonts w:ascii="times" w:hAnsi="times"/>
            <w:sz w:val="20"/>
          </w:rPr>
          <w:t>Table of Contents</w:t>
        </w:r>
      </w:hyperlink>
    </w:p>
    <w:p>
      <w:pPr>
        <w:pStyle w:val="TextBody"/>
        <w:numPr>
          <w:ilvl w:val="0"/>
          <w:numId w:val="0"/>
        </w:numPr>
        <w:ind w:left="1414" w:hanging="0"/>
        <w:rPr>
          <w:rFonts w:ascii="times" w:hAnsi="times"/>
          <w:sz w:val="20"/>
        </w:rPr>
      </w:pPr>
      <w:r>
        <w:rPr>
          <w:rFonts w:ascii="times" w:hAnsi="times"/>
          <w:sz w:val="20"/>
        </w:rPr>
        <w:t xml:space="preserve">(2)         any departing general partner; </w:t>
      </w:r>
    </w:p>
    <w:p>
      <w:pPr>
        <w:pStyle w:val="TextBody"/>
        <w:numPr>
          <w:ilvl w:val="0"/>
          <w:numId w:val="0"/>
        </w:numPr>
        <w:ind w:left="1414" w:hanging="0"/>
        <w:rPr>
          <w:rFonts w:ascii="times" w:hAnsi="times"/>
          <w:sz w:val="20"/>
        </w:rPr>
      </w:pPr>
      <w:r>
        <w:rPr>
          <w:rFonts w:ascii="times" w:hAnsi="times"/>
          <w:sz w:val="20"/>
        </w:rPr>
        <w:t xml:space="preserve">(3)         any person who is or was an affiliate of our general partner or any departing general partner; </w:t>
      </w:r>
    </w:p>
    <w:p>
      <w:pPr>
        <w:pStyle w:val="TextBody"/>
        <w:numPr>
          <w:ilvl w:val="0"/>
          <w:numId w:val="0"/>
        </w:numPr>
        <w:ind w:left="1414" w:hanging="0"/>
        <w:rPr>
          <w:rFonts w:ascii="times" w:hAnsi="times"/>
          <w:sz w:val="20"/>
        </w:rPr>
      </w:pPr>
      <w:r>
        <w:rPr>
          <w:rFonts w:ascii="times" w:hAnsi="times"/>
          <w:sz w:val="20"/>
        </w:rPr>
        <w:t xml:space="preserve">(4)         any person who is or was an officer, director, member, fiduciary or trustee of any entity described in (1), (2) or (3) above; </w:t>
      </w:r>
    </w:p>
    <w:p>
      <w:pPr>
        <w:pStyle w:val="TextBody"/>
        <w:numPr>
          <w:ilvl w:val="0"/>
          <w:numId w:val="0"/>
        </w:numPr>
        <w:ind w:left="1414" w:hanging="0"/>
        <w:rPr>
          <w:rFonts w:ascii="times" w:hAnsi="times"/>
          <w:sz w:val="20"/>
        </w:rPr>
      </w:pPr>
      <w:r>
        <w:rPr>
          <w:rFonts w:ascii="times" w:hAnsi="times"/>
          <w:sz w:val="20"/>
        </w:rPr>
        <w:t xml:space="preserve">(5)         any person who is or was serving as a director, officer, member, fiduciary or trustee of another person at the request of our board of directors, our general partner or any departing general partner; </w:t>
      </w:r>
    </w:p>
    <w:p>
      <w:pPr>
        <w:pStyle w:val="TextBody"/>
        <w:numPr>
          <w:ilvl w:val="0"/>
          <w:numId w:val="0"/>
        </w:numPr>
        <w:ind w:left="1414" w:hanging="0"/>
        <w:rPr>
          <w:rFonts w:ascii="times" w:hAnsi="times"/>
          <w:sz w:val="20"/>
        </w:rPr>
      </w:pPr>
      <w:r>
        <w:rPr>
          <w:rFonts w:ascii="times" w:hAnsi="times"/>
          <w:sz w:val="20"/>
        </w:rPr>
        <w:t xml:space="preserve">(6)         our officers; </w:t>
      </w:r>
    </w:p>
    <w:p>
      <w:pPr>
        <w:pStyle w:val="TextBody"/>
        <w:numPr>
          <w:ilvl w:val="0"/>
          <w:numId w:val="0"/>
        </w:numPr>
        <w:ind w:left="1414" w:hanging="0"/>
        <w:rPr>
          <w:rFonts w:ascii="times" w:hAnsi="times"/>
          <w:sz w:val="20"/>
        </w:rPr>
      </w:pPr>
      <w:r>
        <w:rPr>
          <w:rFonts w:ascii="times" w:hAnsi="times"/>
          <w:sz w:val="20"/>
        </w:rPr>
        <w:t xml:space="preserve">(7)         any person designated by our board of directors; and </w:t>
      </w:r>
    </w:p>
    <w:p>
      <w:pPr>
        <w:pStyle w:val="TextBody"/>
        <w:numPr>
          <w:ilvl w:val="0"/>
          <w:numId w:val="0"/>
        </w:numPr>
        <w:ind w:left="1414" w:hanging="0"/>
        <w:rPr>
          <w:rFonts w:ascii="times" w:hAnsi="times"/>
          <w:sz w:val="20"/>
        </w:rPr>
      </w:pPr>
      <w:r>
        <w:rPr>
          <w:rFonts w:ascii="times" w:hAnsi="times"/>
          <w:sz w:val="20"/>
        </w:rPr>
        <w:t xml:space="preserve">(8)         the members of our board of directors. </w:t>
      </w:r>
    </w:p>
    <w:p>
      <w:pPr>
        <w:pStyle w:val="TextBody"/>
        <w:rPr>
          <w:rFonts w:ascii="times" w:hAnsi="times"/>
          <w:sz w:val="20"/>
        </w:rPr>
      </w:pPr>
      <w:r>
        <w:rPr>
          <w:rFonts w:ascii="times" w:hAnsi="times"/>
          <w:sz w:val="20"/>
        </w:rPr>
        <w:t xml:space="preserve">Any indemnification under these provisions will only be out of our assets. We may purchase insurance against liabilities asserted against and expenses incurred by persons for our activities, regardless of whether we would have the power to indemnify the person against liabilities under the Partnership Agreement. </w:t>
      </w:r>
    </w:p>
    <w:p>
      <w:pPr>
        <w:pStyle w:val="TextBody"/>
        <w:ind w:left="200" w:right="0" w:hanging="200"/>
        <w:rPr>
          <w:rFonts w:ascii="times" w:hAnsi="times"/>
          <w:b/>
          <w:sz w:val="20"/>
        </w:rPr>
      </w:pPr>
      <w:bookmarkStart w:id="152" w:name="toc_cc43504_29"/>
      <w:bookmarkStart w:id="153" w:name="cc43504_reimbursement_of_expenses"/>
      <w:bookmarkEnd w:id="152"/>
      <w:bookmarkEnd w:id="153"/>
      <w:r>
        <w:rPr>
          <w:rFonts w:ascii="times" w:hAnsi="times"/>
          <w:b/>
          <w:sz w:val="20"/>
        </w:rPr>
        <w:t xml:space="preserve">Reimbursement of Expenses </w:t>
      </w:r>
    </w:p>
    <w:p>
      <w:pPr>
        <w:pStyle w:val="TextBody"/>
        <w:rPr>
          <w:rFonts w:ascii="times" w:hAnsi="times"/>
          <w:sz w:val="20"/>
        </w:rPr>
      </w:pPr>
      <w:r>
        <w:rPr>
          <w:rFonts w:ascii="times" w:hAnsi="times"/>
          <w:sz w:val="20"/>
        </w:rPr>
        <w:t xml:space="preserve">Our Partnership Agreement requires us to reimburse the members of our board of directors for their out-of-pocket costs and expenses incurred in the course of their service to us. Our Partnership Agreement also requires us to reimburse our general partner for all expenses it incurs or payments it makes on our behalf and all other expenses allocable to us or otherwise incurred by our general partner in connection with operating our business. These expenses include salary, bonus, incentive compensation and other amounts paid to persons who perform services for us or on our behalf, and expenses allocated to us or our general partner by our board of directors. </w:t>
      </w:r>
    </w:p>
    <w:p>
      <w:pPr>
        <w:pStyle w:val="TextBody"/>
        <w:ind w:left="200" w:right="0" w:hanging="200"/>
        <w:rPr>
          <w:rFonts w:ascii="times" w:hAnsi="times"/>
          <w:b/>
          <w:sz w:val="20"/>
        </w:rPr>
      </w:pPr>
      <w:bookmarkStart w:id="154" w:name="toc_cc43504_30"/>
      <w:bookmarkStart w:id="155" w:name="cc43504_books_and_reports"/>
      <w:bookmarkEnd w:id="154"/>
      <w:bookmarkEnd w:id="155"/>
      <w:r>
        <w:rPr>
          <w:rFonts w:ascii="times" w:hAnsi="times"/>
          <w:b/>
          <w:sz w:val="20"/>
        </w:rPr>
        <w:t xml:space="preserve">Books and Reports </w:t>
      </w:r>
    </w:p>
    <w:p>
      <w:pPr>
        <w:pStyle w:val="TextBody"/>
        <w:rPr>
          <w:rFonts w:ascii="times" w:hAnsi="times"/>
          <w:sz w:val="20"/>
        </w:rPr>
      </w:pPr>
      <w:r>
        <w:rPr>
          <w:rFonts w:ascii="times" w:hAnsi="times"/>
          <w:sz w:val="20"/>
        </w:rPr>
        <w:t xml:space="preserve">Our general partner is required to keep appropriate books and records of our business at our principal offices. The books will be maintained for both tax and financial reporting purposes on an accrual basis. For tax and financial reporting purposes, our fiscal year is the calendar year. </w:t>
      </w:r>
    </w:p>
    <w:p>
      <w:pPr>
        <w:pStyle w:val="TextBody"/>
        <w:ind w:left="200" w:right="0" w:hanging="200"/>
        <w:rPr>
          <w:rFonts w:ascii="times" w:hAnsi="times"/>
          <w:b/>
          <w:sz w:val="20"/>
        </w:rPr>
      </w:pPr>
      <w:bookmarkStart w:id="156" w:name="toc_cc43504_31"/>
      <w:bookmarkStart w:id="157" w:name="cc43504_right_to_inspect_our_books_and_r"/>
      <w:bookmarkEnd w:id="156"/>
      <w:bookmarkEnd w:id="157"/>
      <w:r>
        <w:rPr>
          <w:rFonts w:ascii="times" w:hAnsi="times"/>
          <w:b/>
          <w:sz w:val="20"/>
        </w:rPr>
        <w:t xml:space="preserve">Right to Inspect Our Books and Records </w:t>
      </w:r>
    </w:p>
    <w:p>
      <w:pPr>
        <w:pStyle w:val="TextBody"/>
        <w:rPr>
          <w:rFonts w:ascii="times" w:hAnsi="times"/>
          <w:sz w:val="20"/>
        </w:rPr>
      </w:pPr>
      <w:r>
        <w:rPr>
          <w:rFonts w:ascii="times" w:hAnsi="times"/>
          <w:sz w:val="20"/>
        </w:rPr>
        <w:t xml:space="preserve">The Partnership Agreement provides that a limited partner can, for a purpose reasonably related to his interest as a limited partner, upon reasonable written demand stating the purpose of such demand and at the limited partner's own expense, have furnished to the limited partner: </w:t>
      </w:r>
    </w:p>
    <w:p>
      <w:pPr>
        <w:pStyle w:val="TextBody"/>
        <w:numPr>
          <w:ilvl w:val="0"/>
          <w:numId w:val="0"/>
        </w:numPr>
        <w:ind w:left="1414" w:hanging="0"/>
        <w:rPr>
          <w:rFonts w:ascii="times" w:hAnsi="times"/>
          <w:sz w:val="20"/>
        </w:rPr>
      </w:pPr>
      <w:r>
        <w:rPr>
          <w:rFonts w:ascii="times" w:hAnsi="times"/>
          <w:sz w:val="20"/>
        </w:rPr>
        <w:t xml:space="preserve">(1)         a current list of the name and last known address of each partner; </w:t>
      </w:r>
    </w:p>
    <w:p>
      <w:pPr>
        <w:pStyle w:val="TextBody"/>
        <w:numPr>
          <w:ilvl w:val="0"/>
          <w:numId w:val="0"/>
        </w:numPr>
        <w:ind w:left="1414" w:hanging="0"/>
        <w:rPr>
          <w:rFonts w:ascii="times" w:hAnsi="times"/>
          <w:sz w:val="20"/>
        </w:rPr>
      </w:pPr>
      <w:r>
        <w:rPr>
          <w:rFonts w:ascii="times" w:hAnsi="times"/>
          <w:sz w:val="20"/>
        </w:rPr>
        <w:t xml:space="preserve">(2)         information as to the amount of cash, and a description and statement of the agreed value of any other property or services, contributed or to be contributed by each partner and the date on which each became a partner; </w:t>
      </w:r>
    </w:p>
    <w:p>
      <w:pPr>
        <w:pStyle w:val="TextBody"/>
        <w:numPr>
          <w:ilvl w:val="0"/>
          <w:numId w:val="0"/>
        </w:numPr>
        <w:ind w:left="1414" w:hanging="0"/>
        <w:rPr>
          <w:rFonts w:ascii="times" w:hAnsi="times"/>
          <w:sz w:val="20"/>
        </w:rPr>
      </w:pPr>
      <w:r>
        <w:rPr>
          <w:rFonts w:ascii="times" w:hAnsi="times"/>
          <w:sz w:val="20"/>
        </w:rPr>
        <w:t xml:space="preserve">(3)         copies of the Partnership Agreement, the certificate of limited partnership of the partnership and related amendments; </w:t>
      </w:r>
    </w:p>
    <w:p>
      <w:pPr>
        <w:pStyle w:val="TextBody"/>
        <w:jc w:val="center"/>
        <w:rPr>
          <w:rFonts w:ascii="times" w:hAnsi="times"/>
          <w:sz w:val="20"/>
        </w:rPr>
      </w:pPr>
      <w:r>
        <w:rPr>
          <w:rFonts w:ascii="times" w:hAnsi="times"/>
          <w:sz w:val="20"/>
        </w:rPr>
        <w:t>S-45</w:t>
      </w:r>
    </w:p>
    <w:p>
      <w:pPr>
        <w:pStyle w:val="HorizontalLine"/>
        <w:pBdr>
          <w:bottom w:val="single" w:sz="20" w:space="0" w:color="808080"/>
        </w:pBdr>
        <w:rPr/>
      </w:pPr>
      <w:r>
        <w:rPr/>
      </w:r>
      <w:r>
        <w:br w:type="page"/>
      </w:r>
    </w:p>
    <w:p>
      <w:pPr>
        <w:pStyle w:val="TextBody"/>
        <w:rPr/>
      </w:pPr>
      <w:hyperlink w:anchor="bE43504A_main_toc">
        <w:bookmarkStart w:id="158" w:name="page_cc43504_1_46"/>
        <w:bookmarkEnd w:id="158"/>
        <w:r>
          <w:rPr>
            <w:rStyle w:val="InternetLink"/>
            <w:rFonts w:ascii="times" w:hAnsi="times"/>
            <w:sz w:val="20"/>
          </w:rPr>
          <w:t>Table of Contents</w:t>
        </w:r>
      </w:hyperlink>
    </w:p>
    <w:p>
      <w:pPr>
        <w:pStyle w:val="TextBody"/>
        <w:numPr>
          <w:ilvl w:val="0"/>
          <w:numId w:val="0"/>
        </w:numPr>
        <w:ind w:left="1414" w:hanging="0"/>
        <w:rPr>
          <w:rFonts w:ascii="times" w:hAnsi="times"/>
          <w:sz w:val="20"/>
        </w:rPr>
      </w:pPr>
      <w:r>
        <w:rPr>
          <w:rFonts w:ascii="times" w:hAnsi="times"/>
          <w:sz w:val="20"/>
        </w:rPr>
        <w:t xml:space="preserve">(4)         information regarding the status of our business and financial position; and </w:t>
      </w:r>
    </w:p>
    <w:p>
      <w:pPr>
        <w:pStyle w:val="TextBody"/>
        <w:numPr>
          <w:ilvl w:val="0"/>
          <w:numId w:val="0"/>
        </w:numPr>
        <w:ind w:left="1414" w:hanging="0"/>
        <w:rPr>
          <w:rFonts w:ascii="times" w:hAnsi="times"/>
          <w:sz w:val="20"/>
        </w:rPr>
      </w:pPr>
      <w:r>
        <w:rPr>
          <w:rFonts w:ascii="times" w:hAnsi="times"/>
          <w:sz w:val="20"/>
        </w:rPr>
        <w:t xml:space="preserve">(5)         any other information regarding our affairs as is just and reasonable. </w:t>
      </w:r>
    </w:p>
    <w:p>
      <w:pPr>
        <w:pStyle w:val="TextBody"/>
        <w:rPr>
          <w:rFonts w:ascii="times" w:hAnsi="times"/>
          <w:sz w:val="20"/>
        </w:rPr>
      </w:pPr>
      <w:r>
        <w:rPr>
          <w:rFonts w:ascii="times" w:hAnsi="times"/>
          <w:sz w:val="20"/>
        </w:rPr>
        <w:t xml:space="preserve">Our board of directors may, and intends to, keep confidential from the limited partners trade secrets or other information the disclosure of which our board of directors believes in good faith is not in our best interests or that we are required by law or by agreements with third parties to keep confidential. </w:t>
      </w:r>
    </w:p>
    <w:p>
      <w:pPr>
        <w:pStyle w:val="TextBody"/>
        <w:ind w:left="200" w:right="0" w:hanging="200"/>
        <w:rPr>
          <w:rFonts w:ascii="times" w:hAnsi="times"/>
          <w:b/>
          <w:sz w:val="20"/>
        </w:rPr>
      </w:pPr>
      <w:bookmarkStart w:id="159" w:name="toc_cc43504_32"/>
      <w:bookmarkStart w:id="160" w:name="cc43504_registration_rights"/>
      <w:bookmarkEnd w:id="159"/>
      <w:bookmarkEnd w:id="160"/>
      <w:r>
        <w:rPr>
          <w:rFonts w:ascii="times" w:hAnsi="times"/>
          <w:b/>
          <w:sz w:val="20"/>
        </w:rPr>
        <w:t xml:space="preserve">Registration Rights </w:t>
      </w:r>
    </w:p>
    <w:p>
      <w:pPr>
        <w:pStyle w:val="TextBody"/>
        <w:rPr>
          <w:rFonts w:ascii="times" w:hAnsi="times"/>
          <w:sz w:val="20"/>
        </w:rPr>
      </w:pPr>
      <w:r>
        <w:rPr>
          <w:rFonts w:ascii="times" w:hAnsi="times"/>
          <w:sz w:val="20"/>
        </w:rPr>
        <w:t xml:space="preserve">Under the Partnership Agreement, we have agreed to register for resale under the Securities Act and applicable state securities laws any Common Units or other partnership interests proposed to be sold by our general partner or any of its affiliates or their assignees if an exemption from the registration requirements is not otherwise available or advisable. These registration rights continue for two years following any withdrawal or removal of GasLog Partners GP LLC as our general partner. We are obligated to pay all expenses incidental to the registration, excluding underwriting discounts and commissions. In connection with these registration rights, we will not be required to pay any damages or penalties related to any delay or failure to file a registration statement or to cause a registration statement to become effective. </w:t>
      </w:r>
    </w:p>
    <w:p>
      <w:pPr>
        <w:pStyle w:val="TextBody"/>
        <w:jc w:val="center"/>
        <w:rPr>
          <w:rFonts w:ascii="times" w:hAnsi="times"/>
          <w:sz w:val="20"/>
        </w:rPr>
      </w:pPr>
      <w:r>
        <w:rPr>
          <w:rFonts w:ascii="times" w:hAnsi="times"/>
          <w:sz w:val="20"/>
        </w:rPr>
        <w:t>S-46</w:t>
      </w:r>
    </w:p>
    <w:p>
      <w:pPr>
        <w:pStyle w:val="HorizontalLine"/>
        <w:pBdr>
          <w:bottom w:val="single" w:sz="20" w:space="0" w:color="808080"/>
        </w:pBdr>
        <w:rPr/>
      </w:pPr>
      <w:r>
        <w:rPr/>
      </w:r>
      <w:r>
        <w:br w:type="page"/>
      </w:r>
    </w:p>
    <w:p>
      <w:pPr>
        <w:pStyle w:val="TextBody"/>
        <w:rPr/>
      </w:pPr>
      <w:hyperlink w:anchor="bE43504A_main_toc">
        <w:bookmarkStart w:id="161" w:name="page_ce43504_1_47"/>
        <w:bookmarkEnd w:id="161"/>
        <w:r>
          <w:rPr>
            <w:rStyle w:val="InternetLink"/>
            <w:rFonts w:ascii="times" w:hAnsi="times"/>
            <w:sz w:val="20"/>
          </w:rPr>
          <w:t>Table of Contents</w:t>
        </w:r>
      </w:hyperlink>
      <w:r>
        <w:rPr>
          <w:rFonts w:ascii="times" w:hAnsi="times"/>
          <w:sz w:val="20"/>
        </w:rPr>
        <w:t xml:space="preserve"> </w:t>
      </w:r>
    </w:p>
    <w:p>
      <w:pPr>
        <w:pStyle w:val="TextBody"/>
        <w:jc w:val="center"/>
        <w:rPr>
          <w:rFonts w:ascii="times" w:hAnsi="times"/>
        </w:rPr>
      </w:pPr>
      <w:bookmarkStart w:id="162" w:name="toc_ce43504_1"/>
      <w:bookmarkStart w:id="163" w:name="ce43504_our_cash_distribution_policy_a__"/>
      <w:bookmarkEnd w:id="162"/>
      <w:bookmarkEnd w:id="163"/>
      <w:r>
        <w:rPr>
          <w:rFonts w:ascii="times" w:hAnsi="times"/>
          <w:sz w:val="20"/>
        </w:rPr>
        <w:br/>
      </w:r>
      <w:r>
        <w:rPr>
          <w:rFonts w:ascii="times" w:hAnsi="times"/>
          <w:b/>
          <w:sz w:val="20"/>
        </w:rPr>
        <w:t xml:space="preserve">OUR CASH DISTRIBUTION POLICY AND RESTRICTIONS ON DISTRIBUTIONS </w:t>
      </w:r>
    </w:p>
    <w:p>
      <w:pPr>
        <w:pStyle w:val="TextBody"/>
        <w:ind w:left="200" w:right="0" w:hanging="200"/>
        <w:rPr>
          <w:rFonts w:ascii="times" w:hAnsi="times"/>
          <w:b/>
          <w:i/>
          <w:sz w:val="20"/>
        </w:rPr>
      </w:pPr>
      <w:r>
        <w:rPr>
          <w:rFonts w:ascii="times" w:hAnsi="times"/>
          <w:b/>
          <w:i/>
          <w:sz w:val="20"/>
        </w:rPr>
        <w:t xml:space="preserve">Rationale for Our Cash Distribution Policy </w:t>
      </w:r>
    </w:p>
    <w:p>
      <w:pPr>
        <w:pStyle w:val="TextBody"/>
        <w:rPr/>
      </w:pPr>
      <w:r>
        <w:rPr/>
        <w:t>              </w:t>
      </w:r>
      <w:r>
        <w:rPr>
          <w:rFonts w:ascii="times" w:hAnsi="times"/>
          <w:sz w:val="20"/>
        </w:rPr>
        <w:t xml:space="preserve">Following a number of challenging years for capital markets in the midstream energy sector along with declining visibility into the Partnership's future financial performance, which has been exacerbated by the COVID-19 pandemic, and related uncertainty in the near term LNG and LNG shipping markets, in November 2020 our board of directors decided to reduce our quarterly cash distributions on our common units to $0.01 per unit starting from the third quarter of 2020. </w:t>
      </w:r>
    </w:p>
    <w:p>
      <w:pPr>
        <w:pStyle w:val="TextBody"/>
        <w:rPr/>
      </w:pPr>
      <w:r>
        <w:rPr/>
        <w:t>              </w:t>
      </w:r>
      <w:r>
        <w:rPr>
          <w:rFonts w:ascii="times" w:hAnsi="times"/>
          <w:sz w:val="20"/>
        </w:rPr>
        <w:t xml:space="preserve">As a result, the Partnership will retain approximately $22 million annually, allowing it to preserve liquidity during this period of COVID-19-related uncertainty. We believe this action will further strengthen the Partnership's balance sheet, lower the fleet's breakeven, reduce its cost of capital and further enhance its competitive positioning. The Partnership expects to maintain this new policy for the immediate future. </w:t>
      </w:r>
    </w:p>
    <w:p>
      <w:pPr>
        <w:pStyle w:val="TextBody"/>
        <w:ind w:left="200" w:right="0" w:hanging="200"/>
        <w:rPr>
          <w:rFonts w:ascii="times" w:hAnsi="times"/>
          <w:b/>
          <w:i/>
          <w:sz w:val="20"/>
        </w:rPr>
      </w:pPr>
      <w:r>
        <w:rPr>
          <w:rFonts w:ascii="times" w:hAnsi="times"/>
          <w:b/>
          <w:i/>
          <w:sz w:val="20"/>
        </w:rPr>
        <w:t xml:space="preserve">Limitations on Cash Distributions and Our Ability to Change Our Cash Distribution Policy </w:t>
      </w:r>
    </w:p>
    <w:p>
      <w:pPr>
        <w:pStyle w:val="TextBody"/>
        <w:rPr/>
      </w:pPr>
      <w:r>
        <w:rPr/>
        <w:t>              </w:t>
      </w:r>
      <w:r>
        <w:rPr>
          <w:rFonts w:ascii="times" w:hAnsi="times"/>
          <w:sz w:val="20"/>
        </w:rPr>
        <w:t>There is no guarantee that unitholders will receive quarterly distributions from us. As discussed above, our current quarterly cash distribution is $0.01 per common unit. Our distribution policy is subject to certain restrictions and may be changed at any time, including:</w:t>
      </w:r>
    </w:p>
    <w:p>
      <w:pPr>
        <w:pStyle w:val="ListHeading"/>
        <w:numPr>
          <w:ilvl w:val="0"/>
          <w:numId w:val="0"/>
        </w:numPr>
        <w:spacing w:before="0" w:after="0"/>
        <w:ind w:left="1414" w:right="0" w:hanging="0"/>
        <w:rPr>
          <w:rFonts w:ascii="times" w:hAnsi="times"/>
          <w:sz w:val="20"/>
        </w:rPr>
      </w:pPr>
      <w:r>
        <w:rPr>
          <w:rFonts w:ascii="times" w:hAnsi="times"/>
          <w:sz w:val="20"/>
        </w:rPr>
        <w:t></w:t>
      </w:r>
    </w:p>
    <w:p>
      <w:pPr>
        <w:pStyle w:val="ListContents"/>
        <w:numPr>
          <w:ilvl w:val="0"/>
          <w:numId w:val="0"/>
        </w:numPr>
        <w:spacing w:before="0" w:after="283"/>
        <w:ind w:left="1981" w:right="0" w:hanging="0"/>
        <w:rPr>
          <w:rFonts w:ascii="times" w:hAnsi="times"/>
          <w:sz w:val="20"/>
        </w:rPr>
      </w:pPr>
      <w:r>
        <w:rPr>
          <w:rFonts w:ascii="times" w:hAnsi="times"/>
          <w:sz w:val="20"/>
        </w:rPr>
        <w:t xml:space="preserve">Our common unitholders have no contractual or legal right to receive distributions unless there is available cash at the end of each quarter as defined in our partnership agreement and the Preference Unit distributions have been paid. The determination of available cash is subject to the broad discretion of our board of directors to establish reserves and other limitations and to take into consideration our debt service obligations. </w:t>
      </w:r>
    </w:p>
    <w:p>
      <w:pPr>
        <w:pStyle w:val="ListHeading"/>
        <w:numPr>
          <w:ilvl w:val="0"/>
          <w:numId w:val="0"/>
        </w:numPr>
        <w:spacing w:before="0" w:after="0"/>
        <w:ind w:left="1414" w:right="0" w:hanging="0"/>
        <w:rPr>
          <w:rFonts w:ascii="times" w:hAnsi="times"/>
          <w:sz w:val="20"/>
        </w:rPr>
      </w:pPr>
      <w:r>
        <w:rPr>
          <w:rFonts w:ascii="times" w:hAnsi="times"/>
          <w:sz w:val="20"/>
        </w:rPr>
        <w:t></w:t>
      </w:r>
    </w:p>
    <w:p>
      <w:pPr>
        <w:pStyle w:val="ListContents"/>
        <w:numPr>
          <w:ilvl w:val="0"/>
          <w:numId w:val="0"/>
        </w:numPr>
        <w:spacing w:before="0" w:after="283"/>
        <w:ind w:left="1981" w:right="0" w:hanging="0"/>
        <w:rPr>
          <w:rFonts w:ascii="times" w:hAnsi="times"/>
          <w:sz w:val="20"/>
        </w:rPr>
      </w:pPr>
      <w:r>
        <w:rPr>
          <w:rFonts w:ascii="times" w:hAnsi="times"/>
          <w:sz w:val="20"/>
        </w:rPr>
        <w:t xml:space="preserve">We are subject to restrictions on distributions under our financing agreements. Our financing agreements contain material financial tests and covenants that must be satisfied in order to pay distributions. If we are unable to satisfy the restrictions included in any of our financing agreements or are otherwise in default under any of those agreements, as a result of our debt levels or otherwise, we will not be able to make cash distributions to you, notwithstanding our stated cash distribution policy. These financial tests and covenants are described in "Item 5. Operating and Financial Review and ProspectsB. Liquidity and Capital Resources" of our Annual Report on Form 20-F. </w:t>
      </w:r>
    </w:p>
    <w:p>
      <w:pPr>
        <w:pStyle w:val="ListHeading"/>
        <w:numPr>
          <w:ilvl w:val="0"/>
          <w:numId w:val="0"/>
        </w:numPr>
        <w:spacing w:before="0" w:after="0"/>
        <w:ind w:left="1414" w:right="0" w:hanging="0"/>
        <w:rPr>
          <w:rFonts w:ascii="times" w:hAnsi="times"/>
          <w:sz w:val="20"/>
        </w:rPr>
      </w:pPr>
      <w:r>
        <w:rPr>
          <w:rFonts w:ascii="times" w:hAnsi="times"/>
          <w:sz w:val="20"/>
        </w:rPr>
        <w:t></w:t>
      </w:r>
    </w:p>
    <w:p>
      <w:pPr>
        <w:pStyle w:val="ListContents"/>
        <w:numPr>
          <w:ilvl w:val="0"/>
          <w:numId w:val="0"/>
        </w:numPr>
        <w:spacing w:before="0" w:after="283"/>
        <w:ind w:left="1981" w:right="0" w:hanging="0"/>
        <w:rPr>
          <w:rFonts w:ascii="times" w:hAnsi="times"/>
          <w:sz w:val="20"/>
        </w:rPr>
      </w:pPr>
      <w:r>
        <w:rPr>
          <w:rFonts w:ascii="times" w:hAnsi="times"/>
          <w:sz w:val="20"/>
        </w:rPr>
        <w:t xml:space="preserve">We are required to make substantial capital expenditures to maintain and replace our fleet. These expenditures may fluctuate significantly over time, particularly as our vessels near the end of their useful lives. In order to minimize these fluctuations, our Partnership Agreement requires us to deduct estimated, as opposed to actual, maintenance and replacement capital expenditures from the amount of cash that we would otherwise have available for distribution to our common unitholders. In years when estimated maintenance and replacement capital expenditures are higher than actual maintenance and replacement capital expenditures, the amount of cash available for distribution to common unitholders will be lower than if actual maintenance and replacement capital expenditures were deducted. </w:t>
      </w:r>
    </w:p>
    <w:p>
      <w:pPr>
        <w:pStyle w:val="ListHeading"/>
        <w:numPr>
          <w:ilvl w:val="0"/>
          <w:numId w:val="0"/>
        </w:numPr>
        <w:spacing w:before="0" w:after="0"/>
        <w:ind w:left="1414" w:right="0" w:hanging="0"/>
        <w:rPr>
          <w:rFonts w:ascii="times" w:hAnsi="times"/>
          <w:sz w:val="20"/>
        </w:rPr>
      </w:pPr>
      <w:r>
        <w:rPr>
          <w:rFonts w:ascii="times" w:hAnsi="times"/>
          <w:sz w:val="20"/>
        </w:rPr>
        <w:t></w:t>
      </w:r>
    </w:p>
    <w:p>
      <w:pPr>
        <w:pStyle w:val="ListContents"/>
        <w:numPr>
          <w:ilvl w:val="0"/>
          <w:numId w:val="0"/>
        </w:numPr>
        <w:spacing w:before="0" w:after="283"/>
        <w:ind w:left="1981" w:right="0" w:hanging="0"/>
        <w:rPr>
          <w:rFonts w:ascii="times" w:hAnsi="times"/>
          <w:sz w:val="20"/>
        </w:rPr>
      </w:pPr>
      <w:r>
        <w:rPr>
          <w:rFonts w:ascii="times" w:hAnsi="times"/>
          <w:sz w:val="20"/>
        </w:rPr>
        <w:t xml:space="preserve">Although our Partnership Agreement requires us to distribute all of our available cash, our Partnership Agreement, including provisions contained therein requiring us to make cash distributions, may be amended. Our Partnership Agreement can be amended with the </w:t>
      </w:r>
    </w:p>
    <w:p>
      <w:pPr>
        <w:pStyle w:val="TextBody"/>
        <w:jc w:val="center"/>
        <w:rPr>
          <w:rFonts w:ascii="times" w:hAnsi="times"/>
          <w:sz w:val="20"/>
        </w:rPr>
      </w:pPr>
      <w:r>
        <w:rPr>
          <w:rFonts w:ascii="times" w:hAnsi="times"/>
          <w:sz w:val="20"/>
        </w:rPr>
        <w:t>S-47</w:t>
      </w:r>
    </w:p>
    <w:p>
      <w:pPr>
        <w:pStyle w:val="HorizontalLine"/>
        <w:pBdr>
          <w:bottom w:val="single" w:sz="20" w:space="0" w:color="808080"/>
        </w:pBdr>
        <w:rPr/>
      </w:pPr>
      <w:r>
        <w:rPr/>
      </w:r>
      <w:r>
        <w:br w:type="page"/>
      </w:r>
    </w:p>
    <w:p>
      <w:pPr>
        <w:pStyle w:val="TextBody"/>
        <w:rPr/>
      </w:pPr>
      <w:hyperlink w:anchor="bE43504A_main_toc">
        <w:bookmarkStart w:id="164" w:name="page_ce43504_1_48"/>
        <w:bookmarkEnd w:id="164"/>
        <w:r>
          <w:rPr>
            <w:rStyle w:val="InternetLink"/>
            <w:rFonts w:ascii="times" w:hAnsi="times"/>
            <w:sz w:val="20"/>
          </w:rPr>
          <w:t>Table of Contents</w:t>
        </w:r>
      </w:hyperlink>
    </w:p>
    <w:p>
      <w:pPr>
        <w:pStyle w:val="TextBody"/>
        <w:numPr>
          <w:ilvl w:val="0"/>
          <w:numId w:val="0"/>
        </w:numPr>
        <w:ind w:left="2121" w:hanging="0"/>
        <w:rPr>
          <w:rFonts w:ascii="times" w:hAnsi="times"/>
          <w:sz w:val="20"/>
        </w:rPr>
      </w:pPr>
      <w:r>
        <w:rPr>
          <w:rFonts w:ascii="times" w:hAnsi="times"/>
          <w:sz w:val="20"/>
        </w:rPr>
        <w:t xml:space="preserve">approval of the holders of a majority of the outstanding common units. GasLog owns common units representing a 31.1% ownership interest in us. </w:t>
      </w:r>
    </w:p>
    <w:p>
      <w:pPr>
        <w:pStyle w:val="ListHeading"/>
        <w:numPr>
          <w:ilvl w:val="0"/>
          <w:numId w:val="0"/>
        </w:numPr>
        <w:spacing w:before="0" w:after="0"/>
        <w:ind w:left="1414" w:right="0" w:hanging="0"/>
        <w:rPr>
          <w:rFonts w:ascii="times" w:hAnsi="times"/>
          <w:sz w:val="20"/>
        </w:rPr>
      </w:pPr>
      <w:r>
        <w:rPr>
          <w:rFonts w:ascii="times" w:hAnsi="times"/>
          <w:sz w:val="20"/>
        </w:rPr>
        <w:t></w:t>
      </w:r>
    </w:p>
    <w:p>
      <w:pPr>
        <w:pStyle w:val="ListContents"/>
        <w:numPr>
          <w:ilvl w:val="0"/>
          <w:numId w:val="0"/>
        </w:numPr>
        <w:spacing w:before="0" w:after="283"/>
        <w:ind w:left="1981" w:right="0" w:hanging="0"/>
        <w:rPr>
          <w:rFonts w:ascii="times" w:hAnsi="times"/>
          <w:sz w:val="20"/>
        </w:rPr>
      </w:pPr>
      <w:r>
        <w:rPr>
          <w:rFonts w:ascii="times" w:hAnsi="times"/>
          <w:sz w:val="20"/>
        </w:rPr>
        <w:t xml:space="preserve">Even if our cash distribution policy is not modified or revoked, the amount of distributions we pay under our cash distribution policy and the decision to make any distributions are determined by our board of directors, taking into consideration the terms of our Partnership Agreement. </w:t>
      </w:r>
    </w:p>
    <w:p>
      <w:pPr>
        <w:pStyle w:val="ListHeading"/>
        <w:numPr>
          <w:ilvl w:val="0"/>
          <w:numId w:val="0"/>
        </w:numPr>
        <w:spacing w:before="0" w:after="0"/>
        <w:ind w:left="1414" w:right="0" w:hanging="0"/>
        <w:rPr>
          <w:rFonts w:ascii="times" w:hAnsi="times"/>
          <w:sz w:val="20"/>
        </w:rPr>
      </w:pPr>
      <w:r>
        <w:rPr>
          <w:rFonts w:ascii="times" w:hAnsi="times"/>
          <w:sz w:val="20"/>
        </w:rPr>
        <w:t></w:t>
      </w:r>
    </w:p>
    <w:p>
      <w:pPr>
        <w:pStyle w:val="ListContents"/>
        <w:numPr>
          <w:ilvl w:val="0"/>
          <w:numId w:val="0"/>
        </w:numPr>
        <w:spacing w:before="0" w:after="283"/>
        <w:ind w:left="1981" w:right="0" w:hanging="0"/>
        <w:rPr>
          <w:rFonts w:ascii="times" w:hAnsi="times"/>
          <w:sz w:val="20"/>
        </w:rPr>
      </w:pPr>
      <w:r>
        <w:rPr>
          <w:rFonts w:ascii="times" w:hAnsi="times"/>
          <w:sz w:val="20"/>
        </w:rPr>
        <w:t xml:space="preserve">Under Section 51 of the Marshall Islands Act, we may not make a distribution to you if the distribution would cause our liabilities to exceed the fair value of our assets. </w:t>
      </w:r>
    </w:p>
    <w:p>
      <w:pPr>
        <w:pStyle w:val="ListHeading"/>
        <w:numPr>
          <w:ilvl w:val="0"/>
          <w:numId w:val="0"/>
        </w:numPr>
        <w:spacing w:before="0" w:after="0"/>
        <w:ind w:left="1414" w:right="0" w:hanging="0"/>
        <w:rPr>
          <w:rFonts w:ascii="times" w:hAnsi="times"/>
          <w:sz w:val="20"/>
        </w:rPr>
      </w:pPr>
      <w:r>
        <w:rPr>
          <w:rFonts w:ascii="times" w:hAnsi="times"/>
          <w:sz w:val="20"/>
        </w:rPr>
        <w:t></w:t>
      </w:r>
    </w:p>
    <w:p>
      <w:pPr>
        <w:pStyle w:val="ListContents"/>
        <w:numPr>
          <w:ilvl w:val="0"/>
          <w:numId w:val="0"/>
        </w:numPr>
        <w:spacing w:before="0" w:after="283"/>
        <w:ind w:left="1981" w:right="0" w:hanging="0"/>
        <w:rPr>
          <w:rFonts w:ascii="times" w:hAnsi="times"/>
          <w:sz w:val="20"/>
        </w:rPr>
      </w:pPr>
      <w:r>
        <w:rPr>
          <w:rFonts w:ascii="times" w:hAnsi="times"/>
          <w:sz w:val="20"/>
        </w:rPr>
        <w:t xml:space="preserve">We may lack sufficient cash to pay distributions to our unitholders due to decreases in total operating revenues, decreases in hire rates, the loss of a vessel, increases in operating or general and administrative expenses, principal and interest payments on outstanding debt, taxes, working capital requirements, maintenance and replacement capital expenditures or anticipated cash needs. See "Item 3. Key InformationD. Risk Factors" of our Annual Report on Form 20-F for a discussion of these factors. </w:t>
      </w:r>
    </w:p>
    <w:p>
      <w:pPr>
        <w:pStyle w:val="TextBody"/>
        <w:rPr/>
      </w:pPr>
      <w:r>
        <w:rPr/>
        <w:t>              </w:t>
      </w:r>
      <w:r>
        <w:rPr>
          <w:rFonts w:ascii="times" w:hAnsi="times"/>
          <w:sz w:val="20"/>
        </w:rPr>
        <w:t xml:space="preserve">Our ability to make distributions to our unitholders depends on the performance of our subsidiaries and their ability to distribute cash to us. The ability of our subsidiaries to make distributions to us may be restricted by, among other things, the provisions of the agreements governing existing and future indebtedness, applicable limited partnership and limited liability company laws in the Marshall Islands and other laws and regulations. </w:t>
      </w:r>
    </w:p>
    <w:p>
      <w:pPr>
        <w:pStyle w:val="TextBody"/>
        <w:jc w:val="center"/>
        <w:rPr>
          <w:rFonts w:ascii="times" w:hAnsi="times"/>
          <w:sz w:val="20"/>
        </w:rPr>
      </w:pPr>
      <w:r>
        <w:rPr>
          <w:rFonts w:ascii="times" w:hAnsi="times"/>
          <w:sz w:val="20"/>
        </w:rPr>
        <w:t>S-48</w:t>
      </w:r>
    </w:p>
    <w:p>
      <w:pPr>
        <w:pStyle w:val="HorizontalLine"/>
        <w:pBdr>
          <w:bottom w:val="single" w:sz="20" w:space="0" w:color="808080"/>
        </w:pBdr>
        <w:rPr/>
      </w:pPr>
      <w:r>
        <w:rPr/>
      </w:r>
      <w:r>
        <w:br w:type="page"/>
      </w:r>
    </w:p>
    <w:p>
      <w:pPr>
        <w:pStyle w:val="TextBody"/>
        <w:rPr/>
      </w:pPr>
      <w:hyperlink w:anchor="bE43504A_main_toc">
        <w:bookmarkStart w:id="165" w:name="page_cg43504_1_49"/>
        <w:bookmarkEnd w:id="165"/>
        <w:r>
          <w:rPr>
            <w:rStyle w:val="InternetLink"/>
            <w:rFonts w:ascii="times" w:hAnsi="times"/>
            <w:sz w:val="20"/>
          </w:rPr>
          <w:t>Table of Contents</w:t>
        </w:r>
      </w:hyperlink>
      <w:r>
        <w:rPr>
          <w:rFonts w:ascii="times" w:hAnsi="times"/>
          <w:sz w:val="20"/>
        </w:rPr>
        <w:t xml:space="preserve"> </w:t>
      </w:r>
    </w:p>
    <w:p>
      <w:pPr>
        <w:pStyle w:val="TextBody"/>
        <w:jc w:val="center"/>
        <w:rPr>
          <w:rFonts w:ascii="times" w:hAnsi="times"/>
        </w:rPr>
      </w:pPr>
      <w:bookmarkStart w:id="166" w:name="toc_cg43504_1"/>
      <w:bookmarkStart w:id="167" w:name="cg43504_material_u.s._federal_income_tax"/>
      <w:bookmarkEnd w:id="166"/>
      <w:bookmarkEnd w:id="167"/>
      <w:r>
        <w:rPr>
          <w:rFonts w:ascii="times" w:hAnsi="times"/>
          <w:sz w:val="20"/>
        </w:rPr>
        <w:br/>
      </w:r>
      <w:r>
        <w:rPr>
          <w:rFonts w:ascii="times" w:hAnsi="times"/>
          <w:b/>
          <w:sz w:val="20"/>
        </w:rPr>
        <w:t xml:space="preserve">MATERIAL U.S. FEDERAL INCOME TAX CONSIDERATIONS </w:t>
      </w:r>
    </w:p>
    <w:p>
      <w:pPr>
        <w:pStyle w:val="TextBody"/>
        <w:rPr>
          <w:rFonts w:ascii="times" w:hAnsi="times"/>
          <w:sz w:val="20"/>
        </w:rPr>
      </w:pPr>
      <w:r>
        <w:rPr>
          <w:rFonts w:ascii="times" w:hAnsi="times"/>
          <w:sz w:val="20"/>
        </w:rPr>
        <w:t xml:space="preserve">The following is a discussion of the material U.S. federal income tax considerations that may be relevant to prospective unitholders and, unless otherwise noted in the following discussion, is the opinion of Cravath, Swaine &amp; Moore LLP, our U.S. counsel, insofar as it contains legal conclusions with respect to matters of U.S. federal income tax law. The opinion of our counsel is dependent on the accuracy of factual representations made by us to them, including descriptions of our operations contained herein. </w:t>
      </w:r>
    </w:p>
    <w:p>
      <w:pPr>
        <w:pStyle w:val="TextBody"/>
        <w:rPr>
          <w:rFonts w:ascii="times" w:hAnsi="times"/>
          <w:sz w:val="20"/>
        </w:rPr>
      </w:pPr>
      <w:r>
        <w:rPr>
          <w:rFonts w:ascii="times" w:hAnsi="times"/>
          <w:sz w:val="20"/>
        </w:rPr>
        <w:t xml:space="preserve">This discussion is based upon provisions of the Code, the Treasury Regulations promulgated thereunder and current administrative rulings and court decisions, all as in effect or existence on the date of this prospectus and all of which are subject to change, possibly with retroactive effect. Changes in these authorities may cause the tax consequences of unit ownership to vary substantially from the consequences described below. Unless the context otherwise requires, references in this section to "we", "our" or "us" are references to GasLog Partners LP. </w:t>
      </w:r>
    </w:p>
    <w:p>
      <w:pPr>
        <w:pStyle w:val="TextBody"/>
        <w:rPr>
          <w:rFonts w:ascii="times" w:hAnsi="times"/>
        </w:rPr>
      </w:pPr>
      <w:r>
        <w:rPr>
          <w:rFonts w:ascii="times" w:hAnsi="times"/>
          <w:sz w:val="20"/>
        </w:rPr>
        <w:t>The following discussion applies only to beneficial owners of common units that own the common units as "capital assets" within the meaning of Section 1221 of the Code (</w:t>
      </w:r>
      <w:r>
        <w:rPr>
          <w:rFonts w:ascii="times" w:hAnsi="times"/>
          <w:i/>
          <w:sz w:val="20"/>
        </w:rPr>
        <w:t>i.e.</w:t>
      </w:r>
      <w:r>
        <w:rPr>
          <w:rFonts w:ascii="times" w:hAnsi="times"/>
          <w:sz w:val="20"/>
        </w:rPr>
        <w:t>, generally, for investment purposes) and is not intended to be applicable to all categories of investors, such as unitholders subject to special tax rules (</w:t>
      </w:r>
      <w:r>
        <w:rPr>
          <w:rFonts w:ascii="times" w:hAnsi="times"/>
          <w:i/>
          <w:sz w:val="20"/>
        </w:rPr>
        <w:t>e.g.</w:t>
      </w:r>
      <w:r>
        <w:rPr>
          <w:rFonts w:ascii="times" w:hAnsi="times"/>
          <w:sz w:val="20"/>
        </w:rPr>
        <w:t xml:space="preserve">, financial institutions, insurance companies, broker-dealers, tax-exempt organizations, retirement plans or individual retirement accounts or former citizens or long-term residents of the United States), persons who will hold the units as part of a straddle, hedge, conversion, constructive sale or other integrated transaction for U.S. federal income tax purposes, persons subject to special tax accounting rules as a result of any item of gross income with respect to our common units being taken into account in an applicable financial statement or persons that have a functional currency other than the U.S. dollar, each of whom may be subject to tax rules that differ significantly from those summarized below. If a partnership or other entity classified as a partnership for U.S. federal income tax purposes holds our common units, the tax treatment of its partners generally will depend upon the status of the partner and the activities of the partnership. If you are a partner in a partnership holding our common units, you are encouraged to consult your own tax advisor regarding the tax consequences to you of the partnership's ownership of our common units. </w:t>
      </w:r>
    </w:p>
    <w:p>
      <w:pPr>
        <w:pStyle w:val="TextBody"/>
        <w:rPr>
          <w:rFonts w:ascii="times" w:hAnsi="times"/>
          <w:sz w:val="20"/>
        </w:rPr>
      </w:pPr>
      <w:r>
        <w:rPr>
          <w:rFonts w:ascii="times" w:hAnsi="times"/>
          <w:sz w:val="20"/>
        </w:rPr>
        <w:t xml:space="preserve">No ruling has been or will be requested from the IRS regarding any matter affecting us or prospective unitholders. The opinions and statements made herein may be challenged by the IRS and, if so challenged, may not be sustained upon review in a court. This discussion does not contain information regarding any U.S. state or local, estate, gift or alternative minimum tax considerations concerning the ownership or disposition of common units. This discussion does not comment on all aspects of U.S. federal income taxation that may be important to particular unitholders in light of their individual circumstances, and each prospective unitholder is encouraged to consult its own tax advisor regarding the U.S. federal, state, local and other tax consequences of the ownership or disposition of common units. </w:t>
      </w:r>
    </w:p>
    <w:p>
      <w:pPr>
        <w:pStyle w:val="TextBody"/>
        <w:ind w:left="200" w:right="0" w:hanging="200"/>
        <w:rPr>
          <w:rFonts w:ascii="times" w:hAnsi="times"/>
          <w:b/>
          <w:sz w:val="20"/>
        </w:rPr>
      </w:pPr>
      <w:bookmarkStart w:id="168" w:name="toc_cg43504_2"/>
      <w:bookmarkStart w:id="169" w:name="cg43504_election_to_be_treated_as_a_corp"/>
      <w:bookmarkEnd w:id="168"/>
      <w:bookmarkEnd w:id="169"/>
      <w:r>
        <w:rPr>
          <w:rFonts w:ascii="times" w:hAnsi="times"/>
          <w:b/>
          <w:sz w:val="20"/>
        </w:rPr>
        <w:t xml:space="preserve">Election to be Treated as a Corporation </w:t>
      </w:r>
    </w:p>
    <w:p>
      <w:pPr>
        <w:pStyle w:val="TextBody"/>
        <w:rPr>
          <w:rFonts w:ascii="times" w:hAnsi="times"/>
          <w:sz w:val="20"/>
        </w:rPr>
      </w:pPr>
      <w:r>
        <w:rPr>
          <w:rFonts w:ascii="times" w:hAnsi="times"/>
          <w:sz w:val="20"/>
        </w:rPr>
        <w:t xml:space="preserve">We have elected to be treated as a corporation for U.S. federal income tax purposes. As a result, except as provided below, we will be subject to U.S. federal income tax on our income to the extent such income is from U.S. sources or is otherwise effectively connected with the conduct of a trade or business in the United States. In addition, U.S. Holders (as defined below) will not be directly subject to U.S. federal income tax on our income, but rather will be subject to U.S. federal income tax on distributions received from us and dispositions of units as described below. </w:t>
      </w:r>
    </w:p>
    <w:p>
      <w:pPr>
        <w:pStyle w:val="TextBody"/>
        <w:jc w:val="center"/>
        <w:rPr>
          <w:rFonts w:ascii="times" w:hAnsi="times"/>
          <w:sz w:val="20"/>
        </w:rPr>
      </w:pPr>
      <w:r>
        <w:rPr>
          <w:rFonts w:ascii="times" w:hAnsi="times"/>
          <w:sz w:val="20"/>
        </w:rPr>
        <w:t>S-49</w:t>
      </w:r>
    </w:p>
    <w:p>
      <w:pPr>
        <w:pStyle w:val="HorizontalLine"/>
        <w:pBdr>
          <w:bottom w:val="single" w:sz="20" w:space="0" w:color="808080"/>
        </w:pBdr>
        <w:rPr/>
      </w:pPr>
      <w:r>
        <w:rPr/>
      </w:r>
      <w:r>
        <w:br w:type="page"/>
      </w:r>
    </w:p>
    <w:p>
      <w:pPr>
        <w:pStyle w:val="TextBody"/>
        <w:rPr/>
      </w:pPr>
      <w:hyperlink w:anchor="bE43504A_main_toc">
        <w:bookmarkStart w:id="170" w:name="page_cg43504_1_50"/>
        <w:bookmarkEnd w:id="170"/>
        <w:r>
          <w:rPr>
            <w:rStyle w:val="InternetLink"/>
            <w:rFonts w:ascii="times" w:hAnsi="times"/>
            <w:sz w:val="20"/>
          </w:rPr>
          <w:t>Table of Contents</w:t>
        </w:r>
      </w:hyperlink>
    </w:p>
    <w:p>
      <w:pPr>
        <w:pStyle w:val="TextBody"/>
        <w:ind w:left="200" w:right="0" w:hanging="200"/>
        <w:rPr>
          <w:rFonts w:ascii="times" w:hAnsi="times"/>
          <w:b/>
          <w:sz w:val="20"/>
        </w:rPr>
      </w:pPr>
      <w:bookmarkStart w:id="171" w:name="toc_cg43504_3"/>
      <w:bookmarkStart w:id="172" w:name="cg43504_u.s._federal_income_taxation_of_"/>
      <w:bookmarkEnd w:id="171"/>
      <w:bookmarkEnd w:id="172"/>
      <w:r>
        <w:rPr>
          <w:rFonts w:ascii="times" w:hAnsi="times"/>
          <w:b/>
          <w:sz w:val="20"/>
        </w:rPr>
        <w:t xml:space="preserve">U.S. Federal Income Taxation of Our Company </w:t>
      </w:r>
    </w:p>
    <w:p>
      <w:pPr>
        <w:pStyle w:val="TextBody"/>
        <w:ind w:left="200" w:right="0" w:hanging="200"/>
        <w:rPr>
          <w:rFonts w:ascii="times" w:hAnsi="times"/>
          <w:b/>
          <w:i/>
          <w:sz w:val="20"/>
        </w:rPr>
      </w:pPr>
      <w:r>
        <w:rPr>
          <w:rFonts w:ascii="times" w:hAnsi="times"/>
          <w:b/>
          <w:i/>
          <w:sz w:val="20"/>
        </w:rPr>
        <w:t xml:space="preserve">U.S. Taxation of Our Subsidiaries </w:t>
      </w:r>
    </w:p>
    <w:p>
      <w:pPr>
        <w:pStyle w:val="TextBody"/>
        <w:rPr>
          <w:rFonts w:ascii="times" w:hAnsi="times"/>
          <w:sz w:val="20"/>
        </w:rPr>
      </w:pPr>
      <w:r>
        <w:rPr>
          <w:rFonts w:ascii="times" w:hAnsi="times"/>
          <w:sz w:val="20"/>
        </w:rPr>
        <w:t xml:space="preserve">Our subsidiaries have elected to be treated as disregarded entities for U.S. federal income tax purposes. As a result, for purposes of the discussion below, our subsidiaries are treated as branches rather than as separate corporations. </w:t>
      </w:r>
    </w:p>
    <w:p>
      <w:pPr>
        <w:pStyle w:val="TextBody"/>
        <w:ind w:left="200" w:right="0" w:hanging="200"/>
        <w:rPr>
          <w:rFonts w:ascii="times" w:hAnsi="times"/>
          <w:b/>
          <w:i/>
          <w:sz w:val="20"/>
        </w:rPr>
      </w:pPr>
      <w:r>
        <w:rPr>
          <w:rFonts w:ascii="times" w:hAnsi="times"/>
          <w:b/>
          <w:i/>
          <w:sz w:val="20"/>
        </w:rPr>
        <w:t xml:space="preserve">U.S. Taxation of Shipping Income </w:t>
      </w:r>
    </w:p>
    <w:p>
      <w:pPr>
        <w:pStyle w:val="TextBody"/>
        <w:rPr>
          <w:rFonts w:ascii="times" w:hAnsi="times"/>
          <w:sz w:val="20"/>
        </w:rPr>
      </w:pPr>
      <w:r>
        <w:rPr>
          <w:rFonts w:ascii="times" w:hAnsi="times"/>
          <w:sz w:val="20"/>
        </w:rPr>
        <w:t xml:space="preserve">We expect that substantially all of our gross income will be attributable to income derived from the transportation of LNG pursuant to the operation of our LNG carriers. Gross income attributable to transportation exclusively between non-U.S. ports is considered to be 100% derived from sources outside the United States and generally not subject to any U.S. federal income tax. Gross income attributable to transportation that both begins and ends in the United States, or "U.S. Source Domestic Transportation Income", is considered to be 100% derived from sources within the United States and generally will be subject to U.S. federal income tax. Although there can be no assurance, we do not expect to engage in transportation that gives rise to U.S. Source Domestic Transportation Income. </w:t>
      </w:r>
    </w:p>
    <w:p>
      <w:pPr>
        <w:pStyle w:val="TextBody"/>
        <w:rPr>
          <w:rFonts w:ascii="times" w:hAnsi="times"/>
          <w:sz w:val="20"/>
        </w:rPr>
      </w:pPr>
      <w:r>
        <w:rPr>
          <w:rFonts w:ascii="times" w:hAnsi="times"/>
          <w:sz w:val="20"/>
        </w:rPr>
        <w:t xml:space="preserve">Gross income attributable to transportation, including shipping income, that either begins or ends, but that does not both begin and end, in the United States is considered to be 50% derived from sources within the United States (such 50% being "U.S. Source International Transportation Income"). Subject to the discussion of "effectively connected" income below, Section 887 of the Code imposes on us a 4% U.S. income tax in respect of our U.S. Source International Transportation Income (without the allowance for deductions) unless we are exempt from U.S. federal income tax on such income under a tax treaty or the rules contained in Section 883 of the Code. The other 50% of the income described in the first sentence of this paragraph would not be subject to U.S. income tax. </w:t>
      </w:r>
    </w:p>
    <w:p>
      <w:pPr>
        <w:pStyle w:val="TextBody"/>
        <w:rPr>
          <w:rFonts w:ascii="times" w:hAnsi="times"/>
          <w:sz w:val="20"/>
        </w:rPr>
      </w:pPr>
      <w:r>
        <w:rPr>
          <w:rFonts w:ascii="times" w:hAnsi="times"/>
          <w:sz w:val="20"/>
        </w:rPr>
        <w:t xml:space="preserve">For this purpose, "shipping income" means income that is derived from: </w:t>
      </w:r>
    </w:p>
    <w:p>
      <w:pPr>
        <w:pStyle w:val="ListHeading"/>
        <w:numPr>
          <w:ilvl w:val="0"/>
          <w:numId w:val="0"/>
        </w:numPr>
        <w:spacing w:before="0" w:after="0"/>
        <w:ind w:left="707" w:right="0" w:hanging="0"/>
        <w:rPr>
          <w:rFonts w:ascii="times" w:hAnsi="times"/>
          <w:sz w:val="20"/>
        </w:rPr>
      </w:pPr>
      <w:r>
        <w:rPr>
          <w:rFonts w:ascii="times" w:hAnsi="times"/>
          <w:sz w:val="20"/>
        </w:rPr>
        <w:t>(i)</w:t>
      </w:r>
    </w:p>
    <w:p>
      <w:pPr>
        <w:pStyle w:val="ListContents"/>
        <w:numPr>
          <w:ilvl w:val="0"/>
          <w:numId w:val="0"/>
        </w:numPr>
        <w:spacing w:before="0" w:after="283"/>
        <w:ind w:left="1274" w:right="0" w:hanging="0"/>
        <w:rPr>
          <w:rFonts w:ascii="times" w:hAnsi="times"/>
          <w:sz w:val="20"/>
        </w:rPr>
      </w:pPr>
      <w:r>
        <w:rPr>
          <w:rFonts w:ascii="times" w:hAnsi="times"/>
          <w:sz w:val="20"/>
        </w:rPr>
        <w:t xml:space="preserve">the use of ships; </w:t>
      </w:r>
    </w:p>
    <w:p>
      <w:pPr>
        <w:pStyle w:val="ListHeading"/>
        <w:numPr>
          <w:ilvl w:val="0"/>
          <w:numId w:val="0"/>
        </w:numPr>
        <w:spacing w:before="0" w:after="0"/>
        <w:ind w:left="707" w:right="0" w:hanging="0"/>
        <w:rPr>
          <w:rFonts w:ascii="times" w:hAnsi="times"/>
          <w:sz w:val="20"/>
        </w:rPr>
      </w:pPr>
      <w:r>
        <w:rPr>
          <w:rFonts w:ascii="times" w:hAnsi="times"/>
          <w:sz w:val="20"/>
        </w:rPr>
        <w:t>(ii)</w:t>
      </w:r>
    </w:p>
    <w:p>
      <w:pPr>
        <w:pStyle w:val="ListContents"/>
        <w:numPr>
          <w:ilvl w:val="0"/>
          <w:numId w:val="0"/>
        </w:numPr>
        <w:spacing w:before="0" w:after="283"/>
        <w:ind w:left="1274" w:right="0" w:hanging="0"/>
        <w:rPr>
          <w:rFonts w:ascii="times" w:hAnsi="times"/>
          <w:sz w:val="20"/>
        </w:rPr>
      </w:pPr>
      <w:r>
        <w:rPr>
          <w:rFonts w:ascii="times" w:hAnsi="times"/>
          <w:sz w:val="20"/>
        </w:rPr>
        <w:t xml:space="preserve">the hiring or leasing of ships for use on a time, operating or bareboat charter basis; </w:t>
      </w:r>
    </w:p>
    <w:p>
      <w:pPr>
        <w:pStyle w:val="ListHeading"/>
        <w:numPr>
          <w:ilvl w:val="0"/>
          <w:numId w:val="0"/>
        </w:numPr>
        <w:spacing w:before="0" w:after="0"/>
        <w:ind w:left="707" w:right="0" w:hanging="0"/>
        <w:rPr>
          <w:rFonts w:ascii="times" w:hAnsi="times"/>
          <w:sz w:val="20"/>
        </w:rPr>
      </w:pPr>
      <w:r>
        <w:rPr>
          <w:rFonts w:ascii="times" w:hAnsi="times"/>
          <w:sz w:val="20"/>
        </w:rPr>
        <w:t>(iii)</w:t>
      </w:r>
    </w:p>
    <w:p>
      <w:pPr>
        <w:pStyle w:val="ListContents"/>
        <w:numPr>
          <w:ilvl w:val="0"/>
          <w:numId w:val="0"/>
        </w:numPr>
        <w:spacing w:before="0" w:after="283"/>
        <w:ind w:left="1274" w:right="0" w:hanging="0"/>
        <w:rPr>
          <w:rFonts w:ascii="times" w:hAnsi="times"/>
          <w:sz w:val="20"/>
        </w:rPr>
      </w:pPr>
      <w:r>
        <w:rPr>
          <w:rFonts w:ascii="times" w:hAnsi="times"/>
          <w:sz w:val="20"/>
        </w:rPr>
        <w:t xml:space="preserve">the participation in a pool, partnership, strategic alliance, joint operating agreement or other joint venture we directly or indirectly own or participate in that generates such income; or </w:t>
      </w:r>
    </w:p>
    <w:p>
      <w:pPr>
        <w:pStyle w:val="ListHeading"/>
        <w:numPr>
          <w:ilvl w:val="0"/>
          <w:numId w:val="0"/>
        </w:numPr>
        <w:spacing w:before="0" w:after="0"/>
        <w:ind w:left="707" w:right="0" w:hanging="0"/>
        <w:rPr>
          <w:rFonts w:ascii="times" w:hAnsi="times"/>
          <w:sz w:val="20"/>
        </w:rPr>
      </w:pPr>
      <w:r>
        <w:rPr>
          <w:rFonts w:ascii="times" w:hAnsi="times"/>
          <w:sz w:val="20"/>
        </w:rPr>
        <w:t>(iv)</w:t>
      </w:r>
    </w:p>
    <w:p>
      <w:pPr>
        <w:pStyle w:val="ListContents"/>
        <w:numPr>
          <w:ilvl w:val="0"/>
          <w:numId w:val="0"/>
        </w:numPr>
        <w:spacing w:before="0" w:after="283"/>
        <w:ind w:left="1274" w:right="0" w:hanging="0"/>
        <w:rPr>
          <w:rFonts w:ascii="times" w:hAnsi="times"/>
          <w:sz w:val="20"/>
        </w:rPr>
      </w:pPr>
      <w:r>
        <w:rPr>
          <w:rFonts w:ascii="times" w:hAnsi="times"/>
          <w:sz w:val="20"/>
        </w:rPr>
        <w:t xml:space="preserve">the performance of services directly related to those uses. </w:t>
      </w:r>
    </w:p>
    <w:p>
      <w:pPr>
        <w:pStyle w:val="TextBody"/>
        <w:rPr>
          <w:rFonts w:ascii="times" w:hAnsi="times"/>
          <w:sz w:val="20"/>
        </w:rPr>
      </w:pPr>
      <w:r>
        <w:rPr>
          <w:rFonts w:ascii="times" w:hAnsi="times"/>
          <w:sz w:val="20"/>
        </w:rPr>
        <w:t xml:space="preserve">We do not expect to qualify for an exemption from such U.S. federal income tax under a tax treaty nor do we expect to qualify for the exemption under Section 883 of the Code during the 2021 tax year, unless our general partner exercises the "GasLog option" (defined below). </w:t>
      </w:r>
    </w:p>
    <w:p>
      <w:pPr>
        <w:pStyle w:val="TextBody"/>
        <w:rPr>
          <w:rFonts w:ascii="times" w:hAnsi="times"/>
          <w:sz w:val="20"/>
        </w:rPr>
      </w:pPr>
      <w:r>
        <w:rPr>
          <w:rFonts w:ascii="times" w:hAnsi="times"/>
          <w:sz w:val="20"/>
        </w:rPr>
        <w:t xml:space="preserve">Our general partner, which is a wholly owned subsidiary of GasLog, by virtue of its general partner interest, has an option (the "GasLog option"), exercisable at its discretion, to cause our common unitholders to permanently have the right to elect a majority of our directors. If that option were exercised, we might qualify for an exemption from U.S. federal income tax on U.S. Source International Transportation Income under Section 883 of the Code. There is no assurance, however, that GasLog will exercise the GasLog option, which is necessary for us to qualify for such exemption, nor can we assure you that GasLog's exercise of the GasLog option would be sufficient for us to qualify for the exemption for our current or any future tax year. </w:t>
      </w:r>
    </w:p>
    <w:p>
      <w:pPr>
        <w:pStyle w:val="TextBody"/>
        <w:jc w:val="center"/>
        <w:rPr>
          <w:rFonts w:ascii="times" w:hAnsi="times"/>
          <w:sz w:val="20"/>
        </w:rPr>
      </w:pPr>
      <w:r>
        <w:rPr>
          <w:rFonts w:ascii="times" w:hAnsi="times"/>
          <w:sz w:val="20"/>
        </w:rPr>
        <w:t>S-50</w:t>
      </w:r>
    </w:p>
    <w:p>
      <w:pPr>
        <w:pStyle w:val="HorizontalLine"/>
        <w:pBdr>
          <w:bottom w:val="single" w:sz="20" w:space="0" w:color="808080"/>
        </w:pBdr>
        <w:rPr/>
      </w:pPr>
      <w:r>
        <w:rPr/>
      </w:r>
      <w:r>
        <w:br w:type="page"/>
      </w:r>
    </w:p>
    <w:p>
      <w:pPr>
        <w:pStyle w:val="TextBody"/>
        <w:rPr/>
      </w:pPr>
      <w:hyperlink w:anchor="bE43504A_main_toc">
        <w:bookmarkStart w:id="173" w:name="page_cg43504_1_51"/>
        <w:bookmarkEnd w:id="173"/>
        <w:r>
          <w:rPr>
            <w:rStyle w:val="InternetLink"/>
            <w:rFonts w:ascii="times" w:hAnsi="times"/>
            <w:sz w:val="20"/>
          </w:rPr>
          <w:t>Table of Contents</w:t>
        </w:r>
      </w:hyperlink>
    </w:p>
    <w:p>
      <w:pPr>
        <w:pStyle w:val="TextBody"/>
        <w:rPr>
          <w:rFonts w:ascii="times" w:hAnsi="times"/>
          <w:sz w:val="20"/>
        </w:rPr>
      </w:pPr>
      <w:r>
        <w:rPr>
          <w:rFonts w:ascii="times" w:hAnsi="times"/>
          <w:sz w:val="20"/>
        </w:rPr>
        <w:t xml:space="preserve">For any tax year in which we are not entitled to the exemption under Section 883, we would be subject to the 4% U.S. federal income tax under Section 887 on our U.S. Source International Transportation Income (subject to the discussion of "effectively connected income" below) for those years. For 2020, our U.S. source gross transportation tax was $1.3 million. </w:t>
      </w:r>
    </w:p>
    <w:p>
      <w:pPr>
        <w:pStyle w:val="TextBody"/>
        <w:rPr>
          <w:rFonts w:ascii="times" w:hAnsi="times"/>
          <w:sz w:val="20"/>
        </w:rPr>
      </w:pPr>
      <w:r>
        <w:rPr>
          <w:rFonts w:ascii="times" w:hAnsi="times"/>
          <w:sz w:val="20"/>
        </w:rPr>
        <w:t xml:space="preserve">In addition, our U.S. Source International Transportation Income that is considered to be "effectively connected" with the conduct of a U.S. trade or business is subject to the U.S. corporate income tax currently imposed at a rate of 21% (net of applicable deductions). In addition, we may be subject to the 30% U.S. "branch profits" tax on earnings "effectively connected" with the conduct of such trade or business, as determined after allowance for certain adjustments, and on certain interest paid or deemed paid attributable to the conduct of our U.S. trade or business. </w:t>
      </w:r>
    </w:p>
    <w:p>
      <w:pPr>
        <w:pStyle w:val="TextBody"/>
        <w:rPr>
          <w:rFonts w:ascii="times" w:hAnsi="times"/>
          <w:sz w:val="20"/>
        </w:rPr>
      </w:pPr>
      <w:r>
        <w:rPr>
          <w:rFonts w:ascii="times" w:hAnsi="times"/>
          <w:sz w:val="20"/>
        </w:rPr>
        <w:t xml:space="preserve">Our U.S. Source International Transportation Income would be considered "effectively connected" with the conduct of a U.S. trade or business only if </w:t>
      </w:r>
    </w:p>
    <w:p>
      <w:pPr>
        <w:pStyle w:val="ListHeading"/>
        <w:numPr>
          <w:ilvl w:val="0"/>
          <w:numId w:val="0"/>
        </w:numPr>
        <w:spacing w:before="0" w:after="0"/>
        <w:ind w:left="707" w:right="0" w:hanging="0"/>
        <w:rPr>
          <w:rFonts w:ascii="times" w:hAnsi="times"/>
          <w:sz w:val="20"/>
        </w:rPr>
      </w:pPr>
      <w:r>
        <w:rPr>
          <w:rFonts w:ascii="times" w:hAnsi="times"/>
          <w:sz w:val="20"/>
        </w:rPr>
        <w:t>(i)</w:t>
      </w:r>
    </w:p>
    <w:p>
      <w:pPr>
        <w:pStyle w:val="ListContents"/>
        <w:numPr>
          <w:ilvl w:val="0"/>
          <w:numId w:val="0"/>
        </w:numPr>
        <w:spacing w:before="0" w:after="283"/>
        <w:ind w:left="1274" w:right="0" w:hanging="0"/>
        <w:rPr>
          <w:rFonts w:ascii="times" w:hAnsi="times"/>
          <w:sz w:val="20"/>
        </w:rPr>
      </w:pPr>
      <w:r>
        <w:rPr>
          <w:rFonts w:ascii="times" w:hAnsi="times"/>
          <w:sz w:val="20"/>
        </w:rPr>
        <w:t xml:space="preserve">we had, or were considered to have, a fixed place of business in the United States involved in the earning of U.S. source gross transportation income; and </w:t>
      </w:r>
    </w:p>
    <w:p>
      <w:pPr>
        <w:pStyle w:val="ListHeading"/>
        <w:numPr>
          <w:ilvl w:val="0"/>
          <w:numId w:val="0"/>
        </w:numPr>
        <w:spacing w:before="0" w:after="0"/>
        <w:ind w:left="707" w:right="0" w:hanging="0"/>
        <w:rPr>
          <w:rFonts w:ascii="times" w:hAnsi="times"/>
          <w:sz w:val="20"/>
        </w:rPr>
      </w:pPr>
      <w:r>
        <w:rPr>
          <w:rFonts w:ascii="times" w:hAnsi="times"/>
          <w:sz w:val="20"/>
        </w:rPr>
        <w:t>(ii)</w:t>
      </w:r>
    </w:p>
    <w:p>
      <w:pPr>
        <w:pStyle w:val="ListContents"/>
        <w:numPr>
          <w:ilvl w:val="0"/>
          <w:numId w:val="0"/>
        </w:numPr>
        <w:spacing w:before="0" w:after="283"/>
        <w:ind w:left="1274" w:right="0" w:hanging="0"/>
        <w:rPr>
          <w:rFonts w:ascii="times" w:hAnsi="times"/>
          <w:sz w:val="20"/>
        </w:rPr>
      </w:pPr>
      <w:r>
        <w:rPr>
          <w:rFonts w:ascii="times" w:hAnsi="times"/>
          <w:sz w:val="20"/>
        </w:rPr>
        <w:t xml:space="preserve">substantially all of our U.S. source gross transportation income was attributable to regularly scheduled transportation, such as the operation of a ship that followed a published schedule with repeated sailings at regular intervals between the same points for voyages that begin or end in the United States. </w:t>
      </w:r>
    </w:p>
    <w:p>
      <w:pPr>
        <w:pStyle w:val="TextBody"/>
        <w:rPr>
          <w:rFonts w:ascii="times" w:hAnsi="times"/>
          <w:sz w:val="20"/>
        </w:rPr>
      </w:pPr>
      <w:r>
        <w:rPr>
          <w:rFonts w:ascii="times" w:hAnsi="times"/>
          <w:sz w:val="20"/>
        </w:rPr>
        <w:t xml:space="preserve">We believe that we will not meet these conditions because we will not have, or permit circumstances that would result in having, such a fixed place of business in the United States or any ship sailing to or from the United States on a regularly scheduled basis. </w:t>
      </w:r>
    </w:p>
    <w:p>
      <w:pPr>
        <w:pStyle w:val="TextBody"/>
        <w:ind w:left="200" w:right="0" w:hanging="200"/>
        <w:rPr>
          <w:rFonts w:ascii="times" w:hAnsi="times"/>
          <w:b/>
          <w:i/>
          <w:sz w:val="20"/>
        </w:rPr>
      </w:pPr>
      <w:r>
        <w:rPr>
          <w:rFonts w:ascii="times" w:hAnsi="times"/>
          <w:b/>
          <w:i/>
          <w:sz w:val="20"/>
        </w:rPr>
        <w:t xml:space="preserve">Taxation of Gain on Sale of Shipping Assets </w:t>
      </w:r>
    </w:p>
    <w:p>
      <w:pPr>
        <w:pStyle w:val="TextBody"/>
        <w:rPr>
          <w:rFonts w:ascii="times" w:hAnsi="times"/>
          <w:sz w:val="20"/>
        </w:rPr>
      </w:pPr>
      <w:r>
        <w:rPr>
          <w:rFonts w:ascii="times" w:hAnsi="times"/>
          <w:sz w:val="20"/>
        </w:rPr>
        <w:t xml:space="preserve">Regardless of whether we qualify for the exemption under Section 883 of the Code, we will not be subject to U.S. income taxation with respect to gain realized on a sale of a ship, provided the sale is considered to occur outside of the United States (as determined under U.S. tax principles). In general, a sale of a ship will be considered to occur outside of the United States for this purpose if title to the ship (and risk of loss with respect to the ship) passes to the buyer outside of the United States. We expect that any sale of a ship will be so structured that it will be considered to occur outside of the United States. </w:t>
      </w:r>
    </w:p>
    <w:p>
      <w:pPr>
        <w:pStyle w:val="TextBody"/>
        <w:ind w:left="200" w:right="0" w:hanging="200"/>
        <w:rPr>
          <w:rFonts w:ascii="times" w:hAnsi="times"/>
          <w:b/>
          <w:sz w:val="20"/>
        </w:rPr>
      </w:pPr>
      <w:bookmarkStart w:id="174" w:name="toc_cg43504_4"/>
      <w:bookmarkStart w:id="175" w:name="cg43504_u.s._federal_income_taxation_of_"/>
      <w:bookmarkEnd w:id="174"/>
      <w:bookmarkEnd w:id="175"/>
      <w:r>
        <w:rPr>
          <w:rFonts w:ascii="times" w:hAnsi="times"/>
          <w:b/>
          <w:sz w:val="20"/>
        </w:rPr>
        <w:t xml:space="preserve">U.S. Federal Income Taxation of U.S. Holders </w:t>
      </w:r>
    </w:p>
    <w:p>
      <w:pPr>
        <w:pStyle w:val="TextBody"/>
        <w:rPr>
          <w:rFonts w:ascii="times" w:hAnsi="times"/>
          <w:sz w:val="20"/>
        </w:rPr>
      </w:pPr>
      <w:r>
        <w:rPr>
          <w:rFonts w:ascii="times" w:hAnsi="times"/>
          <w:sz w:val="20"/>
        </w:rPr>
        <w:t>As used herein, the term "U.S. Holder" means a beneficial owner of our common units that owns (actually or constructively) less than 10.0% of our equity and that is:</w:t>
      </w:r>
    </w:p>
    <w:p>
      <w:pPr>
        <w:pStyle w:val="ListHeading"/>
        <w:numPr>
          <w:ilvl w:val="0"/>
          <w:numId w:val="0"/>
        </w:numPr>
        <w:spacing w:before="0" w:after="0"/>
        <w:ind w:left="1414" w:right="0" w:hanging="0"/>
        <w:rPr>
          <w:rFonts w:ascii="times" w:hAnsi="times"/>
          <w:sz w:val="20"/>
        </w:rPr>
      </w:pPr>
      <w:r>
        <w:rPr>
          <w:rFonts w:ascii="times" w:hAnsi="times"/>
          <w:sz w:val="20"/>
        </w:rPr>
        <w:t></w:t>
      </w:r>
    </w:p>
    <w:p>
      <w:pPr>
        <w:pStyle w:val="ListContents"/>
        <w:numPr>
          <w:ilvl w:val="0"/>
          <w:numId w:val="0"/>
        </w:numPr>
        <w:spacing w:before="0" w:after="283"/>
        <w:ind w:left="1981" w:right="0" w:hanging="0"/>
        <w:rPr>
          <w:rFonts w:ascii="times" w:hAnsi="times"/>
          <w:sz w:val="20"/>
        </w:rPr>
      </w:pPr>
      <w:r>
        <w:rPr>
          <w:rFonts w:ascii="times" w:hAnsi="times"/>
          <w:sz w:val="20"/>
        </w:rPr>
        <w:t xml:space="preserve">an individual U.S. citizen or resident (as determined for U.S. federal income tax purposes), </w:t>
      </w:r>
    </w:p>
    <w:p>
      <w:pPr>
        <w:pStyle w:val="ListHeading"/>
        <w:numPr>
          <w:ilvl w:val="0"/>
          <w:numId w:val="0"/>
        </w:numPr>
        <w:spacing w:before="0" w:after="0"/>
        <w:ind w:left="1414" w:right="0" w:hanging="0"/>
        <w:rPr>
          <w:rFonts w:ascii="times" w:hAnsi="times"/>
          <w:sz w:val="20"/>
        </w:rPr>
      </w:pPr>
      <w:r>
        <w:rPr>
          <w:rFonts w:ascii="times" w:hAnsi="times"/>
          <w:sz w:val="20"/>
        </w:rPr>
        <w:t></w:t>
      </w:r>
    </w:p>
    <w:p>
      <w:pPr>
        <w:pStyle w:val="ListContents"/>
        <w:numPr>
          <w:ilvl w:val="0"/>
          <w:numId w:val="0"/>
        </w:numPr>
        <w:spacing w:before="0" w:after="283"/>
        <w:ind w:left="1981" w:right="0" w:hanging="0"/>
        <w:rPr>
          <w:rFonts w:ascii="times" w:hAnsi="times"/>
          <w:sz w:val="20"/>
        </w:rPr>
      </w:pPr>
      <w:r>
        <w:rPr>
          <w:rFonts w:ascii="times" w:hAnsi="times"/>
          <w:sz w:val="20"/>
        </w:rPr>
        <w:t xml:space="preserve">a corporation (or other entity that is classified as a corporation for U.S. federal income tax purposes) organized under the laws of the United States, any state thereof or the District of Columbia, </w:t>
      </w:r>
    </w:p>
    <w:p>
      <w:pPr>
        <w:pStyle w:val="ListHeading"/>
        <w:numPr>
          <w:ilvl w:val="0"/>
          <w:numId w:val="0"/>
        </w:numPr>
        <w:spacing w:before="0" w:after="0"/>
        <w:ind w:left="1414" w:right="0" w:hanging="0"/>
        <w:rPr>
          <w:rFonts w:ascii="times" w:hAnsi="times"/>
          <w:sz w:val="20"/>
        </w:rPr>
      </w:pPr>
      <w:r>
        <w:rPr>
          <w:rFonts w:ascii="times" w:hAnsi="times"/>
          <w:sz w:val="20"/>
        </w:rPr>
        <w:t></w:t>
      </w:r>
    </w:p>
    <w:p>
      <w:pPr>
        <w:pStyle w:val="ListContents"/>
        <w:numPr>
          <w:ilvl w:val="0"/>
          <w:numId w:val="0"/>
        </w:numPr>
        <w:spacing w:before="0" w:after="283"/>
        <w:ind w:left="1981" w:right="0" w:hanging="0"/>
        <w:rPr>
          <w:rFonts w:ascii="times" w:hAnsi="times"/>
          <w:sz w:val="20"/>
        </w:rPr>
      </w:pPr>
      <w:r>
        <w:rPr>
          <w:rFonts w:ascii="times" w:hAnsi="times"/>
          <w:sz w:val="20"/>
        </w:rPr>
        <w:t xml:space="preserve">an estate the income of which is subject to U.S. federal income taxation regardless of its source, or </w:t>
      </w:r>
    </w:p>
    <w:p>
      <w:pPr>
        <w:pStyle w:val="ListHeading"/>
        <w:numPr>
          <w:ilvl w:val="0"/>
          <w:numId w:val="0"/>
        </w:numPr>
        <w:spacing w:before="0" w:after="0"/>
        <w:ind w:left="1414" w:right="0" w:hanging="0"/>
        <w:rPr>
          <w:rFonts w:ascii="times" w:hAnsi="times"/>
          <w:sz w:val="20"/>
        </w:rPr>
      </w:pPr>
      <w:r>
        <w:rPr>
          <w:rFonts w:ascii="times" w:hAnsi="times"/>
          <w:sz w:val="20"/>
        </w:rPr>
        <w:t></w:t>
      </w:r>
    </w:p>
    <w:p>
      <w:pPr>
        <w:pStyle w:val="ListContents"/>
        <w:numPr>
          <w:ilvl w:val="0"/>
          <w:numId w:val="0"/>
        </w:numPr>
        <w:spacing w:before="0" w:after="283"/>
        <w:ind w:left="1981" w:right="0" w:hanging="0"/>
        <w:rPr>
          <w:rFonts w:ascii="times" w:hAnsi="times"/>
          <w:sz w:val="20"/>
        </w:rPr>
      </w:pPr>
      <w:r>
        <w:rPr>
          <w:rFonts w:ascii="times" w:hAnsi="times"/>
          <w:sz w:val="20"/>
        </w:rPr>
        <w:t xml:space="preserve">a trust if (i) a court within the United States is able to exercise primary supervision over the administration of the trust and one or more U.S. persons have the authority to control all substantial decisions of the trust or (ii) the trust has a valid election in effect to be treated as a U.S. person for U.S. federal income tax purposes. </w:t>
      </w:r>
    </w:p>
    <w:p>
      <w:pPr>
        <w:pStyle w:val="TextBody"/>
        <w:jc w:val="center"/>
        <w:rPr>
          <w:rFonts w:ascii="times" w:hAnsi="times"/>
          <w:sz w:val="20"/>
        </w:rPr>
      </w:pPr>
      <w:r>
        <w:rPr>
          <w:rFonts w:ascii="times" w:hAnsi="times"/>
          <w:sz w:val="20"/>
        </w:rPr>
        <w:t>S-51</w:t>
      </w:r>
    </w:p>
    <w:p>
      <w:pPr>
        <w:pStyle w:val="HorizontalLine"/>
        <w:pBdr>
          <w:bottom w:val="single" w:sz="20" w:space="0" w:color="808080"/>
        </w:pBdr>
        <w:rPr/>
      </w:pPr>
      <w:r>
        <w:rPr/>
      </w:r>
      <w:r>
        <w:br w:type="page"/>
      </w:r>
    </w:p>
    <w:p>
      <w:pPr>
        <w:pStyle w:val="TextBody"/>
        <w:rPr/>
      </w:pPr>
      <w:hyperlink w:anchor="bE43504A_main_toc">
        <w:bookmarkStart w:id="176" w:name="page_cg43504_1_52"/>
        <w:bookmarkEnd w:id="176"/>
        <w:r>
          <w:rPr>
            <w:rStyle w:val="InternetLink"/>
            <w:rFonts w:ascii="times" w:hAnsi="times"/>
            <w:sz w:val="20"/>
          </w:rPr>
          <w:t>Table of Contents</w:t>
        </w:r>
      </w:hyperlink>
    </w:p>
    <w:p>
      <w:pPr>
        <w:pStyle w:val="TextBody"/>
        <w:ind w:left="200" w:right="0" w:hanging="200"/>
        <w:rPr>
          <w:rFonts w:ascii="times" w:hAnsi="times"/>
          <w:b/>
          <w:i/>
          <w:sz w:val="20"/>
        </w:rPr>
      </w:pPr>
      <w:r>
        <w:rPr>
          <w:rFonts w:ascii="times" w:hAnsi="times"/>
          <w:b/>
          <w:i/>
          <w:sz w:val="20"/>
        </w:rPr>
        <w:t xml:space="preserve">Distributions </w:t>
      </w:r>
    </w:p>
    <w:p>
      <w:pPr>
        <w:pStyle w:val="TextBody"/>
        <w:rPr>
          <w:rFonts w:ascii="times" w:hAnsi="times"/>
          <w:sz w:val="20"/>
        </w:rPr>
      </w:pPr>
      <w:r>
        <w:rPr>
          <w:rFonts w:ascii="times" w:hAnsi="times"/>
          <w:sz w:val="20"/>
        </w:rPr>
        <w:t xml:space="preserve">Subject to the discussion below of the rules applicable to PFICs, any distributions to a U.S. Holder made by us with respect to our common units generally will constitute dividends to the extent of our current or accumulated earnings and profits, as determined under U.S. federal income tax principles. </w:t>
      </w:r>
    </w:p>
    <w:p>
      <w:pPr>
        <w:pStyle w:val="TextBody"/>
        <w:rPr>
          <w:rFonts w:ascii="times" w:hAnsi="times"/>
          <w:sz w:val="20"/>
        </w:rPr>
      </w:pPr>
      <w:r>
        <w:rPr>
          <w:rFonts w:ascii="times" w:hAnsi="times"/>
          <w:sz w:val="20"/>
        </w:rPr>
        <w:t xml:space="preserve">Distributions in excess of our earnings and profits will be treated first as a nontaxable return of capital to the extent of the U.S. Holder's tax basis in its common units and thereafter as capital gain. U.S. Holders that are corporations generally will not be entitled to claim a dividend received deduction with respect to distributions they receive from us. Dividends received with respect to our common units generally will be treated as foreign source "passive category income" for purposes of computing allowable foreign tax credits for U.S. federal income tax purposes. </w:t>
      </w:r>
    </w:p>
    <w:p>
      <w:pPr>
        <w:pStyle w:val="TextBody"/>
        <w:rPr>
          <w:rFonts w:ascii="times" w:hAnsi="times"/>
          <w:sz w:val="20"/>
        </w:rPr>
      </w:pPr>
      <w:r>
        <w:rPr>
          <w:rFonts w:ascii="times" w:hAnsi="times"/>
          <w:sz w:val="20"/>
        </w:rPr>
        <w:t xml:space="preserve">Dividends received with respect to our common units by a U.S. Holder that is an individual, trust or estate, or a "U.S. Individual Holder", generally will be treated as "qualified dividend income", which is taxable to such U.S. Individual Holder at preferential tax rates provided that: (i) our common units are readily tradable on an established securities market in the United States (such as the NYSE on which our common units are currently traded); (ii) we are not a PFIC for the taxable year during which the dividend is paid or the immediately preceding taxable year (which we do not believe we are, have been or will be, as discussed below under "PFIC Status and Significant Tax Consequences"); (iii) the U.S. Individual Holder has owned the common units for more than 60 days during the 121-day period beginning 60 days before the date on which the common units become ex-dividend (and has not entered into certain risk limiting transactions with respect to such common units); and (iv) the U.S. Individual Holder is not under an obligation to make related payments with respect to positions in substantially similar or related property. There is no assurance that any dividends paid on our common units will be eligible for these preferential rates in the hands of a U.S. Individual Holder, and any dividends paid on our common units that are not eligible for these preferential rates will be taxed at ordinary income rates to a U.S. Individual Holder. </w:t>
      </w:r>
    </w:p>
    <w:p>
      <w:pPr>
        <w:pStyle w:val="TextBody"/>
        <w:rPr>
          <w:rFonts w:ascii="times" w:hAnsi="times"/>
          <w:sz w:val="20"/>
        </w:rPr>
      </w:pPr>
      <w:r>
        <w:rPr>
          <w:rFonts w:ascii="times" w:hAnsi="times"/>
          <w:sz w:val="20"/>
        </w:rPr>
        <w:t xml:space="preserve">Special rules may apply to any amounts received in respect of our common units that are treated as "extraordinary dividends". In general, an extraordinary dividend is a dividend with respect to a common unit that is equal to or in excess of 10.0% of a unitholder's adjusted tax basis (or fair market value upon the unitholder's election) in such common unit. In addition, extraordinary dividends include dividends received within a one-year period that, in the aggregate, equal or exceed 20.0% of a unitholder's adjusted tax basis (or fair market value). If we pay an "extraordinary dividend" on our common units that is treated as "qualified dividend income", then any loss recognized by a U.S. Individual Holder from the sale or exchange of such common units will be treated as long-term capital loss to the extent of the amount of such dividend. </w:t>
      </w:r>
    </w:p>
    <w:p>
      <w:pPr>
        <w:pStyle w:val="TextBody"/>
        <w:ind w:left="200" w:right="0" w:hanging="200"/>
        <w:rPr>
          <w:rFonts w:ascii="times" w:hAnsi="times"/>
          <w:b/>
          <w:i/>
          <w:sz w:val="20"/>
        </w:rPr>
      </w:pPr>
      <w:r>
        <w:rPr>
          <w:rFonts w:ascii="times" w:hAnsi="times"/>
          <w:b/>
          <w:i/>
          <w:sz w:val="20"/>
        </w:rPr>
        <w:t xml:space="preserve">Sale, Exchange or Other Disposition of Common Units </w:t>
      </w:r>
    </w:p>
    <w:p>
      <w:pPr>
        <w:pStyle w:val="TextBody"/>
        <w:rPr>
          <w:rFonts w:ascii="times" w:hAnsi="times"/>
          <w:sz w:val="20"/>
        </w:rPr>
      </w:pPr>
      <w:r>
        <w:rPr>
          <w:rFonts w:ascii="times" w:hAnsi="times"/>
          <w:sz w:val="20"/>
        </w:rPr>
        <w:t xml:space="preserve">Subject to the discussion of PFIC status below, a U.S. Holder generally will recognize capital gain or loss upon a sale, exchange or other disposition of our units in an amount equal to the difference between the amount realized by the U.S. Holder from such sale, exchange or other disposition and the U.S. Holder's adjusted tax basis in such units. The U.S. Holder's initial tax basis in its units generally will be the U.S. Holder's purchase price for the units and that tax basis will be reduced (but not below zero) by the amount of any distributions on the units that are treated as non-taxable returns of capital (as discussed above under "Distributions"). Such gain or loss will be treated as long-term capital gain or loss if the U.S. Holder's holding period is greater than one year at the time of the sale, exchange or other disposition. Certain U.S. Holders (including individuals) may be eligible for preferential rates of U.S. federal income tax in respect of long-term capital gains. A U.S. Holder's ability to deduct capital </w:t>
      </w:r>
    </w:p>
    <w:p>
      <w:pPr>
        <w:pStyle w:val="TextBody"/>
        <w:jc w:val="center"/>
        <w:rPr>
          <w:rFonts w:ascii="times" w:hAnsi="times"/>
          <w:sz w:val="20"/>
        </w:rPr>
      </w:pPr>
      <w:r>
        <w:rPr>
          <w:rFonts w:ascii="times" w:hAnsi="times"/>
          <w:sz w:val="20"/>
        </w:rPr>
        <w:t>S-52</w:t>
      </w:r>
    </w:p>
    <w:p>
      <w:pPr>
        <w:pStyle w:val="HorizontalLine"/>
        <w:pBdr>
          <w:bottom w:val="single" w:sz="20" w:space="0" w:color="808080"/>
        </w:pBdr>
        <w:rPr/>
      </w:pPr>
      <w:r>
        <w:rPr/>
      </w:r>
      <w:r>
        <w:br w:type="page"/>
      </w:r>
    </w:p>
    <w:p>
      <w:pPr>
        <w:pStyle w:val="TextBody"/>
        <w:rPr/>
      </w:pPr>
      <w:hyperlink w:anchor="bE43504A_main_toc">
        <w:bookmarkStart w:id="177" w:name="page_cg43504_1_53"/>
        <w:bookmarkEnd w:id="177"/>
        <w:r>
          <w:rPr>
            <w:rStyle w:val="InternetLink"/>
            <w:rFonts w:ascii="times" w:hAnsi="times"/>
            <w:sz w:val="20"/>
          </w:rPr>
          <w:t>Table of Contents</w:t>
        </w:r>
      </w:hyperlink>
    </w:p>
    <w:p>
      <w:pPr>
        <w:pStyle w:val="TextBody"/>
        <w:rPr>
          <w:rFonts w:ascii="times" w:hAnsi="times"/>
          <w:sz w:val="20"/>
        </w:rPr>
      </w:pPr>
      <w:r>
        <w:rPr>
          <w:rFonts w:ascii="times" w:hAnsi="times"/>
          <w:sz w:val="20"/>
        </w:rPr>
        <w:t xml:space="preserve">losses is subject to limitations. Such capital gain or loss generally will be treated as U.S. source income or loss, as applicable, for U.S. foreign tax credit purposes. </w:t>
      </w:r>
    </w:p>
    <w:p>
      <w:pPr>
        <w:pStyle w:val="TextBody"/>
        <w:ind w:left="200" w:right="0" w:hanging="200"/>
        <w:rPr>
          <w:rFonts w:ascii="times" w:hAnsi="times"/>
          <w:b/>
          <w:i/>
          <w:sz w:val="20"/>
        </w:rPr>
      </w:pPr>
      <w:r>
        <w:rPr>
          <w:rFonts w:ascii="times" w:hAnsi="times"/>
          <w:b/>
          <w:i/>
          <w:sz w:val="20"/>
        </w:rPr>
        <w:t xml:space="preserve">Medicare Tax on Net Investment Income </w:t>
      </w:r>
    </w:p>
    <w:p>
      <w:pPr>
        <w:pStyle w:val="TextBody"/>
        <w:rPr>
          <w:rFonts w:ascii="times" w:hAnsi="times"/>
          <w:sz w:val="20"/>
        </w:rPr>
      </w:pPr>
      <w:r>
        <w:rPr>
          <w:rFonts w:ascii="times" w:hAnsi="times"/>
          <w:sz w:val="20"/>
        </w:rPr>
        <w:t xml:space="preserve">Certain U.S. Holders, including individuals, estates and trusts, will be subject to an additional 3.8% Medicare tax on, among other things, dividends and capital gains from the sale or other disposition of equity interests. For individuals, the additional Medicare tax applies to the lesser of (i) "net investment income" or (ii) the excess of "modified adjusted gross income" over $200,000 ($250,000 if married and filing jointly or $125,000 if married and filing separately). "Net investment income" generally equals the taxpayer's gross investment income reduced by deductions that are allocable to such income. Unitholders are encouraged to consult their tax advisors regarding the implications of the additional Medicare tax resulting from their ownership and disposition of our common units. </w:t>
      </w:r>
    </w:p>
    <w:p>
      <w:pPr>
        <w:pStyle w:val="TextBody"/>
        <w:ind w:left="200" w:right="0" w:hanging="200"/>
        <w:rPr>
          <w:rFonts w:ascii="times" w:hAnsi="times"/>
          <w:b/>
          <w:i/>
          <w:sz w:val="20"/>
        </w:rPr>
      </w:pPr>
      <w:r>
        <w:rPr>
          <w:rFonts w:ascii="times" w:hAnsi="times"/>
          <w:b/>
          <w:i/>
          <w:sz w:val="20"/>
        </w:rPr>
        <w:t xml:space="preserve">PFIC Status and Significant Tax Consequences </w:t>
      </w:r>
    </w:p>
    <w:p>
      <w:pPr>
        <w:pStyle w:val="TextBody"/>
        <w:rPr>
          <w:rFonts w:ascii="times" w:hAnsi="times"/>
          <w:sz w:val="20"/>
        </w:rPr>
      </w:pPr>
      <w:r>
        <w:rPr>
          <w:rFonts w:ascii="times" w:hAnsi="times"/>
          <w:sz w:val="20"/>
        </w:rPr>
        <w:t>Adverse U.S. federal income tax rules apply to a U.S. Holder that owns an equity interest in a non-U.S. corporation that is classified as a PFIC for U.S. federal income tax purposes. In general, we will be treated as a PFIC with respect to a U.S. Holder if, for any taxable year in which the holder held our units, either:</w:t>
      </w:r>
    </w:p>
    <w:p>
      <w:pPr>
        <w:pStyle w:val="ListHeading"/>
        <w:numPr>
          <w:ilvl w:val="0"/>
          <w:numId w:val="0"/>
        </w:numPr>
        <w:spacing w:before="0" w:after="0"/>
        <w:ind w:left="1414" w:right="0" w:hanging="0"/>
        <w:rPr>
          <w:rFonts w:ascii="times" w:hAnsi="times"/>
          <w:sz w:val="20"/>
        </w:rPr>
      </w:pPr>
      <w:r>
        <w:rPr>
          <w:rFonts w:ascii="times" w:hAnsi="times"/>
          <w:sz w:val="20"/>
        </w:rPr>
        <w:t></w:t>
      </w:r>
    </w:p>
    <w:p>
      <w:pPr>
        <w:pStyle w:val="ListContents"/>
        <w:numPr>
          <w:ilvl w:val="0"/>
          <w:numId w:val="0"/>
        </w:numPr>
        <w:spacing w:before="0" w:after="283"/>
        <w:ind w:left="1981" w:right="0" w:hanging="0"/>
        <w:rPr>
          <w:rFonts w:ascii="times" w:hAnsi="times"/>
        </w:rPr>
      </w:pPr>
      <w:r>
        <w:rPr>
          <w:rFonts w:ascii="times" w:hAnsi="times"/>
          <w:sz w:val="20"/>
        </w:rPr>
        <w:t>at least 75.0% of our gross income (including the gross income of our vessel-owning subsidiaries) for such taxable year consists of passive income (</w:t>
      </w:r>
      <w:r>
        <w:rPr>
          <w:rFonts w:ascii="times" w:hAnsi="times"/>
          <w:i/>
          <w:sz w:val="20"/>
        </w:rPr>
        <w:t>e.g.</w:t>
      </w:r>
      <w:r>
        <w:rPr>
          <w:rFonts w:ascii="times" w:hAnsi="times"/>
          <w:sz w:val="20"/>
        </w:rPr>
        <w:t xml:space="preserve">, dividends, interest, capital gains from the sale or exchange of investment property and rents derived other than in the active conduct of a rental business); or </w:t>
      </w:r>
    </w:p>
    <w:p>
      <w:pPr>
        <w:pStyle w:val="ListHeading"/>
        <w:numPr>
          <w:ilvl w:val="0"/>
          <w:numId w:val="0"/>
        </w:numPr>
        <w:spacing w:before="0" w:after="0"/>
        <w:ind w:left="1414" w:right="0" w:hanging="0"/>
        <w:rPr>
          <w:rFonts w:ascii="times" w:hAnsi="times"/>
          <w:sz w:val="20"/>
        </w:rPr>
      </w:pPr>
      <w:r>
        <w:rPr>
          <w:rFonts w:ascii="times" w:hAnsi="times"/>
          <w:sz w:val="20"/>
        </w:rPr>
        <w:t></w:t>
      </w:r>
    </w:p>
    <w:p>
      <w:pPr>
        <w:pStyle w:val="ListContents"/>
        <w:numPr>
          <w:ilvl w:val="0"/>
          <w:numId w:val="0"/>
        </w:numPr>
        <w:spacing w:before="0" w:after="283"/>
        <w:ind w:left="1981" w:right="0" w:hanging="0"/>
        <w:rPr>
          <w:rFonts w:ascii="times" w:hAnsi="times"/>
          <w:sz w:val="20"/>
        </w:rPr>
      </w:pPr>
      <w:r>
        <w:rPr>
          <w:rFonts w:ascii="times" w:hAnsi="times"/>
          <w:sz w:val="20"/>
        </w:rPr>
        <w:t xml:space="preserve">at least 50.0% of the average value of the assets held by us (including the assets of our vessel-owning subsidiaries) during such taxable year produce, or are held for the production of, passive income. </w:t>
      </w:r>
    </w:p>
    <w:p>
      <w:pPr>
        <w:pStyle w:val="TextBody"/>
        <w:rPr>
          <w:rFonts w:ascii="times" w:hAnsi="times"/>
          <w:sz w:val="20"/>
        </w:rPr>
      </w:pPr>
      <w:r>
        <w:rPr>
          <w:rFonts w:ascii="times" w:hAnsi="times"/>
          <w:sz w:val="20"/>
        </w:rPr>
        <w:t xml:space="preserve">Income earned, or treated as earned (for U.S. federal income tax purposes), by us in connection with the performance of services would not constitute passive income. By contrast, rental income generally would constitute "passive income" unless we were treated as deriving that rental income in the active conduct of a trade or business under the applicable rules. </w:t>
      </w:r>
    </w:p>
    <w:p>
      <w:pPr>
        <w:pStyle w:val="TextBody"/>
        <w:rPr>
          <w:rFonts w:ascii="times" w:hAnsi="times"/>
          <w:sz w:val="20"/>
        </w:rPr>
      </w:pPr>
      <w:r>
        <w:rPr>
          <w:rFonts w:ascii="times" w:hAnsi="times"/>
          <w:sz w:val="20"/>
        </w:rPr>
        <w:t xml:space="preserve">Based on our past, current and projected methods of operation, and an opinion of counsel, we do not believe that we were, are or will be a PFIC for any of our previous taxable years or for our current or any future taxable year. We have received opinions of our U.S. counsel, Cravath, Swaine &amp; Moore LLP, in support of this position that conclude that the income our subsidiaries earn from certain of our time-chartering activities should not constitute passive income for purposes of determining whether we are a PFIC. In addition, we have represented to our U.S. counsel that more than 25.0% of our gross income for each of our previous taxable years arose and that we expect that more than 25.0% of our gross income for our current and each future taxable year will arise from such time-chartering activities, and more than 50.0% of the average value of our assets for each such year was or will be held for the production of such nonpassive income. Assuming the composition of our income and assets is consistent with these representations, and assuming the accuracy of other representations we have made to our U.S. counsel for purposes of their opinion, our U.S. counsel is of the opinion that we should not be a PFIC for any of our previous taxable years or for our current or any future taxable year. </w:t>
      </w:r>
    </w:p>
    <w:p>
      <w:pPr>
        <w:pStyle w:val="TextBody"/>
        <w:rPr>
          <w:rFonts w:ascii="times" w:hAnsi="times"/>
          <w:sz w:val="20"/>
        </w:rPr>
      </w:pPr>
      <w:r>
        <w:rPr>
          <w:rFonts w:ascii="times" w:hAnsi="times"/>
          <w:sz w:val="20"/>
        </w:rPr>
        <w:t xml:space="preserve">Our counsel has indicated to us that the conclusions described above are not free from doubt. While there is legal authority supporting our conclusions, including IRS pronouncements concerning the </w:t>
      </w:r>
    </w:p>
    <w:p>
      <w:pPr>
        <w:pStyle w:val="TextBody"/>
        <w:jc w:val="center"/>
        <w:rPr>
          <w:rFonts w:ascii="times" w:hAnsi="times"/>
          <w:sz w:val="20"/>
        </w:rPr>
      </w:pPr>
      <w:r>
        <w:rPr>
          <w:rFonts w:ascii="times" w:hAnsi="times"/>
          <w:sz w:val="20"/>
        </w:rPr>
        <w:t>S-53</w:t>
      </w:r>
    </w:p>
    <w:p>
      <w:pPr>
        <w:pStyle w:val="HorizontalLine"/>
        <w:pBdr>
          <w:bottom w:val="single" w:sz="20" w:space="0" w:color="808080"/>
        </w:pBdr>
        <w:rPr/>
      </w:pPr>
      <w:r>
        <w:rPr/>
      </w:r>
      <w:r>
        <w:br w:type="page"/>
      </w:r>
    </w:p>
    <w:p>
      <w:pPr>
        <w:pStyle w:val="TextBody"/>
        <w:rPr/>
      </w:pPr>
      <w:hyperlink w:anchor="bE43504A_main_toc">
        <w:bookmarkStart w:id="178" w:name="page_cg43504_1_54"/>
        <w:bookmarkEnd w:id="178"/>
        <w:r>
          <w:rPr>
            <w:rStyle w:val="InternetLink"/>
            <w:rFonts w:ascii="times" w:hAnsi="times"/>
            <w:sz w:val="20"/>
          </w:rPr>
          <w:t>Table of Contents</w:t>
        </w:r>
      </w:hyperlink>
    </w:p>
    <w:p>
      <w:pPr>
        <w:pStyle w:val="TextBody"/>
        <w:rPr>
          <w:rFonts w:ascii="times" w:hAnsi="times"/>
        </w:rPr>
      </w:pPr>
      <w:r>
        <w:rPr>
          <w:rFonts w:ascii="times" w:hAnsi="times"/>
          <w:sz w:val="20"/>
        </w:rPr>
        <w:t xml:space="preserve">characterization of income derived from time charters as services income, the United States Court of Appeals for the Fifth Circuit (or the Fifth Circuit) held in </w:t>
      </w:r>
      <w:r>
        <w:rPr>
          <w:rFonts w:ascii="times" w:hAnsi="times"/>
          <w:i/>
          <w:sz w:val="20"/>
        </w:rPr>
        <w:t>Tidewater Inc. v. United States</w:t>
      </w:r>
      <w:r>
        <w:rPr>
          <w:rFonts w:ascii="times" w:hAnsi="times"/>
          <w:sz w:val="20"/>
        </w:rPr>
        <w:t xml:space="preserve">, 565 F.3d 299 (5th Cir. 2009) that income derived from certain marine time charter agreements should be treated as rental income rather than services income for purposes of a "foreign sales corporation" provision of the Code. In that case, the Fifth Circuit did not address the definition of passive income or the PFIC rules; however, the reasoning of the case could have implications as to how the income from a time charter would be classified under such rules. If the reasoning of this case were extended to the PFIC context, the gross income we derive or are deemed to derive from our time-chartering activities may be treated as rental income, and we would likely be treated as a PFIC. The IRS has announced its nonacquiescence with the court's holding in the Tidewater case and, at the same time, announced the position of the IRS that the marine time charter agreements at issue in that case should be treated as service contracts. </w:t>
      </w:r>
    </w:p>
    <w:p>
      <w:pPr>
        <w:pStyle w:val="TextBody"/>
        <w:rPr>
          <w:rFonts w:ascii="times" w:hAnsi="times"/>
          <w:sz w:val="20"/>
        </w:rPr>
      </w:pPr>
      <w:r>
        <w:rPr>
          <w:rFonts w:ascii="times" w:hAnsi="times"/>
          <w:sz w:val="20"/>
        </w:rPr>
        <w:t xml:space="preserve">Distinguishing between arrangements treated as generating rental income and those treated as generating services income involves weighing and balancing competing factual considerations, and there is no legal authority under the PFIC rules addressing our specific method of operation. Conclusions in this area therefore remain matters of interpretation. We are not seeking a ruling from the IRS on the treatment of income generated from our time-chartering operations, and the opinion of our counsel is not binding on the IRS or any court. Thus, while we have received an opinion of counsel in support of our position, it is possible that the IRS or a court could disagree with this position and the opinion of our counsel. In addition, although we intend to conduct our affairs in a manner to avoid being classified as a PFIC with respect to any taxable year, we cannot assure unitholders that the nature of our operations will not change in the future and that we will not become a PFIC in any future taxable year. </w:t>
      </w:r>
    </w:p>
    <w:p>
      <w:pPr>
        <w:pStyle w:val="TextBody"/>
        <w:rPr>
          <w:rFonts w:ascii="times" w:hAnsi="times"/>
          <w:sz w:val="20"/>
        </w:rPr>
      </w:pPr>
      <w:r>
        <w:rPr>
          <w:rFonts w:ascii="times" w:hAnsi="times"/>
          <w:sz w:val="20"/>
        </w:rPr>
        <w:t xml:space="preserve">As discussed more fully below, if we were to be treated as a PFIC for any taxable year, a U.S. Holder would be subject to different taxation rules depending on whether the U.S. Holder makes an election to treat us as a "Qualified Electing Fund", which we refer to as a "QEF election". As an alternative to making a QEF election, a U.S. Holder should be able to make a "mark-to-market" election with respect to our common units, as discussed below. In addition, if a U.S. Holder owns our common units during any taxable year that we are a PFIC, such units owned by such holder will be treated as PFIC units even if we are not a PFIC in a subsequent year and, if the total value of all PFIC stock that such holder directly or indirectly owns exceeds certain thresholds, such holder must file IRS Form 8621 with its U.S. federal income tax return to report its ownership of our common units. </w:t>
      </w:r>
    </w:p>
    <w:p>
      <w:pPr>
        <w:pStyle w:val="TextBody"/>
        <w:rPr>
          <w:rFonts w:ascii="times" w:hAnsi="times"/>
          <w:sz w:val="20"/>
        </w:rPr>
      </w:pPr>
      <w:r>
        <w:rPr>
          <w:rFonts w:ascii="times" w:hAnsi="times"/>
          <w:sz w:val="20"/>
        </w:rPr>
        <w:t xml:space="preserve">The PFIC rules are complex, and you are encouraged to consult your own tax advisor regarding the PFIC rules, including the annual PFIC reporting requirement. </w:t>
      </w:r>
    </w:p>
    <w:p>
      <w:pPr>
        <w:pStyle w:val="TextBody"/>
        <w:ind w:left="200" w:right="0" w:hanging="200"/>
        <w:rPr>
          <w:rFonts w:ascii="times" w:hAnsi="times"/>
          <w:b/>
          <w:i/>
          <w:sz w:val="20"/>
        </w:rPr>
      </w:pPr>
      <w:r>
        <w:rPr>
          <w:rFonts w:ascii="times" w:hAnsi="times"/>
          <w:b/>
          <w:i/>
          <w:sz w:val="20"/>
        </w:rPr>
        <w:t xml:space="preserve">Taxation of U.S. Holders Making a Timely QEF Election </w:t>
      </w:r>
    </w:p>
    <w:p>
      <w:pPr>
        <w:pStyle w:val="TextBody"/>
        <w:rPr>
          <w:rFonts w:ascii="times" w:hAnsi="times"/>
          <w:sz w:val="20"/>
        </w:rPr>
      </w:pPr>
      <w:r>
        <w:rPr>
          <w:rFonts w:ascii="times" w:hAnsi="times"/>
          <w:sz w:val="20"/>
        </w:rPr>
        <w:t xml:space="preserve">If we were to be treated as a PFIC for any taxable year, and a U.S. Holder makes a timely QEF election, such holder hereinafter an "Electing Holder", then, for U.S. federal income tax purposes, that holder must report as income for its taxable year its pro rata share of our ordinary earnings and net capital gain, if any, for our taxable years that end with or within the taxable year for which that holder is reporting, regardless of whether or not the Electing Holder received distributions from us in that year. The Electing Holder's adjusted tax basis in the common units will be increased to reflect taxed but undistributed earnings and profits. Distributions of earnings and profits that were previously taxed will result in a corresponding reduction in the Electing Holder's adjusted tax basis in common units and will not be taxed again once distributed. An Electing Holder generally will recognize capital gain or loss on the sale, exchange or other disposition of our common units. A U.S. Holder makes a QEF election with respect to any year that we are a PFIC by filing IRS Form 8621 with its U.S. federal income tax return. If, contrary to our expectations, we determine that we are treated as a PFIC for any taxable </w:t>
      </w:r>
    </w:p>
    <w:p>
      <w:pPr>
        <w:pStyle w:val="TextBody"/>
        <w:jc w:val="center"/>
        <w:rPr>
          <w:rFonts w:ascii="times" w:hAnsi="times"/>
          <w:sz w:val="20"/>
        </w:rPr>
      </w:pPr>
      <w:r>
        <w:rPr>
          <w:rFonts w:ascii="times" w:hAnsi="times"/>
          <w:sz w:val="20"/>
        </w:rPr>
        <w:t>S-54</w:t>
      </w:r>
    </w:p>
    <w:p>
      <w:pPr>
        <w:pStyle w:val="HorizontalLine"/>
        <w:pBdr>
          <w:bottom w:val="single" w:sz="20" w:space="0" w:color="808080"/>
        </w:pBdr>
        <w:rPr/>
      </w:pPr>
      <w:r>
        <w:rPr/>
      </w:r>
      <w:r>
        <w:br w:type="page"/>
      </w:r>
    </w:p>
    <w:p>
      <w:pPr>
        <w:pStyle w:val="TextBody"/>
        <w:rPr/>
      </w:pPr>
      <w:hyperlink w:anchor="bE43504A_main_toc">
        <w:bookmarkStart w:id="179" w:name="page_cg43504_1_55"/>
        <w:bookmarkEnd w:id="179"/>
        <w:r>
          <w:rPr>
            <w:rStyle w:val="InternetLink"/>
            <w:rFonts w:ascii="times" w:hAnsi="times"/>
            <w:sz w:val="20"/>
          </w:rPr>
          <w:t>Table of Contents</w:t>
        </w:r>
      </w:hyperlink>
    </w:p>
    <w:p>
      <w:pPr>
        <w:pStyle w:val="TextBody"/>
        <w:rPr>
          <w:rFonts w:ascii="times" w:hAnsi="times"/>
          <w:sz w:val="20"/>
        </w:rPr>
      </w:pPr>
      <w:r>
        <w:rPr>
          <w:rFonts w:ascii="times" w:hAnsi="times"/>
          <w:sz w:val="20"/>
        </w:rPr>
        <w:t xml:space="preserve">year, we will provide each U.S. Holder with the information necessary to make the QEF election described above. Although the QEF election is available with respect to subsidiaries, in the event we acquire or own a subsidiary in the future that is treated as a PFIC, no assurances can be made that we will be able to provide U.S. Holders with the necessary information to make the QEF election with respect to such subsidiary. </w:t>
      </w:r>
    </w:p>
    <w:p>
      <w:pPr>
        <w:pStyle w:val="TextBody"/>
        <w:ind w:left="200" w:right="0" w:hanging="200"/>
        <w:rPr>
          <w:rFonts w:ascii="times" w:hAnsi="times"/>
          <w:b/>
          <w:i/>
          <w:sz w:val="20"/>
        </w:rPr>
      </w:pPr>
      <w:r>
        <w:rPr>
          <w:rFonts w:ascii="times" w:hAnsi="times"/>
          <w:b/>
          <w:i/>
          <w:sz w:val="20"/>
        </w:rPr>
        <w:t xml:space="preserve">Taxation of U.S. Holders Making a "Mark-to-Market" Election </w:t>
      </w:r>
    </w:p>
    <w:p>
      <w:pPr>
        <w:pStyle w:val="TextBody"/>
        <w:rPr>
          <w:rFonts w:ascii="times" w:hAnsi="times"/>
          <w:sz w:val="20"/>
        </w:rPr>
      </w:pPr>
      <w:r>
        <w:rPr>
          <w:rFonts w:ascii="times" w:hAnsi="times"/>
          <w:sz w:val="20"/>
        </w:rPr>
        <w:t xml:space="preserve">If we were to be treated as a PFIC for any taxable year and, as we anticipate, our units were treated as "marketable stock", then, as an alternative to making a QEF election, a U.S. Holder would be allowed to make a "mark-to-market" election with respect to our common units, provided the U.S. Holder completes and files IRS Form 8621 in accordance with the relevant instructions and related Treasury Regulations. If that election is made, the U.S. Holder generally would include as ordinary income in each taxable year the excess, if any, of the fair market value of the U.S. Holder's common units at the end of the taxable year over the holder's adjusted tax basis in the common units. The U.S. Holder also would be permitted an ordinary loss in respect of the excess, if any, of the U.S. Holder's adjusted tax basis in the common units over the fair market value thereof at the end of the taxable year, but only to the extent of the net amount previously included in income as a result of the mark-to-market election. A U.S. Holder's tax basis in its common units would be adjusted to reflect any such income or loss recognized. Gain recognized on the sale, exchange or other disposition of our common units would be treated as ordinary income, and any loss recognized on the sale, exchange or other disposition of the common units would be treated as ordinary loss to the extent that such loss does not exceed the net mark-to-market gains previously included in income by the U.S. Holder. The mark-to-market election generally will not be available with respect to subsidiaries. Accordingly, in the event we acquire or own a subsidiary in the future that is treated as a PFIC, the mark-to-market election generally will not be available with respect to such subsidiary. </w:t>
      </w:r>
    </w:p>
    <w:p>
      <w:pPr>
        <w:pStyle w:val="TextBody"/>
        <w:ind w:left="200" w:right="0" w:hanging="200"/>
        <w:rPr>
          <w:rFonts w:ascii="times" w:hAnsi="times"/>
          <w:b/>
          <w:i/>
          <w:sz w:val="20"/>
        </w:rPr>
      </w:pPr>
      <w:r>
        <w:rPr>
          <w:rFonts w:ascii="times" w:hAnsi="times"/>
          <w:b/>
          <w:i/>
          <w:sz w:val="20"/>
        </w:rPr>
        <w:t xml:space="preserve">Taxation of U.S. Holders Not Making a Timely QEF or Mark-to-Market Election </w:t>
      </w:r>
    </w:p>
    <w:p>
      <w:pPr>
        <w:pStyle w:val="TextBody"/>
        <w:rPr>
          <w:rFonts w:ascii="times" w:hAnsi="times"/>
        </w:rPr>
      </w:pPr>
      <w:r>
        <w:rPr>
          <w:rFonts w:ascii="times" w:hAnsi="times"/>
          <w:sz w:val="20"/>
        </w:rPr>
        <w:t>If we were to be treated as a PFIC for any taxable year, a U.S. Holder that does not make either a QEF election or a "mark-to-market" election for that year, such holder hereinafter a "Non- Electing Holder", would be subject to special rules resulting in increased tax liability with respect to (1) any excess distribution (</w:t>
      </w:r>
      <w:r>
        <w:rPr>
          <w:rFonts w:ascii="times" w:hAnsi="times"/>
          <w:i/>
          <w:sz w:val="20"/>
        </w:rPr>
        <w:t>i.e.</w:t>
      </w:r>
      <w:r>
        <w:rPr>
          <w:rFonts w:ascii="times" w:hAnsi="times"/>
          <w:sz w:val="20"/>
        </w:rPr>
        <w:t>, the portion of any distributions received by the Non-Electing Holder on our common units in a taxable year in excess of 125.0% of the average annual distributions received by the Non-Electing Holder in the three preceding taxable years, or, if shorter, the portion of the Non-Electing Holder's holding period for the common units before the taxable year) and (2) any gain realized on the sale, exchange or other disposition of the units. Under these special rules:</w:t>
      </w:r>
    </w:p>
    <w:p>
      <w:pPr>
        <w:pStyle w:val="ListHeading"/>
        <w:numPr>
          <w:ilvl w:val="0"/>
          <w:numId w:val="0"/>
        </w:numPr>
        <w:spacing w:before="0" w:after="0"/>
        <w:ind w:left="1414" w:right="0" w:hanging="0"/>
        <w:rPr>
          <w:rFonts w:ascii="times" w:hAnsi="times"/>
          <w:sz w:val="20"/>
        </w:rPr>
      </w:pPr>
      <w:r>
        <w:rPr>
          <w:rFonts w:ascii="times" w:hAnsi="times"/>
          <w:sz w:val="20"/>
        </w:rPr>
        <w:t></w:t>
      </w:r>
    </w:p>
    <w:p>
      <w:pPr>
        <w:pStyle w:val="ListContents"/>
        <w:numPr>
          <w:ilvl w:val="0"/>
          <w:numId w:val="0"/>
        </w:numPr>
        <w:spacing w:before="0" w:after="283"/>
        <w:ind w:left="1981" w:right="0" w:hanging="0"/>
        <w:rPr>
          <w:rFonts w:ascii="times" w:hAnsi="times"/>
          <w:sz w:val="20"/>
        </w:rPr>
      </w:pPr>
      <w:r>
        <w:rPr>
          <w:rFonts w:ascii="times" w:hAnsi="times"/>
          <w:sz w:val="20"/>
        </w:rPr>
        <w:t xml:space="preserve">the excess distribution or gain would be allocated ratably over the Non-Electing Holder's aggregate holding period for the common units; </w:t>
      </w:r>
    </w:p>
    <w:p>
      <w:pPr>
        <w:pStyle w:val="ListHeading"/>
        <w:numPr>
          <w:ilvl w:val="0"/>
          <w:numId w:val="0"/>
        </w:numPr>
        <w:spacing w:before="0" w:after="0"/>
        <w:ind w:left="1414" w:right="0" w:hanging="0"/>
        <w:rPr>
          <w:rFonts w:ascii="times" w:hAnsi="times"/>
          <w:sz w:val="20"/>
        </w:rPr>
      </w:pPr>
      <w:r>
        <w:rPr>
          <w:rFonts w:ascii="times" w:hAnsi="times"/>
          <w:sz w:val="20"/>
        </w:rPr>
        <w:t></w:t>
      </w:r>
    </w:p>
    <w:p>
      <w:pPr>
        <w:pStyle w:val="ListContents"/>
        <w:numPr>
          <w:ilvl w:val="0"/>
          <w:numId w:val="0"/>
        </w:numPr>
        <w:spacing w:before="0" w:after="283"/>
        <w:ind w:left="1981" w:right="0" w:hanging="0"/>
        <w:rPr>
          <w:rFonts w:ascii="times" w:hAnsi="times"/>
          <w:sz w:val="20"/>
        </w:rPr>
      </w:pPr>
      <w:r>
        <w:rPr>
          <w:rFonts w:ascii="times" w:hAnsi="times"/>
          <w:sz w:val="20"/>
        </w:rPr>
        <w:t xml:space="preserve">the amount allocated to the current taxable year and any taxable year prior to the taxable year we were first treated as a PFIC with respect to the Non-Electing Holder would be taxed as ordinary income; and </w:t>
      </w:r>
    </w:p>
    <w:p>
      <w:pPr>
        <w:pStyle w:val="ListHeading"/>
        <w:numPr>
          <w:ilvl w:val="0"/>
          <w:numId w:val="0"/>
        </w:numPr>
        <w:spacing w:before="0" w:after="0"/>
        <w:ind w:left="1414" w:right="0" w:hanging="0"/>
        <w:rPr>
          <w:rFonts w:ascii="times" w:hAnsi="times"/>
          <w:sz w:val="20"/>
        </w:rPr>
      </w:pPr>
      <w:r>
        <w:rPr>
          <w:rFonts w:ascii="times" w:hAnsi="times"/>
          <w:sz w:val="20"/>
        </w:rPr>
        <w:t></w:t>
      </w:r>
    </w:p>
    <w:p>
      <w:pPr>
        <w:pStyle w:val="ListContents"/>
        <w:numPr>
          <w:ilvl w:val="0"/>
          <w:numId w:val="0"/>
        </w:numPr>
        <w:spacing w:before="0" w:after="283"/>
        <w:ind w:left="1981" w:right="0" w:hanging="0"/>
        <w:rPr>
          <w:rFonts w:ascii="times" w:hAnsi="times"/>
          <w:sz w:val="20"/>
        </w:rPr>
      </w:pPr>
      <w:r>
        <w:rPr>
          <w:rFonts w:ascii="times" w:hAnsi="times"/>
          <w:sz w:val="20"/>
        </w:rPr>
        <w:t xml:space="preserve">the amount allocated to each of the other taxable years would be subject to tax at the highest rate of tax in effect for the applicable class of taxpayers for that year, and an interest charge for the deemed deferral benefit would be imposed with respect to the resulting tax attributable to each such other taxable year. </w:t>
      </w:r>
    </w:p>
    <w:p>
      <w:pPr>
        <w:pStyle w:val="TextBody"/>
        <w:rPr>
          <w:rFonts w:ascii="times" w:hAnsi="times"/>
          <w:sz w:val="20"/>
        </w:rPr>
      </w:pPr>
      <w:r>
        <w:rPr>
          <w:rFonts w:ascii="times" w:hAnsi="times"/>
          <w:sz w:val="20"/>
        </w:rPr>
        <w:t xml:space="preserve">These penalties would not apply to a qualified pension, profit sharing or other retirement trust or other tax-exempt organization that did not borrow money or otherwise utilize leverage in connection with its </w:t>
      </w:r>
    </w:p>
    <w:p>
      <w:pPr>
        <w:pStyle w:val="TextBody"/>
        <w:jc w:val="center"/>
        <w:rPr>
          <w:rFonts w:ascii="times" w:hAnsi="times"/>
          <w:sz w:val="20"/>
        </w:rPr>
      </w:pPr>
      <w:r>
        <w:rPr>
          <w:rFonts w:ascii="times" w:hAnsi="times"/>
          <w:sz w:val="20"/>
        </w:rPr>
        <w:t>S-55</w:t>
      </w:r>
    </w:p>
    <w:p>
      <w:pPr>
        <w:pStyle w:val="HorizontalLine"/>
        <w:pBdr>
          <w:bottom w:val="single" w:sz="20" w:space="0" w:color="808080"/>
        </w:pBdr>
        <w:rPr/>
      </w:pPr>
      <w:r>
        <w:rPr/>
      </w:r>
      <w:r>
        <w:br w:type="page"/>
      </w:r>
    </w:p>
    <w:p>
      <w:pPr>
        <w:pStyle w:val="TextBody"/>
        <w:rPr/>
      </w:pPr>
      <w:hyperlink w:anchor="bE43504A_main_toc">
        <w:bookmarkStart w:id="180" w:name="page_cg43504_1_56"/>
        <w:bookmarkEnd w:id="180"/>
        <w:r>
          <w:rPr>
            <w:rStyle w:val="InternetLink"/>
            <w:rFonts w:ascii="times" w:hAnsi="times"/>
            <w:sz w:val="20"/>
          </w:rPr>
          <w:t>Table of Contents</w:t>
        </w:r>
      </w:hyperlink>
    </w:p>
    <w:p>
      <w:pPr>
        <w:pStyle w:val="TextBody"/>
        <w:rPr>
          <w:rFonts w:ascii="times" w:hAnsi="times"/>
          <w:sz w:val="20"/>
        </w:rPr>
      </w:pPr>
      <w:r>
        <w:rPr>
          <w:rFonts w:ascii="times" w:hAnsi="times"/>
          <w:sz w:val="20"/>
        </w:rPr>
        <w:t xml:space="preserve">acquisition of our common units. If we were treated as a PFIC for any taxable year and a Non-Electing Holder who is an individual dies while owning our common units, such holder's successor generally would not receive a step-up in tax basis with respect to such units. A Non-Electing Holder may be required to report its ownership of our common units by filing IRS Form 8621 with its U.S. federal income tax return. </w:t>
      </w:r>
    </w:p>
    <w:p>
      <w:pPr>
        <w:pStyle w:val="TextBody"/>
        <w:ind w:left="200" w:right="0" w:hanging="200"/>
        <w:rPr>
          <w:rFonts w:ascii="times" w:hAnsi="times"/>
          <w:b/>
          <w:i/>
          <w:sz w:val="20"/>
        </w:rPr>
      </w:pPr>
      <w:r>
        <w:rPr>
          <w:rFonts w:ascii="times" w:hAnsi="times"/>
          <w:b/>
          <w:i/>
          <w:sz w:val="20"/>
        </w:rPr>
        <w:t xml:space="preserve">U.S. Federal Income Taxation of Non-U.S. Holders </w:t>
      </w:r>
    </w:p>
    <w:p>
      <w:pPr>
        <w:pStyle w:val="TextBody"/>
        <w:rPr>
          <w:rFonts w:ascii="times" w:hAnsi="times"/>
          <w:sz w:val="20"/>
        </w:rPr>
      </w:pPr>
      <w:r>
        <w:rPr>
          <w:rFonts w:ascii="times" w:hAnsi="times"/>
          <w:sz w:val="20"/>
        </w:rPr>
        <w:t xml:space="preserve">A beneficial owner of our common units (other than a partnership or an entity or arrangement treated as a partnership for U.S. federal income tax purposes) that is not a U.S. Holder is referred to as a Non-U.S. Holder. If you are a partner in a partnership (or an entity or arrangement treated as a partnership for U.S. federal income tax purposes) holding our common units, you are encouraged to consult your own tax advisor regarding the tax consequences to you of the partnership's ownership of our common units. </w:t>
      </w:r>
    </w:p>
    <w:p>
      <w:pPr>
        <w:pStyle w:val="TextBody"/>
        <w:ind w:left="200" w:right="0" w:hanging="200"/>
        <w:rPr>
          <w:rFonts w:ascii="times" w:hAnsi="times"/>
          <w:b/>
          <w:i/>
          <w:sz w:val="20"/>
        </w:rPr>
      </w:pPr>
      <w:r>
        <w:rPr>
          <w:rFonts w:ascii="times" w:hAnsi="times"/>
          <w:b/>
          <w:i/>
          <w:sz w:val="20"/>
        </w:rPr>
        <w:t xml:space="preserve">Distributions </w:t>
      </w:r>
    </w:p>
    <w:p>
      <w:pPr>
        <w:pStyle w:val="TextBody"/>
        <w:rPr>
          <w:rFonts w:ascii="times" w:hAnsi="times"/>
          <w:sz w:val="20"/>
        </w:rPr>
      </w:pPr>
      <w:r>
        <w:rPr>
          <w:rFonts w:ascii="times" w:hAnsi="times"/>
          <w:sz w:val="20"/>
        </w:rPr>
        <w:t xml:space="preserve">Distributions we pay to a Non-U.S. Holder will not be subject to U.S. federal income tax or withholding tax if the Non-U.S. Holder is not engaged in a U.S. trade or business. If the Non-U.S. Holder is engaged in a U.S. trade or business, our distributions will be subject to U.S. federal income tax to the extent they constitute income "effectively connected" with the Non-U.S. Holder's U.S. trade or business. However, distributions paid to a Non-U.S. Holder that is engaged in a U.S. trade or business may be exempt from taxation under an income tax treaty and, if required by such income tax treaty, the income arising from the distribution is not attributable to a U.S. permanent establishment maintained by the Non- U.S. Holder. </w:t>
      </w:r>
    </w:p>
    <w:p>
      <w:pPr>
        <w:pStyle w:val="TextBody"/>
        <w:ind w:left="200" w:right="0" w:hanging="200"/>
        <w:rPr>
          <w:rFonts w:ascii="times" w:hAnsi="times"/>
          <w:b/>
          <w:i/>
          <w:sz w:val="20"/>
        </w:rPr>
      </w:pPr>
      <w:r>
        <w:rPr>
          <w:rFonts w:ascii="times" w:hAnsi="times"/>
          <w:b/>
          <w:i/>
          <w:sz w:val="20"/>
        </w:rPr>
        <w:t xml:space="preserve">Disposition of Units </w:t>
      </w:r>
    </w:p>
    <w:p>
      <w:pPr>
        <w:pStyle w:val="TextBody"/>
        <w:rPr>
          <w:rFonts w:ascii="times" w:hAnsi="times"/>
          <w:sz w:val="20"/>
        </w:rPr>
      </w:pPr>
      <w:r>
        <w:rPr>
          <w:rFonts w:ascii="times" w:hAnsi="times"/>
          <w:sz w:val="20"/>
        </w:rPr>
        <w:t xml:space="preserve">In general, a Non-U.S. Holder is not subject to U.S. federal income tax or withholding tax on any gain resulting from the disposition of our common units provided the Non-U.S. Holder is not engaged in a U.S. trade or business. A Non-U.S. Holder that is engaged in a U.S. trade or business will be subject to U.S. federal income tax in the event the gain from the disposition of units is "effectively connected" with the conduct of such U.S. trade or business (provided, in the case of a Non-U.S. Holder entitled to the benefits of an income tax treaty with the United States (and required by such income tax treaty), such gain also is attributable to a U.S. permanent establishment). However, even if not engaged in a U.S. trade or business, individual Non-U.S. Holders may be subject to tax on gain resulting from the disposition of our common units if they are present in the United States for 183 days or more during the taxable year in which those units are disposed and meet certain other requirements. </w:t>
      </w:r>
    </w:p>
    <w:p>
      <w:pPr>
        <w:pStyle w:val="TextBody"/>
        <w:ind w:left="200" w:right="0" w:hanging="200"/>
        <w:rPr>
          <w:rFonts w:ascii="times" w:hAnsi="times"/>
          <w:b/>
          <w:sz w:val="20"/>
        </w:rPr>
      </w:pPr>
      <w:bookmarkStart w:id="181" w:name="toc_cg43504_5"/>
      <w:bookmarkStart w:id="182" w:name="cg43504_backup_withholding_and_informati"/>
      <w:bookmarkEnd w:id="181"/>
      <w:bookmarkEnd w:id="182"/>
      <w:r>
        <w:rPr>
          <w:rFonts w:ascii="times" w:hAnsi="times"/>
          <w:b/>
          <w:sz w:val="20"/>
        </w:rPr>
        <w:t xml:space="preserve">Backup Withholding and Information Reporting </w:t>
      </w:r>
    </w:p>
    <w:p>
      <w:pPr>
        <w:pStyle w:val="TextBody"/>
        <w:rPr>
          <w:rFonts w:ascii="times" w:hAnsi="times"/>
          <w:sz w:val="20"/>
        </w:rPr>
      </w:pPr>
      <w:r>
        <w:rPr>
          <w:rFonts w:ascii="times" w:hAnsi="times"/>
          <w:sz w:val="20"/>
        </w:rPr>
        <w:t>In general, payments to a U.S. Individual Holder of distributions or the proceeds of a disposition of common units will be subject to information reporting. These payments to a U.S. Individual Holder also may be subject to backup withholding if the U.S. Individual Holder:</w:t>
      </w:r>
    </w:p>
    <w:p>
      <w:pPr>
        <w:pStyle w:val="ListHeading"/>
        <w:numPr>
          <w:ilvl w:val="0"/>
          <w:numId w:val="0"/>
        </w:numPr>
        <w:spacing w:before="0" w:after="0"/>
        <w:ind w:left="1414" w:right="0" w:hanging="0"/>
        <w:rPr>
          <w:rFonts w:ascii="times" w:hAnsi="times"/>
          <w:sz w:val="20"/>
        </w:rPr>
      </w:pPr>
      <w:r>
        <w:rPr>
          <w:rFonts w:ascii="times" w:hAnsi="times"/>
          <w:sz w:val="20"/>
        </w:rPr>
        <w:t></w:t>
      </w:r>
    </w:p>
    <w:p>
      <w:pPr>
        <w:pStyle w:val="ListContents"/>
        <w:numPr>
          <w:ilvl w:val="0"/>
          <w:numId w:val="0"/>
        </w:numPr>
        <w:spacing w:before="0" w:after="283"/>
        <w:ind w:left="1981" w:right="0" w:hanging="0"/>
        <w:rPr>
          <w:rFonts w:ascii="times" w:hAnsi="times"/>
          <w:sz w:val="20"/>
        </w:rPr>
      </w:pPr>
      <w:r>
        <w:rPr>
          <w:rFonts w:ascii="times" w:hAnsi="times"/>
          <w:sz w:val="20"/>
        </w:rPr>
        <w:t xml:space="preserve">fails to provide an accurate taxpayer identification number; </w:t>
      </w:r>
    </w:p>
    <w:p>
      <w:pPr>
        <w:pStyle w:val="ListHeading"/>
        <w:numPr>
          <w:ilvl w:val="0"/>
          <w:numId w:val="0"/>
        </w:numPr>
        <w:spacing w:before="0" w:after="0"/>
        <w:ind w:left="1414" w:right="0" w:hanging="0"/>
        <w:rPr>
          <w:rFonts w:ascii="times" w:hAnsi="times"/>
          <w:sz w:val="20"/>
        </w:rPr>
      </w:pPr>
      <w:r>
        <w:rPr>
          <w:rFonts w:ascii="times" w:hAnsi="times"/>
          <w:sz w:val="20"/>
        </w:rPr>
        <w:t></w:t>
      </w:r>
    </w:p>
    <w:p>
      <w:pPr>
        <w:pStyle w:val="ListContents"/>
        <w:numPr>
          <w:ilvl w:val="0"/>
          <w:numId w:val="0"/>
        </w:numPr>
        <w:spacing w:before="0" w:after="283"/>
        <w:ind w:left="1981" w:right="0" w:hanging="0"/>
        <w:rPr>
          <w:rFonts w:ascii="times" w:hAnsi="times"/>
          <w:sz w:val="20"/>
        </w:rPr>
      </w:pPr>
      <w:r>
        <w:rPr>
          <w:rFonts w:ascii="times" w:hAnsi="times"/>
          <w:sz w:val="20"/>
        </w:rPr>
        <w:t xml:space="preserve">is notified by the IRS that it has failed to report all interest or corporate distributions required to be reported on its U.S. federal income tax returns; or </w:t>
      </w:r>
    </w:p>
    <w:p>
      <w:pPr>
        <w:pStyle w:val="ListHeading"/>
        <w:numPr>
          <w:ilvl w:val="0"/>
          <w:numId w:val="0"/>
        </w:numPr>
        <w:spacing w:before="0" w:after="0"/>
        <w:ind w:left="1414" w:right="0" w:hanging="0"/>
        <w:rPr>
          <w:rFonts w:ascii="times" w:hAnsi="times"/>
          <w:sz w:val="20"/>
        </w:rPr>
      </w:pPr>
      <w:r>
        <w:rPr>
          <w:rFonts w:ascii="times" w:hAnsi="times"/>
          <w:sz w:val="20"/>
        </w:rPr>
        <w:t></w:t>
      </w:r>
    </w:p>
    <w:p>
      <w:pPr>
        <w:pStyle w:val="ListContents"/>
        <w:numPr>
          <w:ilvl w:val="0"/>
          <w:numId w:val="0"/>
        </w:numPr>
        <w:spacing w:before="0" w:after="283"/>
        <w:ind w:left="1981" w:right="0" w:hanging="0"/>
        <w:rPr>
          <w:rFonts w:ascii="times" w:hAnsi="times"/>
          <w:sz w:val="20"/>
        </w:rPr>
      </w:pPr>
      <w:r>
        <w:rPr>
          <w:rFonts w:ascii="times" w:hAnsi="times"/>
          <w:sz w:val="20"/>
        </w:rPr>
        <w:t xml:space="preserve">in certain circumstances, fails to comply with applicable certification requirements. </w:t>
      </w:r>
    </w:p>
    <w:p>
      <w:pPr>
        <w:pStyle w:val="TextBody"/>
        <w:jc w:val="center"/>
        <w:rPr>
          <w:rFonts w:ascii="times" w:hAnsi="times"/>
          <w:sz w:val="20"/>
        </w:rPr>
      </w:pPr>
      <w:r>
        <w:rPr>
          <w:rFonts w:ascii="times" w:hAnsi="times"/>
          <w:sz w:val="20"/>
        </w:rPr>
        <w:t>S-56</w:t>
      </w:r>
    </w:p>
    <w:p>
      <w:pPr>
        <w:pStyle w:val="HorizontalLine"/>
        <w:pBdr>
          <w:bottom w:val="single" w:sz="20" w:space="0" w:color="808080"/>
        </w:pBdr>
        <w:rPr/>
      </w:pPr>
      <w:r>
        <w:rPr/>
      </w:r>
      <w:r>
        <w:br w:type="page"/>
      </w:r>
    </w:p>
    <w:p>
      <w:pPr>
        <w:pStyle w:val="TextBody"/>
        <w:rPr/>
      </w:pPr>
      <w:hyperlink w:anchor="bE43504A_main_toc">
        <w:bookmarkStart w:id="183" w:name="page_cg43504_1_57"/>
        <w:bookmarkEnd w:id="183"/>
        <w:r>
          <w:rPr>
            <w:rStyle w:val="InternetLink"/>
            <w:rFonts w:ascii="times" w:hAnsi="times"/>
            <w:sz w:val="20"/>
          </w:rPr>
          <w:t>Table of Contents</w:t>
        </w:r>
      </w:hyperlink>
    </w:p>
    <w:p>
      <w:pPr>
        <w:pStyle w:val="TextBody"/>
        <w:rPr>
          <w:rFonts w:ascii="times" w:hAnsi="times"/>
          <w:sz w:val="20"/>
        </w:rPr>
      </w:pPr>
      <w:r>
        <w:rPr>
          <w:rFonts w:ascii="times" w:hAnsi="times"/>
          <w:sz w:val="20"/>
        </w:rPr>
        <w:t xml:space="preserve">Non-U.S. Holders may be required to establish their exemption from information reporting and backup withholding by certifying their status on IRS Form W-8BEN, W-8BEN-E, W-8ECI or W-8IMY, as applicable. </w:t>
      </w:r>
    </w:p>
    <w:p>
      <w:pPr>
        <w:pStyle w:val="TextBody"/>
        <w:rPr>
          <w:rFonts w:ascii="times" w:hAnsi="times"/>
          <w:sz w:val="20"/>
        </w:rPr>
      </w:pPr>
      <w:r>
        <w:rPr>
          <w:rFonts w:ascii="times" w:hAnsi="times"/>
          <w:sz w:val="20"/>
        </w:rPr>
        <w:t xml:space="preserve">Backup withholding is not an additional tax. Rather, a unitholder generally may obtain a credit for any amount withheld against its liability for U.S. federal income tax (and obtain a refund of any amounts withheld in excess of such liability) by timely filing a U.S. federal income tax return with the IRS. </w:t>
      </w:r>
    </w:p>
    <w:p>
      <w:pPr>
        <w:pStyle w:val="TextBody"/>
        <w:rPr>
          <w:rFonts w:ascii="times" w:hAnsi="times"/>
          <w:sz w:val="20"/>
        </w:rPr>
      </w:pPr>
      <w:r>
        <w:rPr>
          <w:rFonts w:ascii="times" w:hAnsi="times"/>
          <w:sz w:val="20"/>
        </w:rPr>
        <w:t xml:space="preserve">U.S. Holders purchasing more than $100,000 of our common units in this offering may be required to file IRS Form 926 reporting such payment. For purposes of determining the total dollar value of common units purchased by a U.S. Holder in this offering, units purchased by certain related parties (including family members) are included. Substantial penalties may be imposed upon a U.S. Holder that fails to comply with this reporting obligation. Each U.S. Holder is encouraged to consult its own tax advisor as to the possible obligation to file IRS Form 926. </w:t>
      </w:r>
    </w:p>
    <w:p>
      <w:pPr>
        <w:pStyle w:val="TextBody"/>
        <w:rPr>
          <w:rFonts w:ascii="times" w:hAnsi="times"/>
          <w:sz w:val="20"/>
        </w:rPr>
      </w:pPr>
      <w:r>
        <w:rPr>
          <w:rFonts w:ascii="times" w:hAnsi="times"/>
          <w:sz w:val="20"/>
        </w:rPr>
        <w:t xml:space="preserve">In addition, individual citizens or residents of the United States holding certain "foreign financial assets" (which generally includes stock and other securities issued by a foreign person unless held in an account maintained by a financial institution) that exceed certain thresholds (the lowest being holding foreign financial assets with an aggregate value in excess of: (1) $50,000 on the last day of the tax year or (2) $75,000 at any time during the tax year) are required to report information relating to such assets. Significant penalties may apply for failure to satisfy the reporting obligations described above. Unitholders are encouraged to consult their tax advisors regarding their reporting obligations, if any, that would result from their purchase, ownership or disposition of our units. </w:t>
      </w:r>
    </w:p>
    <w:p>
      <w:pPr>
        <w:pStyle w:val="TextBody"/>
        <w:jc w:val="center"/>
        <w:rPr>
          <w:rFonts w:ascii="times" w:hAnsi="times"/>
          <w:sz w:val="20"/>
        </w:rPr>
      </w:pPr>
      <w:r>
        <w:rPr>
          <w:rFonts w:ascii="times" w:hAnsi="times"/>
          <w:sz w:val="20"/>
        </w:rPr>
        <w:t>S-57</w:t>
      </w:r>
    </w:p>
    <w:p>
      <w:pPr>
        <w:pStyle w:val="HorizontalLine"/>
        <w:pBdr>
          <w:bottom w:val="single" w:sz="20" w:space="0" w:color="808080"/>
        </w:pBdr>
        <w:rPr/>
      </w:pPr>
      <w:r>
        <w:rPr/>
      </w:r>
      <w:r>
        <w:br w:type="page"/>
      </w:r>
    </w:p>
    <w:p>
      <w:pPr>
        <w:pStyle w:val="TextBody"/>
        <w:rPr/>
      </w:pPr>
      <w:hyperlink w:anchor="bE43504A_main_toc">
        <w:bookmarkStart w:id="184" w:name="page_ci43504_1_58"/>
        <w:bookmarkEnd w:id="184"/>
        <w:r>
          <w:rPr>
            <w:rStyle w:val="InternetLink"/>
            <w:rFonts w:ascii="times" w:hAnsi="times"/>
            <w:sz w:val="20"/>
          </w:rPr>
          <w:t>Table of Contents</w:t>
        </w:r>
      </w:hyperlink>
      <w:r>
        <w:rPr>
          <w:rFonts w:ascii="times" w:hAnsi="times"/>
          <w:sz w:val="20"/>
        </w:rPr>
        <w:t xml:space="preserve"> </w:t>
      </w:r>
    </w:p>
    <w:p>
      <w:pPr>
        <w:pStyle w:val="TextBody"/>
        <w:jc w:val="center"/>
        <w:rPr>
          <w:rFonts w:ascii="times" w:hAnsi="times"/>
        </w:rPr>
      </w:pPr>
      <w:bookmarkStart w:id="185" w:name="toc_ci43504_1"/>
      <w:bookmarkStart w:id="186" w:name="ci43504_non-united_states_tax_considerat"/>
      <w:bookmarkEnd w:id="185"/>
      <w:bookmarkEnd w:id="186"/>
      <w:r>
        <w:rPr>
          <w:rFonts w:ascii="times" w:hAnsi="times"/>
          <w:sz w:val="20"/>
        </w:rPr>
        <w:br/>
      </w:r>
      <w:r>
        <w:rPr>
          <w:rFonts w:ascii="times" w:hAnsi="times"/>
          <w:b/>
          <w:sz w:val="20"/>
        </w:rPr>
        <w:t xml:space="preserve">NON-UNITED STATES TAX CONSIDERATIONS </w:t>
      </w:r>
    </w:p>
    <w:p>
      <w:pPr>
        <w:pStyle w:val="TextBody"/>
        <w:rPr>
          <w:rFonts w:ascii="times" w:hAnsi="times"/>
          <w:sz w:val="20"/>
        </w:rPr>
      </w:pPr>
      <w:r>
        <w:rPr>
          <w:rFonts w:ascii="times" w:hAnsi="times"/>
          <w:sz w:val="20"/>
        </w:rPr>
        <w:t xml:space="preserve">Unless the context otherwise requires, references in this section to "we", "our" or "us" are references to GasLog Partners LP. </w:t>
      </w:r>
    </w:p>
    <w:p>
      <w:pPr>
        <w:pStyle w:val="TextBody"/>
        <w:ind w:left="200" w:right="0" w:hanging="200"/>
        <w:rPr>
          <w:rFonts w:ascii="times" w:hAnsi="times"/>
          <w:b/>
          <w:sz w:val="20"/>
        </w:rPr>
      </w:pPr>
      <w:bookmarkStart w:id="187" w:name="toc_ci43504_2"/>
      <w:bookmarkStart w:id="188" w:name="ci43504_marshall_islands_tax_consequence"/>
      <w:bookmarkEnd w:id="187"/>
      <w:bookmarkEnd w:id="188"/>
      <w:r>
        <w:rPr>
          <w:rFonts w:ascii="times" w:hAnsi="times"/>
          <w:b/>
          <w:sz w:val="20"/>
        </w:rPr>
        <w:t xml:space="preserve">Marshall Islands Tax Consequences </w:t>
      </w:r>
    </w:p>
    <w:p>
      <w:pPr>
        <w:pStyle w:val="TextBody"/>
        <w:rPr>
          <w:rFonts w:ascii="times" w:hAnsi="times"/>
          <w:sz w:val="20"/>
        </w:rPr>
      </w:pPr>
      <w:r>
        <w:rPr>
          <w:rFonts w:ascii="times" w:hAnsi="times"/>
          <w:sz w:val="20"/>
        </w:rPr>
        <w:t xml:space="preserve">The following discussion is based upon the opinion of Cozen O'Connor, our counsel as to matters of the laws of the Republic of the Marshall Islands, and the current laws of the Republic of the Marshall Islands applicable to persons who do not reside in, maintain offices in or engage in business in the Republic of the Marshall Islands. </w:t>
      </w:r>
    </w:p>
    <w:p>
      <w:pPr>
        <w:pStyle w:val="TextBody"/>
        <w:rPr>
          <w:rFonts w:ascii="times" w:hAnsi="times"/>
          <w:sz w:val="20"/>
        </w:rPr>
      </w:pPr>
      <w:r>
        <w:rPr>
          <w:rFonts w:ascii="times" w:hAnsi="times"/>
          <w:sz w:val="20"/>
        </w:rPr>
        <w:t xml:space="preserve">Because we and our subsidiaries do not and do not expect to conduct business or operations in the Republic of the Marshall Islands, and because all documentation related to this offering will be executed outside of the Republic of the Marshall Islands, under current Marshall Islands law you will not be subject to Marshall Islands taxation or withholding on distributions, including upon distribution treated as a return of capital, we make to you as a unitholder (so long as you are not a citizen or resident of the Marshall Islands). In addition, you will not be subject to Marshall Islands stamp, capital gains or other taxes on the purchase, ownership or disposition of common units, and you will not be required by the Republic of the Marshall Islands to file a tax return relating to your ownership of common units (so long as you are not a citizen or resident of the Marshall Islands). </w:t>
      </w:r>
    </w:p>
    <w:p>
      <w:pPr>
        <w:pStyle w:val="TextBody"/>
        <w:rPr>
          <w:rFonts w:ascii="times" w:hAnsi="times"/>
          <w:sz w:val="20"/>
        </w:rPr>
      </w:pPr>
      <w:r>
        <w:rPr>
          <w:rFonts w:ascii="times" w:hAnsi="times"/>
          <w:sz w:val="20"/>
        </w:rPr>
        <w:t xml:space="preserve">EACH PROSPECTIVE UNITHOLDER IS ENCOURAGED TO CONSULT ITS OWN TAX COUNSEL OR OTHER ADVISOR WITH REGARD TO THE LEGAL AND TAX CONSEQUENCES OF UNIT OWNERSHIP UNDER ITS PARTICULAR CIRCUMSTANCES. </w:t>
      </w:r>
    </w:p>
    <w:p>
      <w:pPr>
        <w:pStyle w:val="TextBody"/>
        <w:jc w:val="center"/>
        <w:rPr>
          <w:rFonts w:ascii="times" w:hAnsi="times"/>
          <w:sz w:val="20"/>
        </w:rPr>
      </w:pPr>
      <w:r>
        <w:rPr>
          <w:rFonts w:ascii="times" w:hAnsi="times"/>
          <w:sz w:val="20"/>
        </w:rPr>
        <w:t>S-58</w:t>
      </w:r>
    </w:p>
    <w:p>
      <w:pPr>
        <w:pStyle w:val="HorizontalLine"/>
        <w:pBdr>
          <w:bottom w:val="single" w:sz="20" w:space="0" w:color="808080"/>
        </w:pBdr>
        <w:rPr/>
      </w:pPr>
      <w:r>
        <w:rPr/>
      </w:r>
      <w:r>
        <w:br w:type="page"/>
      </w:r>
    </w:p>
    <w:p>
      <w:pPr>
        <w:pStyle w:val="TextBody"/>
        <w:rPr/>
      </w:pPr>
      <w:hyperlink w:anchor="bE43504A_main_toc">
        <w:bookmarkStart w:id="189" w:name="page_ci43504_1_59"/>
        <w:bookmarkEnd w:id="189"/>
        <w:r>
          <w:rPr>
            <w:rStyle w:val="InternetLink"/>
            <w:rFonts w:ascii="times" w:hAnsi="times"/>
            <w:sz w:val="20"/>
          </w:rPr>
          <w:t>Table of Contents</w:t>
        </w:r>
      </w:hyperlink>
    </w:p>
    <w:p>
      <w:pPr>
        <w:pStyle w:val="TextBody"/>
        <w:jc w:val="center"/>
        <w:rPr>
          <w:rFonts w:ascii="times" w:hAnsi="times"/>
        </w:rPr>
      </w:pPr>
      <w:bookmarkStart w:id="190" w:name="toc_ci43504_3"/>
      <w:bookmarkStart w:id="191" w:name="ci43504_plan_of_distribution"/>
      <w:bookmarkEnd w:id="190"/>
      <w:bookmarkEnd w:id="191"/>
      <w:r>
        <w:rPr>
          <w:rFonts w:ascii="times" w:hAnsi="times"/>
          <w:sz w:val="20"/>
        </w:rPr>
        <w:br/>
      </w:r>
      <w:r>
        <w:rPr>
          <w:rFonts w:ascii="times" w:hAnsi="times"/>
          <w:b/>
          <w:sz w:val="20"/>
        </w:rPr>
        <w:t xml:space="preserve">PLAN OF DISTRIBUTION </w:t>
      </w:r>
    </w:p>
    <w:p>
      <w:pPr>
        <w:pStyle w:val="TextBody"/>
        <w:rPr>
          <w:rFonts w:ascii="times" w:hAnsi="times"/>
          <w:sz w:val="20"/>
        </w:rPr>
      </w:pPr>
      <w:r>
        <w:rPr>
          <w:rFonts w:ascii="times" w:hAnsi="times"/>
          <w:sz w:val="20"/>
        </w:rPr>
        <w:t xml:space="preserve">We have entered into the Fourth Amended and Restated Equity Distribution Agreement with Credit Agricole Securities (USA) Inc. and Stifel, Nicolaus &amp; Company, Incorporated, or the "Agents", under which we may offer and sell common units representing limited partner interests in GasLog Partners LP having an aggregate offering price of up to $250.0 million, from time to time through the Agents, as our sales agents. As of the date of this prospectus supplement, we have issued and sold common units having an aggregate offering price of $123.4 million which means that we may sell common units having an aggregate offering price of up to $126.6 million. We have filed the Fourth Amended and Restated Equity Distribution Agreement as an exhibit to a Report on Form 6-K, which is incorporated by reference in this prospectus supplement. The sales, if any, of common units made under the Fourth Amended and Restated Equity Distribution Agreement will be made by means of ordinary brokers' transactions on the NYSE at market prices, in block transactions, or as otherwise agreed upon by the Agents and us. As sales agents, the Agents will not engage in any transactions that stabilize the price of our common units. </w:t>
      </w:r>
    </w:p>
    <w:p>
      <w:pPr>
        <w:pStyle w:val="TextBody"/>
        <w:rPr>
          <w:rFonts w:ascii="times" w:hAnsi="times"/>
          <w:sz w:val="20"/>
        </w:rPr>
      </w:pPr>
      <w:r>
        <w:rPr>
          <w:rFonts w:ascii="times" w:hAnsi="times"/>
          <w:sz w:val="20"/>
        </w:rPr>
        <w:t xml:space="preserve">Under the terms of the Fourth Amended and Restated Equity Distribution Agreement, we also may sell common units to the Agents as principals for their own account at a price agreed upon at the time of sale. If we sell common units to the Agents as principals, we will enter into a separate agreement with the Agents, and we will describe this agreement in a separate prospectus supplement or pricing supplement. </w:t>
      </w:r>
    </w:p>
    <w:p>
      <w:pPr>
        <w:pStyle w:val="TextBody"/>
        <w:rPr>
          <w:rFonts w:ascii="times" w:hAnsi="times"/>
          <w:sz w:val="20"/>
        </w:rPr>
      </w:pPr>
      <w:r>
        <w:rPr>
          <w:rFonts w:ascii="times" w:hAnsi="times"/>
          <w:sz w:val="20"/>
        </w:rPr>
        <w:t xml:space="preserve">We will designate the maximum amount of common units to be sold through the Agents on a daily basis or otherwise as we and the Agents agree and the minimum price per unit at which such common units may be sold. Subject to the terms and conditions of the Fourth Amended and Restated Equity Distribution Agreement, the Agents will use their reasonable efforts to sell on our behalf all of the designated common units. We may instruct the Agents not to sell any common units if the sales cannot be effected at or above the price designated by us in any such instruction. We or the Agents may suspend the offering of common units at any time and from time to time by notifying the other party. </w:t>
      </w:r>
    </w:p>
    <w:p>
      <w:pPr>
        <w:pStyle w:val="TextBody"/>
        <w:rPr>
          <w:rFonts w:ascii="times" w:hAnsi="times"/>
          <w:sz w:val="20"/>
        </w:rPr>
      </w:pPr>
      <w:r>
        <w:rPr>
          <w:rFonts w:ascii="times" w:hAnsi="times"/>
          <w:sz w:val="20"/>
        </w:rPr>
        <w:t xml:space="preserve">The Agents will provide to us written confirmation following the close of trading on the NYSE each day on which common units are sold under the Fourth Amended and Restated Equity Distribution Agreement. Each confirmation will include the number of common units sold on that day, the gross sales proceeds, the net proceeds to us (after regulatory transaction fees, if any, but before other expenses) and the compensation payable by us to the Agents. We will report at least quarterly the number of common units sold through the Agents under the Fourth Amended and Restated Equity Distribution Agreement, the net proceeds to us (before expenses) and the compensation paid by us to the Agents in connection with the sales of common units. </w:t>
      </w:r>
    </w:p>
    <w:p>
      <w:pPr>
        <w:pStyle w:val="TextBody"/>
        <w:rPr>
          <w:rFonts w:ascii="times" w:hAnsi="times"/>
          <w:sz w:val="20"/>
        </w:rPr>
      </w:pPr>
      <w:r>
        <w:rPr>
          <w:rFonts w:ascii="times" w:hAnsi="times"/>
          <w:sz w:val="20"/>
        </w:rPr>
        <w:t xml:space="preserve">We will pay the Agents a commission of up to 2.0% of the gross sales price per common units sold through it as our agents under the Fourth Amended and Restated Equity Distribution Agreement. We have agreed to reimburse the Agents for certain of their expenses in an amount up to (1) $120,000 in any consecutive four quarter period starting from the date of this prospectus supplement and (2) $270,000 over the duration of the Fourth Amended and Restated Equity Distribution Agreement. </w:t>
      </w:r>
    </w:p>
    <w:p>
      <w:pPr>
        <w:pStyle w:val="TextBody"/>
        <w:rPr>
          <w:rFonts w:ascii="times" w:hAnsi="times"/>
          <w:sz w:val="20"/>
        </w:rPr>
      </w:pPr>
      <w:r>
        <w:rPr>
          <w:rFonts w:ascii="times" w:hAnsi="times"/>
          <w:sz w:val="20"/>
        </w:rPr>
        <w:t xml:space="preserve">Settlement for sales of common units will occur on the second business day following the date on which such sales are made in return for payment of the net proceeds to us. There is no arrangement for funds to be received in an escrow, trust or similar arrangement. </w:t>
      </w:r>
    </w:p>
    <w:p>
      <w:pPr>
        <w:pStyle w:val="TextBody"/>
        <w:rPr>
          <w:rFonts w:ascii="times" w:hAnsi="times"/>
          <w:sz w:val="20"/>
        </w:rPr>
      </w:pPr>
      <w:r>
        <w:rPr>
          <w:rFonts w:ascii="times" w:hAnsi="times"/>
          <w:sz w:val="20"/>
        </w:rPr>
        <w:t xml:space="preserve">If we or the Agents have reason to believe that our common units are no longer an "actively-traded security" as defined under Rule 101(c)(1) of Regulation M under the U.S. Securities Exchange Act of 1934, as amended, such party will promptly notify the other and sales of common units pursuant to the </w:t>
      </w:r>
    </w:p>
    <w:p>
      <w:pPr>
        <w:pStyle w:val="TextBody"/>
        <w:jc w:val="center"/>
        <w:rPr>
          <w:rFonts w:ascii="times" w:hAnsi="times"/>
          <w:sz w:val="20"/>
        </w:rPr>
      </w:pPr>
      <w:r>
        <w:rPr>
          <w:rFonts w:ascii="times" w:hAnsi="times"/>
          <w:sz w:val="20"/>
        </w:rPr>
        <w:t>S-59</w:t>
      </w:r>
    </w:p>
    <w:p>
      <w:pPr>
        <w:pStyle w:val="HorizontalLine"/>
        <w:pBdr>
          <w:bottom w:val="single" w:sz="20" w:space="0" w:color="808080"/>
        </w:pBdr>
        <w:rPr/>
      </w:pPr>
      <w:r>
        <w:rPr/>
      </w:r>
      <w:r>
        <w:br w:type="page"/>
      </w:r>
    </w:p>
    <w:p>
      <w:pPr>
        <w:pStyle w:val="TextBody"/>
        <w:rPr/>
      </w:pPr>
      <w:hyperlink w:anchor="bE43504A_main_toc">
        <w:bookmarkStart w:id="192" w:name="page_ci43504_1_60"/>
        <w:bookmarkEnd w:id="192"/>
        <w:r>
          <w:rPr>
            <w:rStyle w:val="InternetLink"/>
            <w:rFonts w:ascii="times" w:hAnsi="times"/>
            <w:sz w:val="20"/>
          </w:rPr>
          <w:t>Table of Contents</w:t>
        </w:r>
      </w:hyperlink>
    </w:p>
    <w:p>
      <w:pPr>
        <w:pStyle w:val="TextBody"/>
        <w:rPr>
          <w:rFonts w:ascii="times" w:hAnsi="times"/>
          <w:sz w:val="20"/>
        </w:rPr>
      </w:pPr>
      <w:r>
        <w:rPr>
          <w:rFonts w:ascii="times" w:hAnsi="times"/>
          <w:sz w:val="20"/>
        </w:rPr>
        <w:t xml:space="preserve">Fourth Amended and Restated Equity Distribution Agreement or any terms agreement will be suspended until, in our collective judgment, Rule 101(c)(1) or another exemptive provision has been satisfied. </w:t>
      </w:r>
    </w:p>
    <w:p>
      <w:pPr>
        <w:pStyle w:val="TextBody"/>
        <w:rPr>
          <w:rFonts w:ascii="times" w:hAnsi="times"/>
          <w:sz w:val="20"/>
        </w:rPr>
      </w:pPr>
      <w:r>
        <w:rPr>
          <w:rFonts w:ascii="times" w:hAnsi="times"/>
          <w:sz w:val="20"/>
        </w:rPr>
        <w:t xml:space="preserve">The offering of common units pursuant to the Fourth Amended and Restated Equity Distribution Agreement will terminate upon the earlier of (1) the sale of all common units subject to the Fourth Amended and Restated Equity Distribution Agreement and (2) the termination of the Fourth Amended and Restated Equity Distribution Agreement by us or by the Agents. </w:t>
      </w:r>
    </w:p>
    <w:p>
      <w:pPr>
        <w:pStyle w:val="TextBody"/>
        <w:rPr>
          <w:rFonts w:ascii="times" w:hAnsi="times"/>
          <w:sz w:val="20"/>
        </w:rPr>
      </w:pPr>
      <w:r>
        <w:rPr>
          <w:rFonts w:ascii="times" w:hAnsi="times"/>
          <w:sz w:val="20"/>
        </w:rPr>
        <w:t xml:space="preserve">In connection with the sale of the common units on our behalf, each of the Agents may be deemed to be an "underwriter" within the meaning of the Securities Act of 1933, as amended (the "Securities Act"), and the compensation paid to the Agents may be deemed to be underwriting commissions or discounts. We have agreed to provide indemnification and contribution to the Agents against certain liabilities, including liabilities under the Securities Act. </w:t>
      </w:r>
    </w:p>
    <w:p>
      <w:pPr>
        <w:pStyle w:val="TextBody"/>
        <w:rPr>
          <w:rFonts w:ascii="times" w:hAnsi="times"/>
          <w:sz w:val="20"/>
        </w:rPr>
      </w:pPr>
      <w:r>
        <w:rPr>
          <w:rFonts w:ascii="times" w:hAnsi="times"/>
          <w:sz w:val="20"/>
        </w:rPr>
        <w:t xml:space="preserve">The Agents and their affiliates have, from time to time, performed, and may in the future perform, various financial advisory and commercial and investment banking services for us and our affiliates, for which they have received and in the future will receive customary compensation and expense reimbursement. Affiliates of the Agents are lenders under certain of our and our affiliates' credit facilities. To the extent we use proceeds from this offering to repay indebtedness under our credit facilities, affiliates of the Agents may receive a portion of the proceeds from this offering. In addition, in the ordinary course of their various business activities, the Agents and their affiliates may make or hold a broad array of investments and actively trade debt and equity securities (or related derivative securities) and financial instruments for their own account and for the accounts of their customers and may at any time hold long and short positions in such securities and instruments. Such investment and securities activities may involve our securities and instruments. The Agents and their affiliates may also make investment recommendations or publish or express independent research views in respect of such securities or instruments and may at any time hold, or recommend to clients that they acquire, long or short positions in such securities and instruments. </w:t>
      </w:r>
    </w:p>
    <w:p>
      <w:pPr>
        <w:pStyle w:val="TextBody"/>
        <w:jc w:val="center"/>
        <w:rPr>
          <w:rFonts w:ascii="times" w:hAnsi="times"/>
          <w:sz w:val="20"/>
        </w:rPr>
      </w:pPr>
      <w:r>
        <w:rPr>
          <w:rFonts w:ascii="times" w:hAnsi="times"/>
          <w:sz w:val="20"/>
        </w:rPr>
        <w:t>S-60</w:t>
      </w:r>
    </w:p>
    <w:p>
      <w:pPr>
        <w:pStyle w:val="HorizontalLine"/>
        <w:pBdr>
          <w:bottom w:val="single" w:sz="20" w:space="0" w:color="808080"/>
        </w:pBdr>
        <w:rPr/>
      </w:pPr>
      <w:r>
        <w:rPr/>
      </w:r>
      <w:r>
        <w:br w:type="page"/>
      </w:r>
    </w:p>
    <w:p>
      <w:pPr>
        <w:pStyle w:val="TextBody"/>
        <w:rPr/>
      </w:pPr>
      <w:hyperlink w:anchor="bE43504A_main_toc">
        <w:bookmarkStart w:id="193" w:name="page_ci43504_1_61"/>
        <w:bookmarkEnd w:id="193"/>
        <w:r>
          <w:rPr>
            <w:rStyle w:val="InternetLink"/>
            <w:rFonts w:ascii="times" w:hAnsi="times"/>
            <w:sz w:val="20"/>
          </w:rPr>
          <w:t>Table of Contents</w:t>
        </w:r>
      </w:hyperlink>
    </w:p>
    <w:p>
      <w:pPr>
        <w:pStyle w:val="TextBody"/>
        <w:jc w:val="center"/>
        <w:rPr>
          <w:rFonts w:ascii="times" w:hAnsi="times"/>
        </w:rPr>
      </w:pPr>
      <w:bookmarkStart w:id="194" w:name="toc_ci43504_4"/>
      <w:bookmarkStart w:id="195" w:name="ci43504_legal_matters"/>
      <w:bookmarkEnd w:id="194"/>
      <w:bookmarkEnd w:id="195"/>
      <w:r>
        <w:rPr>
          <w:rFonts w:ascii="times" w:hAnsi="times"/>
          <w:sz w:val="20"/>
        </w:rPr>
        <w:br/>
      </w:r>
      <w:r>
        <w:rPr>
          <w:rFonts w:ascii="times" w:hAnsi="times"/>
          <w:b/>
          <w:sz w:val="20"/>
        </w:rPr>
        <w:t xml:space="preserve">LEGAL MATTERS </w:t>
      </w:r>
    </w:p>
    <w:p>
      <w:pPr>
        <w:pStyle w:val="TextBody"/>
        <w:rPr>
          <w:rFonts w:ascii="times" w:hAnsi="times"/>
          <w:sz w:val="20"/>
        </w:rPr>
      </w:pPr>
      <w:r>
        <w:rPr>
          <w:rFonts w:ascii="times" w:hAnsi="times"/>
          <w:sz w:val="20"/>
        </w:rPr>
        <w:t xml:space="preserve">The validity of the common units and certain other legal matters, including tax matters, with respect to the laws of the Republic of the Marshall Islands will be passed upon for us by our counsel as to Marshall Islands law, Cozen O'Connor, New York, New York. Certain other legal matters, including tax matters with respect to U.S. law, will be passed upon for us by Cravath, Swaine &amp; Moore LLP, New York, New York. Certain matters with respect to this offering will be passed upon for the underwriters by Latham &amp; Watkins LLP. </w:t>
      </w:r>
    </w:p>
    <w:p>
      <w:pPr>
        <w:pStyle w:val="TextBody"/>
        <w:jc w:val="center"/>
        <w:rPr>
          <w:rFonts w:ascii="times" w:hAnsi="times"/>
          <w:sz w:val="20"/>
        </w:rPr>
      </w:pPr>
      <w:r>
        <w:rPr>
          <w:rFonts w:ascii="times" w:hAnsi="times"/>
          <w:sz w:val="20"/>
        </w:rPr>
        <w:t>S-61</w:t>
      </w:r>
    </w:p>
    <w:p>
      <w:pPr>
        <w:pStyle w:val="HorizontalLine"/>
        <w:pBdr>
          <w:bottom w:val="single" w:sz="20" w:space="0" w:color="808080"/>
        </w:pBdr>
        <w:rPr/>
      </w:pPr>
      <w:r>
        <w:rPr/>
      </w:r>
      <w:r>
        <w:br w:type="page"/>
      </w:r>
    </w:p>
    <w:p>
      <w:pPr>
        <w:pStyle w:val="TextBody"/>
        <w:rPr/>
      </w:pPr>
      <w:hyperlink w:anchor="bE43504A_main_toc">
        <w:bookmarkStart w:id="196" w:name="page_ci43504_1_62"/>
        <w:bookmarkEnd w:id="196"/>
        <w:r>
          <w:rPr>
            <w:rStyle w:val="InternetLink"/>
            <w:rFonts w:ascii="times" w:hAnsi="times"/>
            <w:sz w:val="20"/>
          </w:rPr>
          <w:t>Table of Contents</w:t>
        </w:r>
      </w:hyperlink>
    </w:p>
    <w:p>
      <w:pPr>
        <w:pStyle w:val="TextBody"/>
        <w:jc w:val="center"/>
        <w:rPr>
          <w:rFonts w:ascii="times" w:hAnsi="times"/>
        </w:rPr>
      </w:pPr>
      <w:bookmarkStart w:id="197" w:name="toc_ci43504_5"/>
      <w:bookmarkStart w:id="198" w:name="ci43504_experts"/>
      <w:bookmarkEnd w:id="197"/>
      <w:bookmarkEnd w:id="198"/>
      <w:r>
        <w:rPr>
          <w:rFonts w:ascii="times" w:hAnsi="times"/>
          <w:sz w:val="20"/>
        </w:rPr>
        <w:br/>
      </w:r>
      <w:r>
        <w:rPr>
          <w:rFonts w:ascii="times" w:hAnsi="times"/>
          <w:b/>
          <w:sz w:val="20"/>
        </w:rPr>
        <w:t xml:space="preserve">EXPERTS </w:t>
      </w:r>
    </w:p>
    <w:p>
      <w:pPr>
        <w:pStyle w:val="TextBody"/>
        <w:rPr>
          <w:rFonts w:ascii="times" w:hAnsi="times"/>
          <w:sz w:val="20"/>
        </w:rPr>
      </w:pPr>
      <w:r>
        <w:rPr>
          <w:rFonts w:ascii="times" w:hAnsi="times"/>
          <w:sz w:val="20"/>
        </w:rPr>
        <w:t xml:space="preserve">The financial statements incorporated in this prospectus supplement by reference from the Partnership's Annual Report on Form 20-F for the year ended December 31, 2020, and the effectiveness of GasLog Partners LP's internal control over financial reporting have been audited by Deloitte LLP, an independent registered public accounting firm, as stated in their reports, which are incorporated herein by reference. Such financial statements have been so incorporated in reliance upon the reports of such firm given upon their authority as experts in accounting and auditing. </w:t>
      </w:r>
    </w:p>
    <w:p>
      <w:pPr>
        <w:pStyle w:val="TextBody"/>
        <w:jc w:val="center"/>
        <w:rPr>
          <w:rFonts w:ascii="times" w:hAnsi="times"/>
          <w:sz w:val="20"/>
        </w:rPr>
      </w:pPr>
      <w:r>
        <w:rPr>
          <w:rFonts w:ascii="times" w:hAnsi="times"/>
          <w:sz w:val="20"/>
        </w:rPr>
        <w:t>S-62</w:t>
      </w:r>
    </w:p>
    <w:p>
      <w:pPr>
        <w:pStyle w:val="HorizontalLine"/>
        <w:pBdr>
          <w:bottom w:val="single" w:sz="20" w:space="0" w:color="808080"/>
        </w:pBdr>
        <w:rPr/>
      </w:pPr>
      <w:r>
        <w:rPr/>
      </w:r>
      <w:r>
        <w:br w:type="page"/>
      </w:r>
    </w:p>
    <w:p>
      <w:pPr>
        <w:pStyle w:val="TextBody"/>
        <w:rPr/>
      </w:pPr>
      <w:hyperlink w:anchor="bE43504A_main_toc">
        <w:bookmarkStart w:id="199" w:name="page_ci43504_1_63"/>
        <w:bookmarkEnd w:id="199"/>
        <w:r>
          <w:rPr>
            <w:rStyle w:val="InternetLink"/>
            <w:rFonts w:ascii="times" w:hAnsi="times"/>
            <w:sz w:val="20"/>
          </w:rPr>
          <w:t>Table of Contents</w:t>
        </w:r>
      </w:hyperlink>
    </w:p>
    <w:p>
      <w:pPr>
        <w:pStyle w:val="TextBody"/>
        <w:jc w:val="center"/>
        <w:rPr>
          <w:rFonts w:ascii="times" w:hAnsi="times"/>
        </w:rPr>
      </w:pPr>
      <w:bookmarkStart w:id="200" w:name="toc_ci43504_6"/>
      <w:bookmarkStart w:id="201" w:name="ci43504_expenses_related_to_this_offerin"/>
      <w:bookmarkEnd w:id="200"/>
      <w:bookmarkEnd w:id="201"/>
      <w:r>
        <w:rPr>
          <w:rFonts w:ascii="times" w:hAnsi="times"/>
          <w:sz w:val="20"/>
        </w:rPr>
        <w:br/>
      </w:r>
      <w:r>
        <w:rPr>
          <w:rFonts w:ascii="times" w:hAnsi="times"/>
          <w:b/>
          <w:sz w:val="20"/>
        </w:rPr>
        <w:t xml:space="preserve">EXPENSES RELATED TO THIS OFFERING </w:t>
      </w:r>
    </w:p>
    <w:p>
      <w:pPr>
        <w:pStyle w:val="TextBody"/>
        <w:rPr>
          <w:rFonts w:ascii="times" w:hAnsi="times"/>
          <w:sz w:val="20"/>
        </w:rPr>
      </w:pPr>
      <w:r>
        <w:rPr>
          <w:rFonts w:ascii="times" w:hAnsi="times"/>
          <w:sz w:val="20"/>
        </w:rPr>
        <w:t xml:space="preserve">The following table sets forth the main costs and expenses, other than the underwriting discounts and commissions, in connection with this offering, which we will be required to pay. </w:t>
      </w:r>
    </w:p>
    <w:tbl>
      <w:tblPr>
        <w:tblW w:w="5000" w:type="pct"/>
        <w:jc w:val="center"/>
        <w:tblInd w:w="0" w:type="dxa"/>
        <w:tblCellMar>
          <w:top w:w="0" w:type="dxa"/>
          <w:left w:w="0" w:type="dxa"/>
          <w:bottom w:w="0" w:type="dxa"/>
          <w:right w:w="0" w:type="dxa"/>
        </w:tblCellMar>
      </w:tblPr>
      <w:tblGrid>
        <w:gridCol w:w="7832"/>
        <w:gridCol w:w="293"/>
        <w:gridCol w:w="203"/>
        <w:gridCol w:w="1584"/>
        <w:gridCol w:w="293"/>
      </w:tblGrid>
      <w:tr>
        <w:trPr/>
        <w:tc>
          <w:tcPr>
            <w:tcW w:w="7832" w:type="dxa"/>
            <w:tcBorders/>
            <w:shd w:fill="auto" w:val="clear"/>
            <w:vAlign w:val="center"/>
          </w:tcPr>
          <w:p>
            <w:pPr>
              <w:pStyle w:val="TableContents"/>
              <w:spacing w:before="0" w:after="283"/>
              <w:rPr>
                <w:sz w:val="4"/>
                <w:szCs w:val="4"/>
              </w:rPr>
            </w:pPr>
            <w:r>
              <w:rPr>
                <w:sz w:val="4"/>
                <w:szCs w:val="4"/>
              </w:rPr>
            </w:r>
          </w:p>
        </w:tc>
        <w:tc>
          <w:tcPr>
            <w:tcW w:w="293" w:type="dxa"/>
            <w:tcBorders/>
            <w:shd w:fill="auto" w:val="clear"/>
            <w:vAlign w:val="center"/>
          </w:tcPr>
          <w:p>
            <w:pPr>
              <w:pStyle w:val="TableContents"/>
              <w:spacing w:before="0" w:after="283"/>
              <w:rPr>
                <w:sz w:val="4"/>
                <w:szCs w:val="4"/>
              </w:rPr>
            </w:pPr>
            <w:r>
              <w:rPr>
                <w:sz w:val="4"/>
                <w:szCs w:val="4"/>
              </w:rPr>
            </w:r>
          </w:p>
        </w:tc>
        <w:tc>
          <w:tcPr>
            <w:tcW w:w="203" w:type="dxa"/>
            <w:tcBorders/>
            <w:shd w:fill="auto" w:val="clear"/>
            <w:vAlign w:val="center"/>
          </w:tcPr>
          <w:p>
            <w:pPr>
              <w:pStyle w:val="TableContents"/>
              <w:spacing w:before="0" w:after="283"/>
              <w:rPr>
                <w:sz w:val="4"/>
                <w:szCs w:val="4"/>
              </w:rPr>
            </w:pPr>
            <w:r>
              <w:rPr>
                <w:sz w:val="4"/>
                <w:szCs w:val="4"/>
              </w:rPr>
            </w:r>
          </w:p>
        </w:tc>
        <w:tc>
          <w:tcPr>
            <w:tcW w:w="1584" w:type="dxa"/>
            <w:tcBorders/>
            <w:shd w:fill="auto" w:val="clear"/>
            <w:vAlign w:val="center"/>
          </w:tcPr>
          <w:p>
            <w:pPr>
              <w:pStyle w:val="TableContents"/>
              <w:spacing w:before="0" w:after="283"/>
              <w:rPr>
                <w:sz w:val="4"/>
                <w:szCs w:val="4"/>
              </w:rPr>
            </w:pPr>
            <w:r>
              <w:rPr>
                <w:sz w:val="4"/>
                <w:szCs w:val="4"/>
              </w:rPr>
            </w:r>
          </w:p>
        </w:tc>
        <w:tc>
          <w:tcPr>
            <w:tcW w:w="293" w:type="dxa"/>
            <w:tcBorders/>
            <w:shd w:fill="auto" w:val="clear"/>
            <w:vAlign w:val="center"/>
          </w:tcPr>
          <w:p>
            <w:pPr>
              <w:pStyle w:val="TableContents"/>
              <w:spacing w:before="0" w:after="283"/>
              <w:rPr>
                <w:sz w:val="4"/>
                <w:szCs w:val="4"/>
              </w:rPr>
            </w:pPr>
            <w:r>
              <w:rPr>
                <w:sz w:val="4"/>
                <w:szCs w:val="4"/>
              </w:rPr>
            </w:r>
          </w:p>
        </w:tc>
      </w:tr>
      <w:tr>
        <w:trPr/>
        <w:tc>
          <w:tcPr>
            <w:tcW w:w="7832" w:type="dxa"/>
            <w:tcBorders/>
            <w:shd w:fill="auto" w:val="clear"/>
            <w:vAlign w:val="bottom"/>
          </w:tcPr>
          <w:p>
            <w:pPr>
              <w:pStyle w:val="TableContents"/>
              <w:spacing w:before="0" w:after="283"/>
              <w:ind w:left="200" w:right="0" w:hanging="200"/>
              <w:rPr>
                <w:rFonts w:ascii="times" w:hAnsi="times"/>
                <w:sz w:val="20"/>
              </w:rPr>
            </w:pPr>
            <w:r>
              <w:rPr>
                <w:rFonts w:ascii="times" w:hAnsi="times"/>
                <w:sz w:val="20"/>
              </w:rPr>
              <w:t>U.S. Securities and Exchange Commission registration fee*</w:t>
            </w:r>
          </w:p>
        </w:tc>
        <w:tc>
          <w:tcPr>
            <w:tcW w:w="293" w:type="dxa"/>
            <w:tcBorders/>
            <w:shd w:fill="auto" w:val="clear"/>
            <w:vAlign w:val="bottom"/>
          </w:tcPr>
          <w:p>
            <w:pPr>
              <w:pStyle w:val="TableContents"/>
              <w:spacing w:before="0" w:after="283"/>
              <w:rPr/>
            </w:pPr>
            <w:r>
              <w:rPr/>
              <w:t> </w:t>
            </w:r>
          </w:p>
        </w:tc>
        <w:tc>
          <w:tcPr>
            <w:tcW w:w="203" w:type="dxa"/>
            <w:tcBorders/>
            <w:shd w:fill="auto" w:val="clear"/>
            <w:vAlign w:val="bottom"/>
          </w:tcPr>
          <w:p>
            <w:pPr>
              <w:pStyle w:val="TableContents"/>
              <w:spacing w:before="0" w:after="283"/>
              <w:rPr>
                <w:rFonts w:ascii="times" w:hAnsi="times"/>
                <w:sz w:val="20"/>
              </w:rPr>
            </w:pPr>
            <w:r>
              <w:rPr>
                <w:rFonts w:ascii="times" w:hAnsi="times"/>
                <w:sz w:val="20"/>
              </w:rPr>
              <w:t>$</w:t>
            </w:r>
          </w:p>
        </w:tc>
        <w:tc>
          <w:tcPr>
            <w:tcW w:w="1584" w:type="dxa"/>
            <w:tcBorders/>
            <w:shd w:fill="auto" w:val="clear"/>
            <w:vAlign w:val="bottom"/>
          </w:tcPr>
          <w:p>
            <w:pPr>
              <w:pStyle w:val="TableContents"/>
              <w:spacing w:before="0" w:after="283"/>
              <w:jc w:val="right"/>
              <w:rPr>
                <w:rFonts w:ascii="times" w:hAnsi="times"/>
                <w:sz w:val="20"/>
              </w:rPr>
            </w:pPr>
            <w:r>
              <w:rPr>
                <w:rFonts w:ascii="times" w:hAnsi="times"/>
                <w:sz w:val="20"/>
              </w:rPr>
              <w:t>0</w:t>
            </w:r>
          </w:p>
        </w:tc>
        <w:tc>
          <w:tcPr>
            <w:tcW w:w="293" w:type="dxa"/>
            <w:tcBorders/>
            <w:shd w:fill="auto" w:val="clear"/>
            <w:vAlign w:val="bottom"/>
          </w:tcPr>
          <w:p>
            <w:pPr>
              <w:pStyle w:val="TableContents"/>
              <w:spacing w:before="0" w:after="283"/>
              <w:rPr/>
            </w:pPr>
            <w:r>
              <w:rPr/>
              <w:t> </w:t>
            </w:r>
          </w:p>
        </w:tc>
      </w:tr>
      <w:tr>
        <w:trPr/>
        <w:tc>
          <w:tcPr>
            <w:tcW w:w="7832" w:type="dxa"/>
            <w:tcBorders/>
            <w:shd w:fill="auto" w:val="clear"/>
            <w:vAlign w:val="bottom"/>
          </w:tcPr>
          <w:p>
            <w:pPr>
              <w:pStyle w:val="TableContents"/>
              <w:spacing w:before="0" w:after="283"/>
              <w:ind w:left="200" w:right="0" w:hanging="200"/>
              <w:rPr>
                <w:rFonts w:ascii="times" w:hAnsi="times"/>
                <w:sz w:val="20"/>
              </w:rPr>
            </w:pPr>
            <w:r>
              <w:rPr>
                <w:rFonts w:ascii="times" w:hAnsi="times"/>
                <w:sz w:val="20"/>
              </w:rPr>
              <w:t>Legal fees and expenses</w:t>
            </w:r>
          </w:p>
        </w:tc>
        <w:tc>
          <w:tcPr>
            <w:tcW w:w="293" w:type="dxa"/>
            <w:tcBorders/>
            <w:shd w:fill="auto" w:val="clear"/>
            <w:vAlign w:val="bottom"/>
          </w:tcPr>
          <w:p>
            <w:pPr>
              <w:pStyle w:val="TableContents"/>
              <w:spacing w:before="0" w:after="283"/>
              <w:rPr/>
            </w:pPr>
            <w:r>
              <w:rPr/>
              <w:t> </w:t>
            </w:r>
          </w:p>
        </w:tc>
        <w:tc>
          <w:tcPr>
            <w:tcW w:w="203" w:type="dxa"/>
            <w:tcBorders/>
            <w:shd w:fill="auto" w:val="clear"/>
            <w:vAlign w:val="bottom"/>
          </w:tcPr>
          <w:p>
            <w:pPr>
              <w:pStyle w:val="TableContents"/>
              <w:spacing w:before="0" w:after="283"/>
              <w:rPr/>
            </w:pPr>
            <w:r>
              <w:rPr/>
              <w:t> </w:t>
            </w:r>
          </w:p>
        </w:tc>
        <w:tc>
          <w:tcPr>
            <w:tcW w:w="1584" w:type="dxa"/>
            <w:tcBorders/>
            <w:shd w:fill="auto" w:val="clear"/>
            <w:vAlign w:val="bottom"/>
          </w:tcPr>
          <w:p>
            <w:pPr>
              <w:pStyle w:val="TableContents"/>
              <w:spacing w:before="0" w:after="283"/>
              <w:jc w:val="right"/>
              <w:rPr>
                <w:rFonts w:ascii="times" w:hAnsi="times"/>
                <w:sz w:val="20"/>
              </w:rPr>
            </w:pPr>
            <w:r>
              <w:rPr>
                <w:rFonts w:ascii="times" w:hAnsi="times"/>
                <w:sz w:val="20"/>
              </w:rPr>
              <w:t>275,000</w:t>
            </w:r>
          </w:p>
        </w:tc>
        <w:tc>
          <w:tcPr>
            <w:tcW w:w="293" w:type="dxa"/>
            <w:tcBorders/>
            <w:shd w:fill="auto" w:val="clear"/>
            <w:vAlign w:val="bottom"/>
          </w:tcPr>
          <w:p>
            <w:pPr>
              <w:pStyle w:val="TableContents"/>
              <w:spacing w:before="0" w:after="283"/>
              <w:rPr/>
            </w:pPr>
            <w:r>
              <w:rPr/>
              <w:t> </w:t>
            </w:r>
          </w:p>
        </w:tc>
      </w:tr>
      <w:tr>
        <w:trPr/>
        <w:tc>
          <w:tcPr>
            <w:tcW w:w="7832" w:type="dxa"/>
            <w:tcBorders/>
            <w:shd w:fill="auto" w:val="clear"/>
            <w:vAlign w:val="bottom"/>
          </w:tcPr>
          <w:p>
            <w:pPr>
              <w:pStyle w:val="TableContents"/>
              <w:spacing w:before="0" w:after="283"/>
              <w:ind w:left="200" w:right="0" w:hanging="200"/>
              <w:rPr>
                <w:rFonts w:ascii="times" w:hAnsi="times"/>
                <w:sz w:val="20"/>
              </w:rPr>
            </w:pPr>
            <w:r>
              <w:rPr>
                <w:rFonts w:ascii="times" w:hAnsi="times"/>
                <w:sz w:val="20"/>
              </w:rPr>
              <w:t>Accounting fees and expenses</w:t>
            </w:r>
          </w:p>
        </w:tc>
        <w:tc>
          <w:tcPr>
            <w:tcW w:w="293" w:type="dxa"/>
            <w:tcBorders/>
            <w:shd w:fill="auto" w:val="clear"/>
            <w:vAlign w:val="bottom"/>
          </w:tcPr>
          <w:p>
            <w:pPr>
              <w:pStyle w:val="TableContents"/>
              <w:spacing w:before="0" w:after="283"/>
              <w:rPr/>
            </w:pPr>
            <w:r>
              <w:rPr/>
              <w:t> </w:t>
            </w:r>
          </w:p>
        </w:tc>
        <w:tc>
          <w:tcPr>
            <w:tcW w:w="203" w:type="dxa"/>
            <w:tcBorders/>
            <w:shd w:fill="auto" w:val="clear"/>
            <w:vAlign w:val="bottom"/>
          </w:tcPr>
          <w:p>
            <w:pPr>
              <w:pStyle w:val="TableContents"/>
              <w:spacing w:before="0" w:after="283"/>
              <w:rPr/>
            </w:pPr>
            <w:r>
              <w:rPr/>
              <w:t> </w:t>
            </w:r>
          </w:p>
        </w:tc>
        <w:tc>
          <w:tcPr>
            <w:tcW w:w="1584" w:type="dxa"/>
            <w:tcBorders/>
            <w:shd w:fill="auto" w:val="clear"/>
            <w:vAlign w:val="bottom"/>
          </w:tcPr>
          <w:p>
            <w:pPr>
              <w:pStyle w:val="TableContents"/>
              <w:spacing w:before="0" w:after="283"/>
              <w:jc w:val="right"/>
              <w:rPr>
                <w:rFonts w:ascii="times" w:hAnsi="times"/>
                <w:sz w:val="20"/>
              </w:rPr>
            </w:pPr>
            <w:r>
              <w:rPr>
                <w:rFonts w:ascii="times" w:hAnsi="times"/>
                <w:sz w:val="20"/>
              </w:rPr>
              <w:t>50,000</w:t>
            </w:r>
          </w:p>
        </w:tc>
        <w:tc>
          <w:tcPr>
            <w:tcW w:w="293" w:type="dxa"/>
            <w:tcBorders/>
            <w:shd w:fill="auto" w:val="clear"/>
            <w:vAlign w:val="bottom"/>
          </w:tcPr>
          <w:p>
            <w:pPr>
              <w:pStyle w:val="TableContents"/>
              <w:spacing w:before="0" w:after="283"/>
              <w:rPr/>
            </w:pPr>
            <w:r>
              <w:rPr/>
              <w:t> </w:t>
            </w:r>
          </w:p>
        </w:tc>
      </w:tr>
      <w:tr>
        <w:trPr/>
        <w:tc>
          <w:tcPr>
            <w:tcW w:w="7832" w:type="dxa"/>
            <w:tcBorders/>
            <w:shd w:fill="auto" w:val="clear"/>
            <w:vAlign w:val="bottom"/>
          </w:tcPr>
          <w:p>
            <w:pPr>
              <w:pStyle w:val="TableContents"/>
              <w:spacing w:before="0" w:after="283"/>
              <w:ind w:left="200" w:right="0" w:hanging="200"/>
              <w:rPr>
                <w:rFonts w:ascii="times" w:hAnsi="times"/>
                <w:sz w:val="20"/>
              </w:rPr>
            </w:pPr>
            <w:r>
              <w:rPr>
                <w:rFonts w:ascii="times" w:hAnsi="times"/>
                <w:sz w:val="20"/>
              </w:rPr>
              <w:t>Printing and engraving costs</w:t>
            </w:r>
          </w:p>
        </w:tc>
        <w:tc>
          <w:tcPr>
            <w:tcW w:w="293" w:type="dxa"/>
            <w:tcBorders/>
            <w:shd w:fill="auto" w:val="clear"/>
            <w:vAlign w:val="bottom"/>
          </w:tcPr>
          <w:p>
            <w:pPr>
              <w:pStyle w:val="TableContents"/>
              <w:spacing w:before="0" w:after="283"/>
              <w:rPr/>
            </w:pPr>
            <w:r>
              <w:rPr/>
              <w:t> </w:t>
            </w:r>
          </w:p>
        </w:tc>
        <w:tc>
          <w:tcPr>
            <w:tcW w:w="203" w:type="dxa"/>
            <w:tcBorders/>
            <w:shd w:fill="auto" w:val="clear"/>
            <w:vAlign w:val="bottom"/>
          </w:tcPr>
          <w:p>
            <w:pPr>
              <w:pStyle w:val="TableContents"/>
              <w:spacing w:before="0" w:after="283"/>
              <w:rPr/>
            </w:pPr>
            <w:r>
              <w:rPr/>
              <w:t> </w:t>
            </w:r>
          </w:p>
        </w:tc>
        <w:tc>
          <w:tcPr>
            <w:tcW w:w="1584" w:type="dxa"/>
            <w:tcBorders/>
            <w:shd w:fill="auto" w:val="clear"/>
            <w:vAlign w:val="bottom"/>
          </w:tcPr>
          <w:p>
            <w:pPr>
              <w:pStyle w:val="TableContents"/>
              <w:spacing w:before="0" w:after="283"/>
              <w:jc w:val="right"/>
              <w:rPr>
                <w:rFonts w:ascii="times" w:hAnsi="times"/>
                <w:sz w:val="20"/>
              </w:rPr>
            </w:pPr>
            <w:r>
              <w:rPr>
                <w:rFonts w:ascii="times" w:hAnsi="times"/>
                <w:sz w:val="20"/>
              </w:rPr>
              <w:t>50,000</w:t>
            </w:r>
          </w:p>
        </w:tc>
        <w:tc>
          <w:tcPr>
            <w:tcW w:w="293" w:type="dxa"/>
            <w:tcBorders/>
            <w:shd w:fill="auto" w:val="clear"/>
            <w:vAlign w:val="bottom"/>
          </w:tcPr>
          <w:p>
            <w:pPr>
              <w:pStyle w:val="TableContents"/>
              <w:spacing w:before="0" w:after="283"/>
              <w:rPr/>
            </w:pPr>
            <w:r>
              <w:rPr/>
              <w:t> </w:t>
            </w:r>
          </w:p>
        </w:tc>
      </w:tr>
      <w:tr>
        <w:trPr/>
        <w:tc>
          <w:tcPr>
            <w:tcW w:w="7832" w:type="dxa"/>
            <w:tcBorders/>
            <w:shd w:fill="auto" w:val="clear"/>
            <w:vAlign w:val="bottom"/>
          </w:tcPr>
          <w:p>
            <w:pPr>
              <w:pStyle w:val="TableContents"/>
              <w:spacing w:before="0" w:after="283"/>
              <w:ind w:left="200" w:right="0" w:hanging="200"/>
              <w:rPr>
                <w:rFonts w:ascii="times" w:hAnsi="times"/>
                <w:sz w:val="20"/>
              </w:rPr>
            </w:pPr>
            <w:r>
              <w:rPr>
                <w:rFonts w:ascii="times" w:hAnsi="times"/>
                <w:sz w:val="20"/>
              </w:rPr>
              <w:t>Transfer agent fees and other</w:t>
            </w:r>
          </w:p>
        </w:tc>
        <w:tc>
          <w:tcPr>
            <w:tcW w:w="293" w:type="dxa"/>
            <w:tcBorders/>
            <w:shd w:fill="auto" w:val="clear"/>
            <w:vAlign w:val="bottom"/>
          </w:tcPr>
          <w:p>
            <w:pPr>
              <w:pStyle w:val="TableContents"/>
              <w:spacing w:before="0" w:after="283"/>
              <w:rPr/>
            </w:pPr>
            <w:r>
              <w:rPr/>
              <w:t> </w:t>
            </w:r>
          </w:p>
        </w:tc>
        <w:tc>
          <w:tcPr>
            <w:tcW w:w="203" w:type="dxa"/>
            <w:tcBorders/>
            <w:shd w:fill="auto" w:val="clear"/>
            <w:vAlign w:val="bottom"/>
          </w:tcPr>
          <w:p>
            <w:pPr>
              <w:pStyle w:val="TableContents"/>
              <w:spacing w:before="0" w:after="283"/>
              <w:rPr/>
            </w:pPr>
            <w:r>
              <w:rPr/>
              <w:t> </w:t>
            </w:r>
          </w:p>
        </w:tc>
        <w:tc>
          <w:tcPr>
            <w:tcW w:w="1584" w:type="dxa"/>
            <w:tcBorders/>
            <w:shd w:fill="auto" w:val="clear"/>
            <w:vAlign w:val="bottom"/>
          </w:tcPr>
          <w:p>
            <w:pPr>
              <w:pStyle w:val="TableContents"/>
              <w:spacing w:before="0" w:after="283"/>
              <w:jc w:val="right"/>
              <w:rPr>
                <w:rFonts w:ascii="times" w:hAnsi="times"/>
                <w:sz w:val="20"/>
              </w:rPr>
            </w:pPr>
            <w:r>
              <w:rPr>
                <w:rFonts w:ascii="times" w:hAnsi="times"/>
                <w:sz w:val="20"/>
              </w:rPr>
              <w:t>5,000</w:t>
            </w:r>
          </w:p>
        </w:tc>
        <w:tc>
          <w:tcPr>
            <w:tcW w:w="293" w:type="dxa"/>
            <w:tcBorders/>
            <w:shd w:fill="auto" w:val="clear"/>
            <w:vAlign w:val="bottom"/>
          </w:tcPr>
          <w:p>
            <w:pPr>
              <w:pStyle w:val="TableContents"/>
              <w:spacing w:before="0" w:after="283"/>
              <w:rPr/>
            </w:pPr>
            <w:r>
              <w:rPr/>
              <w:t> </w:t>
            </w:r>
          </w:p>
        </w:tc>
      </w:tr>
      <w:tr>
        <w:trPr/>
        <w:tc>
          <w:tcPr>
            <w:tcW w:w="7832" w:type="dxa"/>
            <w:tcBorders/>
            <w:shd w:fill="auto" w:val="clear"/>
            <w:vAlign w:val="bottom"/>
          </w:tcPr>
          <w:p>
            <w:pPr>
              <w:pStyle w:val="TableContents"/>
              <w:spacing w:before="0" w:after="283"/>
              <w:ind w:left="200" w:right="0" w:hanging="200"/>
              <w:rPr>
                <w:rFonts w:ascii="times" w:hAnsi="times"/>
                <w:sz w:val="20"/>
              </w:rPr>
            </w:pPr>
            <w:r>
              <w:rPr>
                <w:rFonts w:ascii="times" w:hAnsi="times"/>
                <w:sz w:val="20"/>
              </w:rPr>
              <w:t>Miscellaneous</w:t>
            </w:r>
          </w:p>
        </w:tc>
        <w:tc>
          <w:tcPr>
            <w:tcW w:w="293" w:type="dxa"/>
            <w:tcBorders/>
            <w:shd w:fill="auto" w:val="clear"/>
            <w:vAlign w:val="bottom"/>
          </w:tcPr>
          <w:p>
            <w:pPr>
              <w:pStyle w:val="TableContents"/>
              <w:spacing w:before="0" w:after="283"/>
              <w:rPr/>
            </w:pPr>
            <w:r>
              <w:rPr/>
              <w:t> </w:t>
            </w:r>
          </w:p>
        </w:tc>
        <w:tc>
          <w:tcPr>
            <w:tcW w:w="203" w:type="dxa"/>
            <w:tcBorders/>
            <w:shd w:fill="auto" w:val="clear"/>
            <w:vAlign w:val="bottom"/>
          </w:tcPr>
          <w:p>
            <w:pPr>
              <w:pStyle w:val="TableContents"/>
              <w:spacing w:before="0" w:after="283"/>
              <w:rPr/>
            </w:pPr>
            <w:r>
              <w:rPr/>
              <w:t> </w:t>
            </w:r>
          </w:p>
        </w:tc>
        <w:tc>
          <w:tcPr>
            <w:tcW w:w="1584" w:type="dxa"/>
            <w:tcBorders/>
            <w:shd w:fill="auto" w:val="clear"/>
            <w:vAlign w:val="bottom"/>
          </w:tcPr>
          <w:p>
            <w:pPr>
              <w:pStyle w:val="TableContents"/>
              <w:spacing w:before="0" w:after="283"/>
              <w:jc w:val="right"/>
              <w:rPr>
                <w:rFonts w:ascii="times" w:hAnsi="times"/>
                <w:sz w:val="20"/>
              </w:rPr>
            </w:pPr>
            <w:r>
              <w:rPr>
                <w:rFonts w:ascii="times" w:hAnsi="times"/>
                <w:sz w:val="20"/>
              </w:rPr>
              <w:t xml:space="preserve">10,000 </w:t>
            </w:r>
          </w:p>
        </w:tc>
        <w:tc>
          <w:tcPr>
            <w:tcW w:w="293" w:type="dxa"/>
            <w:tcBorders/>
            <w:shd w:fill="auto" w:val="clear"/>
            <w:vAlign w:val="bottom"/>
          </w:tcPr>
          <w:p>
            <w:pPr>
              <w:pStyle w:val="TableContents"/>
              <w:spacing w:before="0" w:after="283"/>
              <w:rPr/>
            </w:pPr>
            <w:r>
              <w:rPr/>
              <w:t> </w:t>
            </w:r>
          </w:p>
        </w:tc>
      </w:tr>
      <w:tr>
        <w:trPr/>
        <w:tc>
          <w:tcPr>
            <w:tcW w:w="7832" w:type="dxa"/>
            <w:tcBorders/>
            <w:shd w:fill="FFFFFF" w:val="clear"/>
            <w:vAlign w:val="bottom"/>
          </w:tcPr>
          <w:p>
            <w:pPr>
              <w:pStyle w:val="TableContents"/>
              <w:spacing w:before="0" w:after="283"/>
              <w:rPr/>
            </w:pPr>
            <w:r>
              <w:rPr/>
              <w:t>​</w:t>
            </w:r>
          </w:p>
        </w:tc>
        <w:tc>
          <w:tcPr>
            <w:tcW w:w="293" w:type="dxa"/>
            <w:tcBorders/>
            <w:shd w:fill="FFFFFF" w:val="clear"/>
            <w:vAlign w:val="bottom"/>
          </w:tcPr>
          <w:p>
            <w:pPr>
              <w:pStyle w:val="TableContents"/>
              <w:spacing w:before="0" w:after="283"/>
              <w:rPr/>
            </w:pPr>
            <w:r>
              <w:rPr/>
              <w:t>​</w:t>
            </w:r>
          </w:p>
        </w:tc>
        <w:tc>
          <w:tcPr>
            <w:tcW w:w="203" w:type="dxa"/>
            <w:tcBorders>
              <w:bottom w:val="single" w:sz="8" w:space="0" w:color="000000"/>
            </w:tcBorders>
            <w:shd w:fill="FFFFFF" w:val="clear"/>
            <w:tcMar>
              <w:bottom w:w="28" w:type="dxa"/>
            </w:tcMar>
            <w:vAlign w:val="bottom"/>
          </w:tcPr>
          <w:p>
            <w:pPr>
              <w:pStyle w:val="TableContents"/>
              <w:spacing w:before="0" w:after="283"/>
              <w:rPr/>
            </w:pPr>
            <w:r>
              <w:rPr/>
              <w:t xml:space="preserve">​ </w:t>
            </w:r>
          </w:p>
        </w:tc>
        <w:tc>
          <w:tcPr>
            <w:tcW w:w="1584" w:type="dxa"/>
            <w:tcBorders>
              <w:bottom w:val="single" w:sz="8" w:space="0" w:color="000000"/>
            </w:tcBorders>
            <w:shd w:fill="FFFFFF" w:val="clear"/>
            <w:tcMar>
              <w:bottom w:w="28" w:type="dxa"/>
            </w:tcMar>
            <w:vAlign w:val="bottom"/>
          </w:tcPr>
          <w:p>
            <w:pPr>
              <w:pStyle w:val="TableContents"/>
              <w:spacing w:before="0" w:after="283"/>
              <w:jc w:val="right"/>
              <w:rPr/>
            </w:pPr>
            <w:r>
              <w:rPr/>
              <w:t xml:space="preserve">​ </w:t>
            </w:r>
          </w:p>
        </w:tc>
        <w:tc>
          <w:tcPr>
            <w:tcW w:w="293" w:type="dxa"/>
            <w:tcBorders/>
            <w:shd w:fill="FFFFFF" w:val="clear"/>
            <w:vAlign w:val="bottom"/>
          </w:tcPr>
          <w:p>
            <w:pPr>
              <w:pStyle w:val="TableContents"/>
              <w:spacing w:before="0" w:after="283"/>
              <w:rPr/>
            </w:pPr>
            <w:r>
              <w:rPr/>
              <w:t>​</w:t>
            </w:r>
          </w:p>
        </w:tc>
      </w:tr>
      <w:tr>
        <w:trPr/>
        <w:tc>
          <w:tcPr>
            <w:tcW w:w="7832" w:type="dxa"/>
            <w:tcBorders/>
            <w:shd w:fill="auto" w:val="clear"/>
            <w:vAlign w:val="bottom"/>
          </w:tcPr>
          <w:p>
            <w:pPr>
              <w:pStyle w:val="TableContents"/>
              <w:spacing w:before="0" w:after="283"/>
              <w:ind w:left="200" w:right="0" w:hanging="200"/>
              <w:rPr>
                <w:rFonts w:ascii="times" w:hAnsi="times"/>
                <w:sz w:val="20"/>
              </w:rPr>
            </w:pPr>
            <w:r>
              <w:rPr>
                <w:rFonts w:ascii="times" w:hAnsi="times"/>
                <w:sz w:val="20"/>
              </w:rPr>
              <w:t>Total</w:t>
            </w:r>
          </w:p>
        </w:tc>
        <w:tc>
          <w:tcPr>
            <w:tcW w:w="293" w:type="dxa"/>
            <w:tcBorders/>
            <w:shd w:fill="auto" w:val="clear"/>
            <w:vAlign w:val="bottom"/>
          </w:tcPr>
          <w:p>
            <w:pPr>
              <w:pStyle w:val="TableContents"/>
              <w:spacing w:before="0" w:after="283"/>
              <w:rPr/>
            </w:pPr>
            <w:r>
              <w:rPr/>
              <w:t> </w:t>
            </w:r>
          </w:p>
        </w:tc>
        <w:tc>
          <w:tcPr>
            <w:tcW w:w="203" w:type="dxa"/>
            <w:tcBorders/>
            <w:shd w:fill="auto" w:val="clear"/>
            <w:vAlign w:val="bottom"/>
          </w:tcPr>
          <w:p>
            <w:pPr>
              <w:pStyle w:val="TableContents"/>
              <w:spacing w:before="0" w:after="283"/>
              <w:rPr>
                <w:rFonts w:ascii="times" w:hAnsi="times"/>
                <w:sz w:val="20"/>
              </w:rPr>
            </w:pPr>
            <w:r>
              <w:rPr>
                <w:rFonts w:ascii="times" w:hAnsi="times"/>
                <w:sz w:val="20"/>
              </w:rPr>
              <w:t>$</w:t>
            </w:r>
          </w:p>
        </w:tc>
        <w:tc>
          <w:tcPr>
            <w:tcW w:w="1584" w:type="dxa"/>
            <w:tcBorders/>
            <w:shd w:fill="auto" w:val="clear"/>
            <w:vAlign w:val="bottom"/>
          </w:tcPr>
          <w:p>
            <w:pPr>
              <w:pStyle w:val="TableContents"/>
              <w:spacing w:before="0" w:after="283"/>
              <w:jc w:val="right"/>
              <w:rPr>
                <w:rFonts w:ascii="times" w:hAnsi="times"/>
                <w:sz w:val="20"/>
              </w:rPr>
            </w:pPr>
            <w:r>
              <w:rPr>
                <w:rFonts w:ascii="times" w:hAnsi="times"/>
                <w:sz w:val="20"/>
              </w:rPr>
              <w:t xml:space="preserve">390,000 </w:t>
            </w:r>
          </w:p>
        </w:tc>
        <w:tc>
          <w:tcPr>
            <w:tcW w:w="293" w:type="dxa"/>
            <w:tcBorders/>
            <w:shd w:fill="auto" w:val="clear"/>
            <w:vAlign w:val="bottom"/>
          </w:tcPr>
          <w:p>
            <w:pPr>
              <w:pStyle w:val="TableContents"/>
              <w:spacing w:before="0" w:after="283"/>
              <w:rPr/>
            </w:pPr>
            <w:r>
              <w:rPr/>
              <w:t> </w:t>
            </w:r>
          </w:p>
        </w:tc>
      </w:tr>
      <w:tr>
        <w:trPr/>
        <w:tc>
          <w:tcPr>
            <w:tcW w:w="7832" w:type="dxa"/>
            <w:tcBorders/>
            <w:shd w:fill="FFFFFF" w:val="clear"/>
            <w:vAlign w:val="bottom"/>
          </w:tcPr>
          <w:p>
            <w:pPr>
              <w:pStyle w:val="TableContents"/>
              <w:spacing w:before="0" w:after="283"/>
              <w:rPr/>
            </w:pPr>
            <w:r>
              <w:rPr/>
              <w:t>​</w:t>
            </w:r>
          </w:p>
        </w:tc>
        <w:tc>
          <w:tcPr>
            <w:tcW w:w="293" w:type="dxa"/>
            <w:tcBorders/>
            <w:shd w:fill="FFFFFF" w:val="clear"/>
            <w:vAlign w:val="bottom"/>
          </w:tcPr>
          <w:p>
            <w:pPr>
              <w:pStyle w:val="TableContents"/>
              <w:spacing w:before="0" w:after="283"/>
              <w:rPr/>
            </w:pPr>
            <w:r>
              <w:rPr/>
              <w:t>​</w:t>
            </w:r>
          </w:p>
        </w:tc>
        <w:tc>
          <w:tcPr>
            <w:tcW w:w="203" w:type="dxa"/>
            <w:tcBorders>
              <w:bottom w:val="single" w:sz="8" w:space="0" w:color="000000"/>
            </w:tcBorders>
            <w:shd w:fill="FFFFFF" w:val="clear"/>
            <w:tcMar>
              <w:bottom w:w="28" w:type="dxa"/>
            </w:tcMar>
            <w:vAlign w:val="bottom"/>
          </w:tcPr>
          <w:p>
            <w:pPr>
              <w:pStyle w:val="TableContents"/>
              <w:spacing w:before="0" w:after="283"/>
              <w:rPr/>
            </w:pPr>
            <w:r>
              <w:rPr/>
              <w:t xml:space="preserve">​ </w:t>
            </w:r>
          </w:p>
        </w:tc>
        <w:tc>
          <w:tcPr>
            <w:tcW w:w="1584" w:type="dxa"/>
            <w:tcBorders>
              <w:bottom w:val="single" w:sz="8" w:space="0" w:color="000000"/>
            </w:tcBorders>
            <w:shd w:fill="FFFFFF" w:val="clear"/>
            <w:tcMar>
              <w:bottom w:w="28" w:type="dxa"/>
            </w:tcMar>
            <w:vAlign w:val="bottom"/>
          </w:tcPr>
          <w:p>
            <w:pPr>
              <w:pStyle w:val="TableContents"/>
              <w:spacing w:before="0" w:after="283"/>
              <w:jc w:val="right"/>
              <w:rPr/>
            </w:pPr>
            <w:r>
              <w:rPr/>
              <w:t xml:space="preserve">​ </w:t>
            </w:r>
          </w:p>
        </w:tc>
        <w:tc>
          <w:tcPr>
            <w:tcW w:w="293" w:type="dxa"/>
            <w:tcBorders/>
            <w:shd w:fill="FFFFFF" w:val="clear"/>
            <w:vAlign w:val="bottom"/>
          </w:tcPr>
          <w:p>
            <w:pPr>
              <w:pStyle w:val="TableContents"/>
              <w:spacing w:before="0" w:after="283"/>
              <w:rPr/>
            </w:pPr>
            <w:r>
              <w:rPr/>
              <w:t>​</w:t>
            </w:r>
          </w:p>
        </w:tc>
      </w:tr>
      <w:tr>
        <w:trPr/>
        <w:tc>
          <w:tcPr>
            <w:tcW w:w="7832" w:type="dxa"/>
            <w:tcBorders/>
            <w:shd w:fill="FFFFFF" w:val="clear"/>
            <w:vAlign w:val="bottom"/>
          </w:tcPr>
          <w:p>
            <w:pPr>
              <w:pStyle w:val="TableContents"/>
              <w:spacing w:lineRule="atLeast" w:line="141" w:before="0" w:after="283"/>
              <w:rPr/>
            </w:pPr>
            <w:r>
              <w:rPr/>
              <w:t>​</w:t>
            </w:r>
          </w:p>
        </w:tc>
        <w:tc>
          <w:tcPr>
            <w:tcW w:w="293" w:type="dxa"/>
            <w:tcBorders/>
            <w:shd w:fill="FFFFFF" w:val="clear"/>
            <w:vAlign w:val="bottom"/>
          </w:tcPr>
          <w:p>
            <w:pPr>
              <w:pStyle w:val="TableContents"/>
              <w:spacing w:lineRule="atLeast" w:line="141" w:before="0" w:after="283"/>
              <w:rPr/>
            </w:pPr>
            <w:r>
              <w:rPr/>
              <w:t>​</w:t>
            </w:r>
          </w:p>
        </w:tc>
        <w:tc>
          <w:tcPr>
            <w:tcW w:w="203" w:type="dxa"/>
            <w:tcBorders/>
            <w:shd w:fill="FFFFFF" w:val="clear"/>
            <w:vAlign w:val="bottom"/>
          </w:tcPr>
          <w:p>
            <w:pPr>
              <w:pStyle w:val="TableContents"/>
              <w:spacing w:lineRule="atLeast" w:line="141" w:before="0" w:after="283"/>
              <w:rPr/>
            </w:pPr>
            <w:r>
              <w:rPr/>
              <w:t>​</w:t>
            </w:r>
          </w:p>
        </w:tc>
        <w:tc>
          <w:tcPr>
            <w:tcW w:w="1584" w:type="dxa"/>
            <w:tcBorders/>
            <w:shd w:fill="FFFFFF" w:val="clear"/>
            <w:vAlign w:val="bottom"/>
          </w:tcPr>
          <w:p>
            <w:pPr>
              <w:pStyle w:val="TableContents"/>
              <w:spacing w:lineRule="atLeast" w:line="141" w:before="0" w:after="283"/>
              <w:jc w:val="right"/>
              <w:rPr/>
            </w:pPr>
            <w:r>
              <w:rPr/>
              <w:t>​</w:t>
            </w:r>
          </w:p>
        </w:tc>
        <w:tc>
          <w:tcPr>
            <w:tcW w:w="293" w:type="dxa"/>
            <w:tcBorders/>
            <w:shd w:fill="FFFFFF" w:val="clear"/>
            <w:vAlign w:val="bottom"/>
          </w:tcPr>
          <w:p>
            <w:pPr>
              <w:pStyle w:val="TableContents"/>
              <w:spacing w:lineRule="atLeast" w:line="141" w:before="0" w:after="283"/>
              <w:rPr/>
            </w:pPr>
            <w:r>
              <w:rPr/>
              <w:t>​</w:t>
            </w:r>
          </w:p>
        </w:tc>
      </w:tr>
      <w:tr>
        <w:trPr/>
        <w:tc>
          <w:tcPr>
            <w:tcW w:w="7832" w:type="dxa"/>
            <w:tcBorders/>
            <w:shd w:fill="FFFFFF" w:val="clear"/>
            <w:vAlign w:val="bottom"/>
          </w:tcPr>
          <w:p>
            <w:pPr>
              <w:pStyle w:val="TableContents"/>
              <w:spacing w:before="0" w:after="283"/>
              <w:rPr/>
            </w:pPr>
            <w:r>
              <w:rPr/>
              <w:t>​</w:t>
            </w:r>
          </w:p>
        </w:tc>
        <w:tc>
          <w:tcPr>
            <w:tcW w:w="293" w:type="dxa"/>
            <w:tcBorders/>
            <w:shd w:fill="FFFFFF" w:val="clear"/>
            <w:vAlign w:val="bottom"/>
          </w:tcPr>
          <w:p>
            <w:pPr>
              <w:pStyle w:val="TableContents"/>
              <w:spacing w:before="0" w:after="283"/>
              <w:rPr/>
            </w:pPr>
            <w:r>
              <w:rPr/>
              <w:t>​</w:t>
            </w:r>
          </w:p>
        </w:tc>
        <w:tc>
          <w:tcPr>
            <w:tcW w:w="203" w:type="dxa"/>
            <w:tcBorders>
              <w:bottom w:val="single" w:sz="8" w:space="0" w:color="000000"/>
            </w:tcBorders>
            <w:shd w:fill="FFFFFF" w:val="clear"/>
            <w:tcMar>
              <w:bottom w:w="28" w:type="dxa"/>
            </w:tcMar>
            <w:vAlign w:val="bottom"/>
          </w:tcPr>
          <w:p>
            <w:pPr>
              <w:pStyle w:val="TableContents"/>
              <w:spacing w:before="0" w:after="283"/>
              <w:rPr/>
            </w:pPr>
            <w:r>
              <w:rPr/>
              <w:t xml:space="preserve">​ </w:t>
            </w:r>
          </w:p>
        </w:tc>
        <w:tc>
          <w:tcPr>
            <w:tcW w:w="1584" w:type="dxa"/>
            <w:tcBorders>
              <w:bottom w:val="single" w:sz="8" w:space="0" w:color="000000"/>
            </w:tcBorders>
            <w:shd w:fill="FFFFFF" w:val="clear"/>
            <w:tcMar>
              <w:bottom w:w="28" w:type="dxa"/>
            </w:tcMar>
            <w:vAlign w:val="bottom"/>
          </w:tcPr>
          <w:p>
            <w:pPr>
              <w:pStyle w:val="TableContents"/>
              <w:spacing w:before="0" w:after="283"/>
              <w:jc w:val="right"/>
              <w:rPr/>
            </w:pPr>
            <w:r>
              <w:rPr/>
              <w:t xml:space="preserve">​ </w:t>
            </w:r>
          </w:p>
        </w:tc>
        <w:tc>
          <w:tcPr>
            <w:tcW w:w="293" w:type="dxa"/>
            <w:tcBorders/>
            <w:shd w:fill="FFFFFF" w:val="clear"/>
            <w:vAlign w:val="bottom"/>
          </w:tcPr>
          <w:p>
            <w:pPr>
              <w:pStyle w:val="TableContents"/>
              <w:spacing w:before="0" w:after="283"/>
              <w:rPr/>
            </w:pPr>
            <w:r>
              <w:rPr/>
              <w:t xml:space="preserve">​ </w:t>
            </w:r>
          </w:p>
        </w:tc>
      </w:tr>
    </w:tbl>
    <w:p>
      <w:pPr>
        <w:pStyle w:val="HorizontalLine"/>
        <w:pBdr>
          <w:bottom w:val="single" w:sz="6" w:space="0" w:color="000000"/>
        </w:pBdr>
        <w:ind w:left="0" w:right="7042" w:hanging="0"/>
        <w:rPr/>
      </w:pPr>
      <w:r>
        <w:rPr/>
      </w:r>
    </w:p>
    <w:p>
      <w:pPr>
        <w:pStyle w:val="ListHeading"/>
        <w:spacing w:before="0" w:after="0"/>
        <w:jc w:val="left"/>
        <w:rPr>
          <w:rFonts w:ascii="times" w:hAnsi="times"/>
          <w:sz w:val="20"/>
        </w:rPr>
      </w:pPr>
      <w:r>
        <w:rPr>
          <w:rFonts w:ascii="times" w:hAnsi="times"/>
          <w:sz w:val="20"/>
        </w:rPr>
        <w:t>*</w:t>
      </w:r>
    </w:p>
    <w:p>
      <w:pPr>
        <w:pStyle w:val="ListContents"/>
        <w:spacing w:before="0" w:after="283"/>
        <w:jc w:val="left"/>
        <w:rPr>
          <w:rFonts w:ascii="times" w:hAnsi="times"/>
          <w:sz w:val="20"/>
        </w:rPr>
      </w:pPr>
      <w:r>
        <w:rPr>
          <w:rFonts w:ascii="times" w:hAnsi="times"/>
          <w:sz w:val="20"/>
        </w:rPr>
        <w:t xml:space="preserve">Previously paid. </w:t>
      </w:r>
    </w:p>
    <w:p>
      <w:pPr>
        <w:pStyle w:val="TextBody"/>
        <w:jc w:val="center"/>
        <w:rPr>
          <w:rFonts w:ascii="times" w:hAnsi="times"/>
          <w:sz w:val="20"/>
        </w:rPr>
      </w:pPr>
      <w:r>
        <w:rPr>
          <w:rFonts w:ascii="times" w:hAnsi="times"/>
          <w:sz w:val="20"/>
        </w:rPr>
        <w:t>S-63</w:t>
      </w:r>
    </w:p>
    <w:p>
      <w:pPr>
        <w:pStyle w:val="HorizontalLine"/>
        <w:pBdr>
          <w:bottom w:val="single" w:sz="20" w:space="0" w:color="808080"/>
        </w:pBdr>
        <w:rPr/>
      </w:pPr>
      <w:r>
        <w:rPr/>
      </w:r>
      <w:r>
        <w:br w:type="page"/>
      </w:r>
    </w:p>
    <w:p>
      <w:pPr>
        <w:pStyle w:val="TextBody"/>
        <w:rPr/>
      </w:pPr>
      <w:hyperlink w:anchor="bE43504A_main_toc">
        <w:bookmarkStart w:id="202" w:name="page_ci43504_1_64"/>
        <w:bookmarkEnd w:id="202"/>
        <w:r>
          <w:rPr>
            <w:rStyle w:val="InternetLink"/>
            <w:rFonts w:ascii="times" w:hAnsi="times"/>
            <w:sz w:val="20"/>
          </w:rPr>
          <w:t>Table of Contents</w:t>
        </w:r>
      </w:hyperlink>
    </w:p>
    <w:p>
      <w:pPr>
        <w:pStyle w:val="TextBody"/>
        <w:jc w:val="center"/>
        <w:rPr>
          <w:rFonts w:ascii="times" w:hAnsi="times"/>
        </w:rPr>
      </w:pPr>
      <w:bookmarkStart w:id="203" w:name="toc_ci43504_7"/>
      <w:bookmarkStart w:id="204" w:name="ci43504_where_you_can_find_additional_in"/>
      <w:bookmarkEnd w:id="203"/>
      <w:bookmarkEnd w:id="204"/>
      <w:r>
        <w:rPr>
          <w:rFonts w:ascii="times" w:hAnsi="times"/>
          <w:sz w:val="20"/>
        </w:rPr>
        <w:br/>
      </w:r>
      <w:r>
        <w:rPr>
          <w:rFonts w:ascii="times" w:hAnsi="times"/>
          <w:b/>
          <w:sz w:val="20"/>
        </w:rPr>
        <w:t xml:space="preserve">WHERE YOU CAN FIND ADDITIONAL INFORMATION </w:t>
      </w:r>
    </w:p>
    <w:p>
      <w:pPr>
        <w:pStyle w:val="TextBody"/>
        <w:rPr>
          <w:rFonts w:ascii="times" w:hAnsi="times"/>
          <w:sz w:val="20"/>
        </w:rPr>
      </w:pPr>
      <w:r>
        <w:rPr>
          <w:rFonts w:ascii="times" w:hAnsi="times"/>
          <w:sz w:val="20"/>
        </w:rPr>
        <w:t xml:space="preserve">We have filed with the SEC a registration statement on Form F-3 under the Securities Act with respect to the offer and sale of securities pursuant to this prospectus supplement. For purposes of this section, the term "registration statement" means the original registration statement and any and all amendments, including the schedules and exhibits to the original registration statement and any amendments. This prospectus supplement, filed as a part of the registration statement, does not contain all of the information set forth in the registration statement or the exhibits and schedules thereto in accordance with the rules and regulations of the SEC and no reference is hereby made to such omitted information. Statements made in this prospectus supplement concerning the contents of any contract, agreement or other document filed as an exhibit to the registration statement are summaries of all of the material terms of such contracts, agreements or documents, but do not repeat all of their terms. Reference is made to each such exhibit for a more complete description of the matters involved and such statements shall be deemed qualified in their entirety by such reference. The SEC maintains a website at http://www.sec.gov that contains reports, proxy and information statements and other information regarding registrants that file electronically with the SEC. For further information pertaining to the securities offered by this prospectus supplement and GasLog Partners, reference is made to the registration statement. </w:t>
      </w:r>
    </w:p>
    <w:p>
      <w:pPr>
        <w:pStyle w:val="TextBody"/>
        <w:jc w:val="center"/>
        <w:rPr>
          <w:rFonts w:ascii="times" w:hAnsi="times"/>
          <w:sz w:val="20"/>
        </w:rPr>
      </w:pPr>
      <w:r>
        <w:rPr>
          <w:rFonts w:ascii="times" w:hAnsi="times"/>
          <w:sz w:val="20"/>
        </w:rPr>
        <w:t>S-64</w:t>
      </w:r>
    </w:p>
    <w:p>
      <w:pPr>
        <w:pStyle w:val="HorizontalLine"/>
        <w:pBdr>
          <w:bottom w:val="single" w:sz="20" w:space="0" w:color="808080"/>
        </w:pBdr>
        <w:rPr/>
      </w:pPr>
      <w:r>
        <w:rPr/>
      </w:r>
      <w:r>
        <w:br w:type="page"/>
      </w:r>
    </w:p>
    <w:p>
      <w:pPr>
        <w:pStyle w:val="TextBody"/>
        <w:rPr/>
      </w:pPr>
      <w:hyperlink w:anchor="bE43504A_main_toc">
        <w:bookmarkStart w:id="205" w:name="page_ci43504_1_65"/>
        <w:bookmarkEnd w:id="205"/>
        <w:r>
          <w:rPr>
            <w:rStyle w:val="InternetLink"/>
            <w:rFonts w:ascii="times" w:hAnsi="times"/>
            <w:sz w:val="20"/>
          </w:rPr>
          <w:t>Table of Contents</w:t>
        </w:r>
      </w:hyperlink>
    </w:p>
    <w:p>
      <w:pPr>
        <w:pStyle w:val="TextBody"/>
        <w:jc w:val="center"/>
        <w:rPr>
          <w:rFonts w:ascii="times" w:hAnsi="times"/>
        </w:rPr>
      </w:pPr>
      <w:bookmarkStart w:id="206" w:name="toc_ci43504_8"/>
      <w:bookmarkStart w:id="207" w:name="ci43504_incorporation_of_certain_informa"/>
      <w:bookmarkEnd w:id="206"/>
      <w:bookmarkEnd w:id="207"/>
      <w:r>
        <w:rPr>
          <w:rFonts w:ascii="times" w:hAnsi="times"/>
          <w:sz w:val="20"/>
        </w:rPr>
        <w:br/>
      </w:r>
      <w:r>
        <w:rPr>
          <w:rFonts w:ascii="times" w:hAnsi="times"/>
          <w:b/>
          <w:sz w:val="20"/>
        </w:rPr>
        <w:t xml:space="preserve">INCORPORATION OF CERTAIN INFORMATION BY REFERENCE </w:t>
      </w:r>
    </w:p>
    <w:p>
      <w:pPr>
        <w:pStyle w:val="TextBody"/>
        <w:rPr>
          <w:rFonts w:ascii="times" w:hAnsi="times"/>
          <w:sz w:val="20"/>
        </w:rPr>
      </w:pPr>
      <w:r>
        <w:rPr>
          <w:rFonts w:ascii="times" w:hAnsi="times"/>
          <w:sz w:val="20"/>
        </w:rPr>
        <w:t xml:space="preserve">The SEC allows us to "incorporate by reference" information that we file with the SEC. This means that we can disclose important information to you by referring you to those filed documents. The information incorporated by reference is considered to be a part of this prospectus supplement, and information that we file later with the SEC prior to the termination of this offering will also be considered to be part of this prospectus supplement and will automatically update and supersede previously filed information, including information contained in this prospectus. </w:t>
      </w:r>
    </w:p>
    <w:p>
      <w:pPr>
        <w:pStyle w:val="TextBody"/>
        <w:rPr>
          <w:rFonts w:ascii="times" w:hAnsi="times"/>
          <w:sz w:val="20"/>
        </w:rPr>
      </w:pPr>
      <w:r>
        <w:rPr>
          <w:rFonts w:ascii="times" w:hAnsi="times"/>
          <w:sz w:val="20"/>
        </w:rPr>
        <w:t>This prospectus supplement incorporates by reference certain documents, to the extent noted therein, including the following:</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pPr>
      <w:hyperlink r:id="rId5">
        <w:r>
          <w:rPr>
            <w:rStyle w:val="InternetLink"/>
            <w:rFonts w:ascii="times" w:hAnsi="times"/>
            <w:sz w:val="20"/>
          </w:rPr>
          <w:t>our Annual Report on Form 20-F for the year ended December 31, 2020, filed with the SEC on March 2, 2021.</w:t>
        </w:r>
      </w:hyperlink>
      <w:r>
        <w:rPr>
          <w:rFonts w:ascii="times" w:hAnsi="times"/>
          <w:sz w:val="20"/>
        </w:rPr>
        <w:t xml:space="preserve"> </w:t>
      </w:r>
    </w:p>
    <w:p>
      <w:pPr>
        <w:pStyle w:val="TextBody"/>
        <w:rPr>
          <w:rFonts w:ascii="times" w:hAnsi="times"/>
          <w:sz w:val="20"/>
        </w:rPr>
      </w:pPr>
      <w:r>
        <w:rPr>
          <w:rFonts w:ascii="times" w:hAnsi="times"/>
          <w:sz w:val="20"/>
        </w:rPr>
        <w:t xml:space="preserve">We are also incorporating by reference all subsequent annual reports on Form 20-F that we file with the SEC and certain reports on Form 6-K that we furnish to the SEC after the date of this prospectus supplement (if they state that they are incorporated by reference into this prospectus supplement) until we file a post-effective amendment indicating that the offering of our common units made by this prospectus supplement has been terminated. In all cases, you should rely on the later information over different information included in this prospectus supplement. </w:t>
      </w:r>
    </w:p>
    <w:p>
      <w:pPr>
        <w:pStyle w:val="TextBody"/>
        <w:rPr>
          <w:rFonts w:ascii="times" w:hAnsi="times"/>
          <w:sz w:val="20"/>
        </w:rPr>
      </w:pPr>
      <w:r>
        <w:rPr>
          <w:rFonts w:ascii="times" w:hAnsi="times"/>
          <w:sz w:val="20"/>
        </w:rPr>
        <w:t xml:space="preserve">In accordance with Rule 402 of Regulation S-T, the XBRL-related information in Exhibit 101 to our Annual Report on Form 20-F and our reports on Form 6-K will not be deemed to be incorporated by reference into any registration statement or other document filed under the Securities Act of 1933, as amended, except as will be expressly set forth by specific reference in such filing. </w:t>
      </w:r>
    </w:p>
    <w:p>
      <w:pPr>
        <w:pStyle w:val="TextBody"/>
        <w:rPr>
          <w:rFonts w:ascii="times" w:hAnsi="times"/>
          <w:sz w:val="20"/>
        </w:rPr>
      </w:pPr>
      <w:r>
        <w:rPr>
          <w:rFonts w:ascii="times" w:hAnsi="times"/>
          <w:sz w:val="20"/>
        </w:rPr>
        <w:t xml:space="preserve">We will provide, free of charge upon written or oral request, to each person to whom this prospectus supplement is delivered, including any beneficial owner of our common units, a copy of any or all of the information that has been incorporated by reference into this prospectus supplement, but which has not been delivered with the prospectus supplement. Copies of these documents also may be obtained on the "Investor Relations" section of our website at www.gaslogmlp.com. Requests for such information should be made to us at the following address: </w:t>
      </w:r>
    </w:p>
    <w:p>
      <w:pPr>
        <w:pStyle w:val="TextBody"/>
        <w:jc w:val="center"/>
        <w:rPr>
          <w:rFonts w:ascii="times" w:hAnsi="times"/>
          <w:sz w:val="20"/>
        </w:rPr>
      </w:pPr>
      <w:r>
        <w:rPr>
          <w:rFonts w:ascii="times" w:hAnsi="times"/>
          <w:sz w:val="20"/>
        </w:rPr>
        <w:t>GasLog Partners LP</w:t>
        <w:br/>
        <w:t>c/o GasLog LNG Services Ltd</w:t>
        <w:br/>
        <w:t>69 Akti Miaouli</w:t>
        <w:br/>
        <w:t>18537 Piraeus Greece</w:t>
        <w:br/>
        <w:t>+30 210 459 1000</w:t>
        <w:br/>
        <w:t xml:space="preserve">Attention: Alexandros Laios, General Counsel </w:t>
      </w:r>
    </w:p>
    <w:p>
      <w:pPr>
        <w:pStyle w:val="TextBody"/>
        <w:rPr>
          <w:rFonts w:ascii="times" w:hAnsi="times"/>
          <w:sz w:val="20"/>
        </w:rPr>
      </w:pPr>
      <w:r>
        <w:rPr>
          <w:rFonts w:ascii="times" w:hAnsi="times"/>
          <w:sz w:val="20"/>
        </w:rPr>
        <w:t xml:space="preserve">You should assume that the information appearing in this prospectus supplement and any accompanying prospectus supplement, as well as the information we previously filed with the SEC and incorporated by reference, is accurate as of the dates on the front cover of those documents only. Our business, financial condition and results of operations and prospects may have changed since those dates. </w:t>
      </w:r>
    </w:p>
    <w:p>
      <w:pPr>
        <w:pStyle w:val="TextBody"/>
        <w:jc w:val="center"/>
        <w:rPr>
          <w:rFonts w:ascii="times" w:hAnsi="times"/>
          <w:sz w:val="20"/>
        </w:rPr>
      </w:pPr>
      <w:r>
        <w:rPr>
          <w:rFonts w:ascii="times" w:hAnsi="times"/>
          <w:sz w:val="20"/>
        </w:rPr>
        <w:t>S-65</w:t>
      </w:r>
    </w:p>
    <w:p>
      <w:pPr>
        <w:pStyle w:val="HorizontalLine"/>
        <w:pBdr>
          <w:bottom w:val="single" w:sz="20" w:space="0" w:color="808080"/>
        </w:pBdr>
        <w:rPr/>
      </w:pPr>
      <w:r>
        <w:rPr/>
      </w:r>
      <w:r>
        <w:br w:type="page"/>
      </w:r>
    </w:p>
    <w:p>
      <w:pPr>
        <w:pStyle w:val="TextBody"/>
        <w:rPr/>
      </w:pPr>
      <w:hyperlink w:anchor="dg43504a_main_toc">
        <w:r>
          <w:rPr>
            <w:rStyle w:val="InternetLink"/>
            <w:rFonts w:ascii="times" w:hAnsi="times"/>
            <w:sz w:val="20"/>
          </w:rPr>
          <w:t>Table of Contents</w:t>
        </w:r>
      </w:hyperlink>
      <w:r>
        <w:rPr>
          <w:rFonts w:ascii="times" w:hAnsi="times"/>
          <w:sz w:val="20"/>
        </w:rPr>
        <w:t xml:space="preserve"> </w:t>
      </w:r>
    </w:p>
    <w:p>
      <w:pPr>
        <w:pStyle w:val="TextBody"/>
        <w:rPr>
          <w:rFonts w:ascii="times" w:hAnsi="times"/>
          <w:b/>
          <w:sz w:val="20"/>
        </w:rPr>
      </w:pPr>
      <w:r>
        <w:rPr>
          <w:rFonts w:ascii="times" w:hAnsi="times"/>
          <w:b/>
          <w:sz w:val="20"/>
        </w:rPr>
        <w:t xml:space="preserve">PROSPECTUS </w:t>
      </w:r>
    </w:p>
    <w:p>
      <w:pPr>
        <w:pStyle w:val="TextBody"/>
        <w:jc w:val="center"/>
        <w:rPr>
          <w:rFonts w:ascii="times" w:hAnsi="times"/>
          <w:b/>
          <w:sz w:val="28"/>
        </w:rPr>
      </w:pPr>
      <w:r>
        <w:rPr>
          <w:rFonts w:ascii="times" w:hAnsi="times"/>
          <w:b/>
          <w:sz w:val="28"/>
        </w:rPr>
        <w:t xml:space="preserve">$400,000,000 </w:t>
      </w:r>
    </w:p>
    <w:p>
      <w:pPr>
        <w:pStyle w:val="TextBody"/>
        <w:jc w:val="center"/>
        <w:rPr>
          <w:rFonts w:ascii="times" w:hAnsi="times"/>
          <w:b/>
          <w:sz w:val="36"/>
        </w:rPr>
      </w:pPr>
      <w:r>
        <w:rPr>
          <w:rFonts w:ascii="times" w:hAnsi="times"/>
          <w:b/>
          <w:sz w:val="36"/>
        </w:rPr>
        <w:t xml:space="preserve">GasLog Partners LP </w:t>
      </w:r>
    </w:p>
    <w:p>
      <w:pPr>
        <w:pStyle w:val="TextBody"/>
        <w:jc w:val="center"/>
        <w:rPr>
          <w:rFonts w:ascii="times" w:hAnsi="times"/>
          <w:b/>
          <w:sz w:val="28"/>
        </w:rPr>
      </w:pPr>
      <w:r>
        <w:rPr>
          <w:rFonts w:ascii="times" w:hAnsi="times"/>
          <w:b/>
          <w:sz w:val="28"/>
        </w:rPr>
        <w:t>Common Units Representing Limited Partner Interests</w:t>
        <w:br/>
        <w:t>8.625% Series A Cumulative Redeemable Perpetual Fixed to Floating Rate Preference Units Representing Limited Partner Interests</w:t>
        <w:br/>
        <w:t>8.200% Series B Cumulative Redeemable Perpetual Fixed to Floating Rate Preference Units Representing Limited Partner Interests</w:t>
        <w:br/>
        <w:t>8.500% Series C Cumulative Redeemable Perpetual Fixed to Floating Rate Preference Units Representing Limited Partner Interests</w:t>
        <w:br/>
        <w:t>Other Classes of Units Representing Limited Partner Interests</w:t>
        <w:br/>
        <w:t>Debt Securities</w:t>
        <w:br/>
        <w:t>Warrants</w:t>
        <w:br/>
        <w:t>Rights</w:t>
        <w:br/>
        <w:t xml:space="preserve">Combination Units </w:t>
      </w:r>
    </w:p>
    <w:p>
      <w:pPr>
        <w:pStyle w:val="TextBody"/>
        <w:rPr/>
      </w:pPr>
      <w:r>
        <w:rPr/>
        <w:t>        </w:t>
      </w:r>
      <w:r>
        <w:rPr>
          <w:rFonts w:ascii="times" w:hAnsi="times"/>
          <w:sz w:val="20"/>
        </w:rPr>
        <w:t xml:space="preserve">Through this prospectus, we may offer common units representing limited partner interests (the "Common Units"), 8.625% Series A Cumulative Redeemable Perpetual Fixed to Floating Rate Preference Units representing limited partner interests (the "Series A Preference Units"), 8.200% Series B Cumulative Redeemable Perpetual Fixed to Floating Rate Preference Units representing limited partner interests (the "Series B Preference Units"), 8.500% Series C Cumulative Redeemable Perpetual Fixed to Floating Rate Preference Units representing limited partner interests (the "Series C Preference Units" and, together with the Series A Preference Units and Series B Preference Units, the "Preference Units") and other classes of units representing limited partner interests (the "Other Units"), debt securities, warrants to purchase Common Units, Preference Units, Other Units or other rights (the "Warrants"), rights to purchase Common Units, Preference Units and Other Units (the "Rights"), and units consisting of any combination of the Common Units, Preference Units, Other Units, debt securities, Warrants and Rights (the "Combination Units") from time to time. We may also offer securities of the types listed above that are convertible or exchangeable into one or more of the securities listed above. When we decide to sell a particular class or series of securities, we will provide specific terms of the offered securities in a prospectus supplement. </w:t>
      </w:r>
    </w:p>
    <w:p>
      <w:pPr>
        <w:pStyle w:val="TextBody"/>
        <w:rPr/>
      </w:pPr>
      <w:r>
        <w:rPr/>
        <w:t>        </w:t>
      </w:r>
      <w:r>
        <w:rPr>
          <w:rFonts w:ascii="times" w:hAnsi="times"/>
          <w:sz w:val="20"/>
        </w:rPr>
        <w:t xml:space="preserve">The securities covered by this prospectus may be offered and sold from time to time in one or more offerings, which may be through one or more underwriters, dealers and agents, or directly to the purchasers. The names of any underwriters, dealers or agents, if any, will be included in a supplement to this prospectus. </w:t>
      </w:r>
    </w:p>
    <w:p>
      <w:pPr>
        <w:pStyle w:val="TextBody"/>
        <w:rPr/>
      </w:pPr>
      <w:r>
        <w:rPr/>
        <w:t>        </w:t>
      </w:r>
      <w:r>
        <w:rPr>
          <w:rFonts w:ascii="times" w:hAnsi="times"/>
          <w:sz w:val="20"/>
        </w:rPr>
        <w:t xml:space="preserve">This prospectus describes some of the general terms that may apply to these securities and the general manner in which they may be offered. The specific terms of any securities to be offered, and the specific manner in which they may be offered, will be described in one or more supplements to this prospectus. A prospectus supplement may also add, update or change information contained in this prospectus. </w:t>
      </w:r>
    </w:p>
    <w:p>
      <w:pPr>
        <w:pStyle w:val="TextBody"/>
        <w:rPr/>
      </w:pPr>
      <w:r>
        <w:rPr/>
        <w:t>        </w:t>
      </w:r>
      <w:r>
        <w:rPr>
          <w:rFonts w:ascii="times" w:hAnsi="times"/>
          <w:sz w:val="20"/>
        </w:rPr>
        <w:t xml:space="preserve">Our Common Units are traded on the New York Stock Exchange under the symbol "GLOP". </w:t>
      </w:r>
    </w:p>
    <w:p>
      <w:pPr>
        <w:pStyle w:val="TextBody"/>
        <w:rPr/>
      </w:pPr>
      <w:r>
        <w:rPr/>
        <w:t>        </w:t>
      </w:r>
      <w:r>
        <w:rPr>
          <w:rFonts w:ascii="times" w:hAnsi="times"/>
          <w:sz w:val="20"/>
        </w:rPr>
        <w:t xml:space="preserve">Our Series A Preference Units are traded on the New York Stock Exchange under the symbol "GLOP PR A". </w:t>
      </w:r>
    </w:p>
    <w:p>
      <w:pPr>
        <w:pStyle w:val="TextBody"/>
        <w:rPr/>
      </w:pPr>
      <w:r>
        <w:rPr/>
        <w:t>        </w:t>
      </w:r>
      <w:r>
        <w:rPr>
          <w:rFonts w:ascii="times" w:hAnsi="times"/>
          <w:sz w:val="20"/>
        </w:rPr>
        <w:t xml:space="preserve">Our Series B Preference Units are traded on the New York Stock Exchange under the symbol "GLOP PR B". </w:t>
      </w:r>
    </w:p>
    <w:p>
      <w:pPr>
        <w:pStyle w:val="TextBody"/>
        <w:rPr/>
      </w:pPr>
      <w:r>
        <w:rPr/>
        <w:t>        </w:t>
      </w:r>
      <w:r>
        <w:rPr>
          <w:rFonts w:ascii="times" w:hAnsi="times"/>
          <w:sz w:val="20"/>
        </w:rPr>
        <w:t xml:space="preserve">Our Series C Preference Units are traded on the New York Stock Exchange under the symbol "GLOP PR C". </w:t>
      </w:r>
    </w:p>
    <w:p>
      <w:pPr>
        <w:pStyle w:val="TextBody"/>
        <w:rPr/>
      </w:pPr>
      <w:r>
        <w:rPr/>
        <w:t>        </w:t>
      </w:r>
      <w:r>
        <w:rPr>
          <w:rFonts w:ascii="times" w:hAnsi="times"/>
          <w:sz w:val="20"/>
        </w:rPr>
        <w:t xml:space="preserve">Our principal executive offices are located at 69 Akti Miaouli 18537 Piraeus Greece. Our telephone number at such address is +30 210 459 1000. </w:t>
      </w:r>
    </w:p>
    <w:p>
      <w:pPr>
        <w:pStyle w:val="TextBody"/>
        <w:rPr/>
      </w:pPr>
      <w:r>
        <w:rPr/>
        <w:t>        </w:t>
      </w:r>
      <w:r>
        <w:rPr>
          <w:rFonts w:ascii="times" w:hAnsi="times"/>
          <w:b/>
          <w:sz w:val="24"/>
        </w:rPr>
        <w:t>Investing in our securities involves risks. Before buying any securities you should carefully read the section entitled "Risk Factors" on page 7 of this prospectus.</w:t>
      </w:r>
    </w:p>
    <w:p>
      <w:pPr>
        <w:pStyle w:val="TextBody"/>
        <w:rPr/>
      </w:pPr>
      <w:r>
        <w:rPr/>
        <w:t>        </w:t>
      </w:r>
      <w:r>
        <w:rPr>
          <w:rFonts w:ascii="times" w:hAnsi="times"/>
          <w:b/>
          <w:sz w:val="20"/>
        </w:rPr>
        <w:t>Neither the Securities and Exchange Commission nor any state or other securities commission has approved or disapproved of these securities or determined if this prospectus is truthful or complete. Any representation to the contrary is a criminal offense.</w:t>
      </w:r>
    </w:p>
    <w:p>
      <w:pPr>
        <w:pStyle w:val="TextBody"/>
        <w:spacing w:lineRule="atLeast" w:line="141"/>
        <w:ind w:left="360" w:right="0" w:hanging="0"/>
        <w:rPr/>
      </w:pPr>
      <w:r>
        <w:rPr/>
        <w:t xml:space="preserve">    </w:t>
      </w:r>
    </w:p>
    <w:p>
      <w:pPr>
        <w:pStyle w:val="TextBody"/>
        <w:jc w:val="center"/>
        <w:rPr/>
      </w:pPr>
      <w:r>
        <w:rPr/>
        <w:t>        </w:t>
      </w:r>
      <w:r>
        <w:rPr>
          <w:rFonts w:ascii="times" w:hAnsi="times"/>
          <w:sz w:val="20"/>
        </w:rPr>
        <w:t xml:space="preserve">The date of this prospectus is October 21, 2020. </w:t>
      </w:r>
    </w:p>
    <w:p>
      <w:pPr>
        <w:pStyle w:val="HorizontalLine"/>
        <w:pBdr>
          <w:bottom w:val="single" w:sz="20" w:space="0" w:color="808080"/>
        </w:pBdr>
        <w:rPr/>
      </w:pPr>
      <w:r>
        <w:rPr/>
      </w:r>
      <w:r>
        <w:br w:type="page"/>
      </w:r>
    </w:p>
    <w:p>
      <w:pPr>
        <w:pStyle w:val="TextBody"/>
        <w:rPr/>
      </w:pPr>
      <w:hyperlink w:anchor="dg43504a_main_toc">
        <w:bookmarkStart w:id="208" w:name="page_dg43504_1_1"/>
        <w:bookmarkEnd w:id="208"/>
        <w:r>
          <w:rPr>
            <w:rStyle w:val="InternetLink"/>
            <w:rFonts w:ascii="times" w:hAnsi="times"/>
            <w:sz w:val="20"/>
          </w:rPr>
          <w:t>Table of Contents</w:t>
        </w:r>
      </w:hyperlink>
      <w:r>
        <w:rPr>
          <w:rFonts w:ascii="times" w:hAnsi="times"/>
          <w:sz w:val="20"/>
        </w:rPr>
        <w:t xml:space="preserve"> </w:t>
      </w:r>
    </w:p>
    <w:p>
      <w:pPr>
        <w:pStyle w:val="TextBody"/>
        <w:jc w:val="center"/>
        <w:rPr>
          <w:rFonts w:ascii="times" w:hAnsi="times"/>
        </w:rPr>
      </w:pPr>
      <w:bookmarkStart w:id="209" w:name="dg43504_table_of_contents"/>
      <w:bookmarkStart w:id="210" w:name="DG43504A_main_toc"/>
      <w:bookmarkEnd w:id="209"/>
      <w:bookmarkEnd w:id="210"/>
      <w:r>
        <w:rPr>
          <w:rFonts w:ascii="times" w:hAnsi="times"/>
          <w:sz w:val="20"/>
        </w:rPr>
        <w:br/>
      </w:r>
      <w:r>
        <w:rPr>
          <w:rFonts w:ascii="times" w:hAnsi="times"/>
          <w:b/>
          <w:sz w:val="20"/>
        </w:rPr>
        <w:t xml:space="preserve">TABLE OF CONTENTS </w:t>
      </w:r>
    </w:p>
    <w:p>
      <w:pPr>
        <w:pStyle w:val="Normal"/>
        <w:spacing w:before="0" w:after="0"/>
        <w:rPr>
          <w:sz w:val="4"/>
          <w:szCs w:val="4"/>
        </w:rPr>
      </w:pPr>
      <w:r>
        <w:rPr>
          <w:sz w:val="4"/>
          <w:szCs w:val="4"/>
        </w:rPr>
      </w:r>
      <w:bookmarkStart w:id="211" w:name="DG43504_TOC"/>
      <w:bookmarkStart w:id="212" w:name="DG43504_TOC"/>
      <w:bookmarkEnd w:id="212"/>
    </w:p>
    <w:tbl>
      <w:tblPr>
        <w:tblW w:w="5000" w:type="pct"/>
        <w:jc w:val="center"/>
        <w:tblInd w:w="0" w:type="dxa"/>
        <w:tblCellMar>
          <w:top w:w="0" w:type="dxa"/>
          <w:left w:w="0" w:type="dxa"/>
          <w:bottom w:w="0" w:type="dxa"/>
          <w:right w:w="0" w:type="dxa"/>
        </w:tblCellMar>
      </w:tblPr>
      <w:tblGrid>
        <w:gridCol w:w="9587"/>
        <w:gridCol w:w="256"/>
        <w:gridCol w:w="362"/>
      </w:tblGrid>
      <w:tr>
        <w:trPr/>
        <w:tc>
          <w:tcPr>
            <w:tcW w:w="9587"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362" w:type="dxa"/>
            <w:tcBorders/>
            <w:shd w:fill="auto" w:val="clear"/>
            <w:vAlign w:val="center"/>
          </w:tcPr>
          <w:p>
            <w:pPr>
              <w:pStyle w:val="TableContents"/>
              <w:spacing w:before="0" w:after="283"/>
              <w:rPr>
                <w:sz w:val="4"/>
                <w:szCs w:val="4"/>
              </w:rPr>
            </w:pPr>
            <w:r>
              <w:rPr>
                <w:sz w:val="4"/>
                <w:szCs w:val="4"/>
              </w:rPr>
            </w:r>
          </w:p>
        </w:tc>
      </w:tr>
      <w:tr>
        <w:trPr/>
        <w:tc>
          <w:tcPr>
            <w:tcW w:w="9587" w:type="dxa"/>
            <w:tcBorders/>
            <w:shd w:fill="auto" w:val="clear"/>
          </w:tcPr>
          <w:p>
            <w:pPr>
              <w:pStyle w:val="TableContents"/>
              <w:spacing w:before="0" w:after="283"/>
              <w:ind w:left="200" w:right="0" w:hanging="200"/>
              <w:rPr/>
            </w:pPr>
            <w:hyperlink w:anchor="FLS">
              <w:r>
                <w:rPr>
                  <w:rStyle w:val="InternetLink"/>
                  <w:rFonts w:ascii="times" w:hAnsi="times"/>
                  <w:sz w:val="20"/>
                </w:rPr>
                <w:t>FORWARD-LOOKING STATEMENTS</w:t>
              </w:r>
            </w:hyperlink>
          </w:p>
        </w:tc>
        <w:tc>
          <w:tcPr>
            <w:tcW w:w="256" w:type="dxa"/>
            <w:tcBorders/>
            <w:shd w:fill="auto" w:val="clear"/>
          </w:tcPr>
          <w:p>
            <w:pPr>
              <w:pStyle w:val="TableContents"/>
              <w:spacing w:before="0" w:after="283"/>
              <w:rPr/>
            </w:pPr>
            <w:r>
              <w:rPr/>
              <w:t> </w:t>
            </w:r>
          </w:p>
        </w:tc>
        <w:tc>
          <w:tcPr>
            <w:tcW w:w="362" w:type="dxa"/>
            <w:tcBorders/>
            <w:shd w:fill="auto" w:val="clear"/>
            <w:vAlign w:val="bottom"/>
          </w:tcPr>
          <w:p>
            <w:pPr>
              <w:pStyle w:val="TableContents"/>
              <w:spacing w:before="0" w:after="283"/>
              <w:jc w:val="right"/>
              <w:rPr/>
            </w:pPr>
            <w:hyperlink w:anchor="FLS">
              <w:r>
                <w:rPr>
                  <w:rStyle w:val="InternetLink"/>
                  <w:rFonts w:ascii="times" w:hAnsi="times"/>
                  <w:sz w:val="20"/>
                </w:rPr>
                <w:t>1</w:t>
              </w:r>
            </w:hyperlink>
          </w:p>
        </w:tc>
      </w:tr>
      <w:tr>
        <w:trPr/>
        <w:tc>
          <w:tcPr>
            <w:tcW w:w="9587" w:type="dxa"/>
            <w:tcBorders/>
            <w:shd w:fill="auto" w:val="clear"/>
          </w:tcPr>
          <w:p>
            <w:pPr>
              <w:pStyle w:val="TableContents"/>
              <w:spacing w:before="240" w:after="283"/>
              <w:ind w:left="200" w:right="0" w:hanging="200"/>
              <w:rPr/>
            </w:pPr>
            <w:hyperlink w:anchor="ea43504_the_company">
              <w:r>
                <w:rPr>
                  <w:rStyle w:val="InternetLink"/>
                  <w:rFonts w:ascii="times" w:hAnsi="times"/>
                  <w:sz w:val="20"/>
                </w:rPr>
                <w:t>THE COMPANY</w:t>
              </w:r>
            </w:hyperlink>
          </w:p>
        </w:tc>
        <w:tc>
          <w:tcPr>
            <w:tcW w:w="256" w:type="dxa"/>
            <w:tcBorders/>
            <w:shd w:fill="auto" w:val="clear"/>
          </w:tcPr>
          <w:p>
            <w:pPr>
              <w:pStyle w:val="TableContents"/>
              <w:spacing w:before="0" w:after="283"/>
              <w:rPr/>
            </w:pPr>
            <w:r>
              <w:rPr/>
              <w:t> </w:t>
            </w:r>
          </w:p>
        </w:tc>
        <w:tc>
          <w:tcPr>
            <w:tcW w:w="362" w:type="dxa"/>
            <w:tcBorders/>
            <w:shd w:fill="auto" w:val="clear"/>
            <w:vAlign w:val="bottom"/>
          </w:tcPr>
          <w:p>
            <w:pPr>
              <w:pStyle w:val="TableContents"/>
              <w:spacing w:before="0" w:after="283"/>
              <w:jc w:val="right"/>
              <w:rPr/>
            </w:pPr>
            <w:hyperlink w:anchor="ea43504_the_company">
              <w:r>
                <w:rPr>
                  <w:rStyle w:val="InternetLink"/>
                  <w:rFonts w:ascii="times" w:hAnsi="times"/>
                  <w:sz w:val="20"/>
                </w:rPr>
                <w:br/>
                <w:t>4</w:t>
              </w:r>
            </w:hyperlink>
          </w:p>
        </w:tc>
      </w:tr>
      <w:tr>
        <w:trPr/>
        <w:tc>
          <w:tcPr>
            <w:tcW w:w="9587" w:type="dxa"/>
            <w:tcBorders/>
            <w:shd w:fill="auto" w:val="clear"/>
          </w:tcPr>
          <w:p>
            <w:pPr>
              <w:pStyle w:val="TableContents"/>
              <w:spacing w:before="240" w:after="283"/>
              <w:ind w:left="200" w:right="0" w:hanging="200"/>
              <w:rPr/>
            </w:pPr>
            <w:hyperlink w:anchor="ec43504_risk_factors">
              <w:r>
                <w:rPr>
                  <w:rStyle w:val="InternetLink"/>
                  <w:rFonts w:ascii="times" w:hAnsi="times"/>
                  <w:sz w:val="20"/>
                </w:rPr>
                <w:t>RISK FACTORS</w:t>
              </w:r>
            </w:hyperlink>
          </w:p>
        </w:tc>
        <w:tc>
          <w:tcPr>
            <w:tcW w:w="256" w:type="dxa"/>
            <w:tcBorders/>
            <w:shd w:fill="auto" w:val="clear"/>
          </w:tcPr>
          <w:p>
            <w:pPr>
              <w:pStyle w:val="TableContents"/>
              <w:spacing w:before="0" w:after="283"/>
              <w:rPr/>
            </w:pPr>
            <w:r>
              <w:rPr/>
              <w:t> </w:t>
            </w:r>
          </w:p>
        </w:tc>
        <w:tc>
          <w:tcPr>
            <w:tcW w:w="362" w:type="dxa"/>
            <w:tcBorders/>
            <w:shd w:fill="auto" w:val="clear"/>
            <w:vAlign w:val="bottom"/>
          </w:tcPr>
          <w:p>
            <w:pPr>
              <w:pStyle w:val="TableContents"/>
              <w:spacing w:before="0" w:after="283"/>
              <w:jc w:val="right"/>
              <w:rPr/>
            </w:pPr>
            <w:hyperlink w:anchor="ec43504_risk_factors">
              <w:r>
                <w:rPr>
                  <w:rStyle w:val="InternetLink"/>
                  <w:rFonts w:ascii="times" w:hAnsi="times"/>
                  <w:sz w:val="20"/>
                </w:rPr>
                <w:br/>
                <w:t>7</w:t>
              </w:r>
            </w:hyperlink>
          </w:p>
        </w:tc>
      </w:tr>
      <w:tr>
        <w:trPr/>
        <w:tc>
          <w:tcPr>
            <w:tcW w:w="9587" w:type="dxa"/>
            <w:tcBorders/>
            <w:shd w:fill="auto" w:val="clear"/>
          </w:tcPr>
          <w:p>
            <w:pPr>
              <w:pStyle w:val="TableContents"/>
              <w:spacing w:before="240" w:after="283"/>
              <w:ind w:left="200" w:right="0" w:hanging="200"/>
              <w:rPr/>
            </w:pPr>
            <w:hyperlink w:anchor="ec43504_service_of_process_and_enforcement_of_liabilities">
              <w:r>
                <w:rPr>
                  <w:rStyle w:val="InternetLink"/>
                  <w:rFonts w:ascii="times" w:hAnsi="times"/>
                  <w:sz w:val="20"/>
                </w:rPr>
                <w:t>SERVICE OF PROCESS AND ENFORCEMENT OF LIABILITIES</w:t>
              </w:r>
            </w:hyperlink>
          </w:p>
        </w:tc>
        <w:tc>
          <w:tcPr>
            <w:tcW w:w="256" w:type="dxa"/>
            <w:tcBorders/>
            <w:shd w:fill="auto" w:val="clear"/>
          </w:tcPr>
          <w:p>
            <w:pPr>
              <w:pStyle w:val="TableContents"/>
              <w:spacing w:before="0" w:after="283"/>
              <w:rPr/>
            </w:pPr>
            <w:r>
              <w:rPr/>
              <w:t> </w:t>
            </w:r>
          </w:p>
        </w:tc>
        <w:tc>
          <w:tcPr>
            <w:tcW w:w="362" w:type="dxa"/>
            <w:tcBorders/>
            <w:shd w:fill="auto" w:val="clear"/>
            <w:vAlign w:val="bottom"/>
          </w:tcPr>
          <w:p>
            <w:pPr>
              <w:pStyle w:val="TableContents"/>
              <w:spacing w:before="0" w:after="283"/>
              <w:jc w:val="right"/>
              <w:rPr/>
            </w:pPr>
            <w:hyperlink w:anchor="ec43504_service_of_process_and_enforcement_of_liabilities">
              <w:r>
                <w:rPr>
                  <w:rStyle w:val="InternetLink"/>
                  <w:rFonts w:ascii="times" w:hAnsi="times"/>
                  <w:sz w:val="20"/>
                </w:rPr>
                <w:br/>
                <w:t>8</w:t>
              </w:r>
            </w:hyperlink>
          </w:p>
        </w:tc>
      </w:tr>
      <w:tr>
        <w:trPr/>
        <w:tc>
          <w:tcPr>
            <w:tcW w:w="9587" w:type="dxa"/>
            <w:tcBorders/>
            <w:shd w:fill="auto" w:val="clear"/>
          </w:tcPr>
          <w:p>
            <w:pPr>
              <w:pStyle w:val="TableContents"/>
              <w:spacing w:before="240" w:after="283"/>
              <w:ind w:left="200" w:right="0" w:hanging="200"/>
              <w:rPr/>
            </w:pPr>
            <w:hyperlink w:anchor="ec43504_about_this_prospectus">
              <w:r>
                <w:rPr>
                  <w:rStyle w:val="InternetLink"/>
                  <w:rFonts w:ascii="times" w:hAnsi="times"/>
                  <w:sz w:val="20"/>
                </w:rPr>
                <w:t>ABOUT THIS PROSPECTUS</w:t>
              </w:r>
            </w:hyperlink>
          </w:p>
        </w:tc>
        <w:tc>
          <w:tcPr>
            <w:tcW w:w="256" w:type="dxa"/>
            <w:tcBorders/>
            <w:shd w:fill="auto" w:val="clear"/>
          </w:tcPr>
          <w:p>
            <w:pPr>
              <w:pStyle w:val="TableContents"/>
              <w:spacing w:before="0" w:after="283"/>
              <w:rPr/>
            </w:pPr>
            <w:r>
              <w:rPr/>
              <w:t> </w:t>
            </w:r>
          </w:p>
        </w:tc>
        <w:tc>
          <w:tcPr>
            <w:tcW w:w="362" w:type="dxa"/>
            <w:tcBorders/>
            <w:shd w:fill="auto" w:val="clear"/>
            <w:vAlign w:val="bottom"/>
          </w:tcPr>
          <w:p>
            <w:pPr>
              <w:pStyle w:val="TableContents"/>
              <w:spacing w:before="0" w:after="283"/>
              <w:jc w:val="right"/>
              <w:rPr/>
            </w:pPr>
            <w:hyperlink w:anchor="ec43504_about_this_prospectus">
              <w:r>
                <w:rPr>
                  <w:rStyle w:val="InternetLink"/>
                  <w:rFonts w:ascii="times" w:hAnsi="times"/>
                  <w:sz w:val="20"/>
                </w:rPr>
                <w:br/>
                <w:t>9</w:t>
              </w:r>
            </w:hyperlink>
          </w:p>
        </w:tc>
      </w:tr>
      <w:tr>
        <w:trPr/>
        <w:tc>
          <w:tcPr>
            <w:tcW w:w="9587" w:type="dxa"/>
            <w:tcBorders/>
            <w:shd w:fill="auto" w:val="clear"/>
          </w:tcPr>
          <w:p>
            <w:pPr>
              <w:pStyle w:val="TableContents"/>
              <w:spacing w:before="240" w:after="283"/>
              <w:ind w:left="200" w:right="0" w:hanging="200"/>
              <w:rPr/>
            </w:pPr>
            <w:hyperlink w:anchor="ec43504_where_you_can_find_additional_information">
              <w:r>
                <w:rPr>
                  <w:rStyle w:val="InternetLink"/>
                  <w:rFonts w:ascii="times" w:hAnsi="times"/>
                  <w:sz w:val="20"/>
                </w:rPr>
                <w:t>WHERE YOU CAN FIND ADDITIONAL INFORMATION</w:t>
              </w:r>
            </w:hyperlink>
          </w:p>
        </w:tc>
        <w:tc>
          <w:tcPr>
            <w:tcW w:w="256" w:type="dxa"/>
            <w:tcBorders/>
            <w:shd w:fill="auto" w:val="clear"/>
          </w:tcPr>
          <w:p>
            <w:pPr>
              <w:pStyle w:val="TableContents"/>
              <w:spacing w:before="0" w:after="283"/>
              <w:rPr/>
            </w:pPr>
            <w:r>
              <w:rPr/>
              <w:t> </w:t>
            </w:r>
          </w:p>
        </w:tc>
        <w:tc>
          <w:tcPr>
            <w:tcW w:w="362" w:type="dxa"/>
            <w:tcBorders/>
            <w:shd w:fill="auto" w:val="clear"/>
            <w:vAlign w:val="bottom"/>
          </w:tcPr>
          <w:p>
            <w:pPr>
              <w:pStyle w:val="TableContents"/>
              <w:spacing w:before="0" w:after="283"/>
              <w:jc w:val="right"/>
              <w:rPr/>
            </w:pPr>
            <w:hyperlink w:anchor="ec43504_where_you_can_find_additional_information">
              <w:r>
                <w:rPr>
                  <w:rStyle w:val="InternetLink"/>
                  <w:rFonts w:ascii="times" w:hAnsi="times"/>
                  <w:sz w:val="20"/>
                </w:rPr>
                <w:br/>
                <w:t>9</w:t>
              </w:r>
            </w:hyperlink>
          </w:p>
        </w:tc>
      </w:tr>
      <w:tr>
        <w:trPr/>
        <w:tc>
          <w:tcPr>
            <w:tcW w:w="9587" w:type="dxa"/>
            <w:tcBorders/>
            <w:shd w:fill="auto" w:val="clear"/>
          </w:tcPr>
          <w:p>
            <w:pPr>
              <w:pStyle w:val="TableContents"/>
              <w:spacing w:before="240" w:after="283"/>
              <w:ind w:left="200" w:right="0" w:hanging="200"/>
              <w:rPr/>
            </w:pPr>
            <w:hyperlink w:anchor="ec43504_incorporation_of_certain_information_by_reference">
              <w:r>
                <w:rPr>
                  <w:rStyle w:val="InternetLink"/>
                  <w:rFonts w:ascii="times" w:hAnsi="times"/>
                  <w:sz w:val="20"/>
                </w:rPr>
                <w:t>INCORPORATION OF CERTAIN INFORMATION BY REFERENCE</w:t>
              </w:r>
            </w:hyperlink>
          </w:p>
        </w:tc>
        <w:tc>
          <w:tcPr>
            <w:tcW w:w="256" w:type="dxa"/>
            <w:tcBorders/>
            <w:shd w:fill="auto" w:val="clear"/>
          </w:tcPr>
          <w:p>
            <w:pPr>
              <w:pStyle w:val="TableContents"/>
              <w:spacing w:before="0" w:after="283"/>
              <w:rPr/>
            </w:pPr>
            <w:r>
              <w:rPr/>
              <w:t> </w:t>
            </w:r>
          </w:p>
        </w:tc>
        <w:tc>
          <w:tcPr>
            <w:tcW w:w="362" w:type="dxa"/>
            <w:tcBorders/>
            <w:shd w:fill="auto" w:val="clear"/>
            <w:vAlign w:val="bottom"/>
          </w:tcPr>
          <w:p>
            <w:pPr>
              <w:pStyle w:val="TableContents"/>
              <w:spacing w:before="0" w:after="283"/>
              <w:jc w:val="right"/>
              <w:rPr/>
            </w:pPr>
            <w:hyperlink w:anchor="ec43504_incorporation_of_certain_information_by_reference">
              <w:r>
                <w:rPr>
                  <w:rStyle w:val="InternetLink"/>
                  <w:rFonts w:ascii="times" w:hAnsi="times"/>
                  <w:sz w:val="20"/>
                </w:rPr>
                <w:br/>
                <w:t>10</w:t>
              </w:r>
            </w:hyperlink>
          </w:p>
        </w:tc>
      </w:tr>
      <w:tr>
        <w:trPr/>
        <w:tc>
          <w:tcPr>
            <w:tcW w:w="9587" w:type="dxa"/>
            <w:tcBorders/>
            <w:shd w:fill="auto" w:val="clear"/>
          </w:tcPr>
          <w:p>
            <w:pPr>
              <w:pStyle w:val="TableContents"/>
              <w:spacing w:before="240" w:after="283"/>
              <w:ind w:left="200" w:right="0" w:hanging="200"/>
              <w:rPr/>
            </w:pPr>
            <w:hyperlink w:anchor="ec43504_use_of_proceeds">
              <w:r>
                <w:rPr>
                  <w:rStyle w:val="InternetLink"/>
                  <w:rFonts w:ascii="times" w:hAnsi="times"/>
                  <w:sz w:val="20"/>
                </w:rPr>
                <w:t>USE OF PROCEEDS</w:t>
              </w:r>
            </w:hyperlink>
          </w:p>
        </w:tc>
        <w:tc>
          <w:tcPr>
            <w:tcW w:w="256" w:type="dxa"/>
            <w:tcBorders/>
            <w:shd w:fill="auto" w:val="clear"/>
          </w:tcPr>
          <w:p>
            <w:pPr>
              <w:pStyle w:val="TableContents"/>
              <w:spacing w:before="0" w:after="283"/>
              <w:rPr/>
            </w:pPr>
            <w:r>
              <w:rPr/>
              <w:t> </w:t>
            </w:r>
          </w:p>
        </w:tc>
        <w:tc>
          <w:tcPr>
            <w:tcW w:w="362" w:type="dxa"/>
            <w:tcBorders/>
            <w:shd w:fill="auto" w:val="clear"/>
            <w:vAlign w:val="bottom"/>
          </w:tcPr>
          <w:p>
            <w:pPr>
              <w:pStyle w:val="TableContents"/>
              <w:spacing w:before="0" w:after="283"/>
              <w:jc w:val="right"/>
              <w:rPr/>
            </w:pPr>
            <w:hyperlink w:anchor="ec43504_use_of_proceeds">
              <w:r>
                <w:rPr>
                  <w:rStyle w:val="InternetLink"/>
                  <w:rFonts w:ascii="times" w:hAnsi="times"/>
                  <w:sz w:val="20"/>
                </w:rPr>
                <w:br/>
                <w:t>12</w:t>
              </w:r>
            </w:hyperlink>
          </w:p>
        </w:tc>
      </w:tr>
      <w:tr>
        <w:trPr/>
        <w:tc>
          <w:tcPr>
            <w:tcW w:w="9587" w:type="dxa"/>
            <w:tcBorders/>
            <w:shd w:fill="auto" w:val="clear"/>
          </w:tcPr>
          <w:p>
            <w:pPr>
              <w:pStyle w:val="TableContents"/>
              <w:spacing w:before="240" w:after="283"/>
              <w:ind w:left="200" w:right="0" w:hanging="200"/>
              <w:rPr/>
            </w:pPr>
            <w:hyperlink w:anchor="ec43504_capitalization_and_indebtedness">
              <w:r>
                <w:rPr>
                  <w:rStyle w:val="InternetLink"/>
                  <w:rFonts w:ascii="times" w:hAnsi="times"/>
                  <w:sz w:val="20"/>
                </w:rPr>
                <w:t>CAPITALIZATION AND INDEBTEDNESS</w:t>
              </w:r>
            </w:hyperlink>
          </w:p>
        </w:tc>
        <w:tc>
          <w:tcPr>
            <w:tcW w:w="256" w:type="dxa"/>
            <w:tcBorders/>
            <w:shd w:fill="auto" w:val="clear"/>
          </w:tcPr>
          <w:p>
            <w:pPr>
              <w:pStyle w:val="TableContents"/>
              <w:spacing w:before="0" w:after="283"/>
              <w:rPr/>
            </w:pPr>
            <w:r>
              <w:rPr/>
              <w:t> </w:t>
            </w:r>
          </w:p>
        </w:tc>
        <w:tc>
          <w:tcPr>
            <w:tcW w:w="362" w:type="dxa"/>
            <w:tcBorders/>
            <w:shd w:fill="auto" w:val="clear"/>
            <w:vAlign w:val="bottom"/>
          </w:tcPr>
          <w:p>
            <w:pPr>
              <w:pStyle w:val="TableContents"/>
              <w:spacing w:before="0" w:after="283"/>
              <w:jc w:val="right"/>
              <w:rPr/>
            </w:pPr>
            <w:hyperlink w:anchor="ec43504_capitalization_and_indebtedness">
              <w:r>
                <w:rPr>
                  <w:rStyle w:val="InternetLink"/>
                  <w:rFonts w:ascii="times" w:hAnsi="times"/>
                  <w:sz w:val="20"/>
                </w:rPr>
                <w:br/>
                <w:t>12</w:t>
              </w:r>
            </w:hyperlink>
          </w:p>
        </w:tc>
      </w:tr>
      <w:tr>
        <w:trPr/>
        <w:tc>
          <w:tcPr>
            <w:tcW w:w="9587" w:type="dxa"/>
            <w:tcBorders/>
            <w:shd w:fill="auto" w:val="clear"/>
          </w:tcPr>
          <w:p>
            <w:pPr>
              <w:pStyle w:val="TableContents"/>
              <w:spacing w:before="240" w:after="283"/>
              <w:ind w:left="200" w:right="0" w:hanging="200"/>
              <w:rPr/>
            </w:pPr>
            <w:hyperlink w:anchor="ec43504_description_of_common_units">
              <w:r>
                <w:rPr>
                  <w:rStyle w:val="InternetLink"/>
                  <w:rFonts w:ascii="times" w:hAnsi="times"/>
                  <w:sz w:val="20"/>
                </w:rPr>
                <w:t>DESCRIPTION OF COMMON UNITS</w:t>
              </w:r>
            </w:hyperlink>
          </w:p>
        </w:tc>
        <w:tc>
          <w:tcPr>
            <w:tcW w:w="256" w:type="dxa"/>
            <w:tcBorders/>
            <w:shd w:fill="auto" w:val="clear"/>
          </w:tcPr>
          <w:p>
            <w:pPr>
              <w:pStyle w:val="TableContents"/>
              <w:spacing w:before="0" w:after="283"/>
              <w:rPr/>
            </w:pPr>
            <w:r>
              <w:rPr/>
              <w:t> </w:t>
            </w:r>
          </w:p>
        </w:tc>
        <w:tc>
          <w:tcPr>
            <w:tcW w:w="362" w:type="dxa"/>
            <w:tcBorders/>
            <w:shd w:fill="auto" w:val="clear"/>
            <w:vAlign w:val="bottom"/>
          </w:tcPr>
          <w:p>
            <w:pPr>
              <w:pStyle w:val="TableContents"/>
              <w:spacing w:before="0" w:after="283"/>
              <w:jc w:val="right"/>
              <w:rPr/>
            </w:pPr>
            <w:hyperlink w:anchor="ec43504_description_of_common_units">
              <w:r>
                <w:rPr>
                  <w:rStyle w:val="InternetLink"/>
                  <w:rFonts w:ascii="times" w:hAnsi="times"/>
                  <w:sz w:val="20"/>
                </w:rPr>
                <w:br/>
                <w:t>12</w:t>
              </w:r>
            </w:hyperlink>
          </w:p>
        </w:tc>
      </w:tr>
      <w:tr>
        <w:trPr/>
        <w:tc>
          <w:tcPr>
            <w:tcW w:w="9587" w:type="dxa"/>
            <w:tcBorders/>
            <w:shd w:fill="auto" w:val="clear"/>
          </w:tcPr>
          <w:p>
            <w:pPr>
              <w:pStyle w:val="TableContents"/>
              <w:spacing w:before="240" w:after="283"/>
              <w:ind w:left="200" w:right="0" w:hanging="200"/>
              <w:rPr/>
            </w:pPr>
            <w:hyperlink w:anchor="ee43504_description_of_class_b_units">
              <w:r>
                <w:rPr>
                  <w:rStyle w:val="InternetLink"/>
                  <w:rFonts w:ascii="times" w:hAnsi="times"/>
                  <w:sz w:val="20"/>
                </w:rPr>
                <w:t>DESCRIPTION OF CLASS B UNITS</w:t>
              </w:r>
            </w:hyperlink>
          </w:p>
        </w:tc>
        <w:tc>
          <w:tcPr>
            <w:tcW w:w="256" w:type="dxa"/>
            <w:tcBorders/>
            <w:shd w:fill="auto" w:val="clear"/>
          </w:tcPr>
          <w:p>
            <w:pPr>
              <w:pStyle w:val="TableContents"/>
              <w:spacing w:before="0" w:after="283"/>
              <w:rPr/>
            </w:pPr>
            <w:r>
              <w:rPr/>
              <w:t> </w:t>
            </w:r>
          </w:p>
        </w:tc>
        <w:tc>
          <w:tcPr>
            <w:tcW w:w="362" w:type="dxa"/>
            <w:tcBorders/>
            <w:shd w:fill="auto" w:val="clear"/>
            <w:vAlign w:val="bottom"/>
          </w:tcPr>
          <w:p>
            <w:pPr>
              <w:pStyle w:val="TableContents"/>
              <w:spacing w:before="0" w:after="283"/>
              <w:jc w:val="right"/>
              <w:rPr/>
            </w:pPr>
            <w:hyperlink w:anchor="ee43504_description_of_class_b_units">
              <w:r>
                <w:rPr>
                  <w:rStyle w:val="InternetLink"/>
                  <w:rFonts w:ascii="times" w:hAnsi="times"/>
                  <w:sz w:val="20"/>
                </w:rPr>
                <w:br/>
                <w:t>13</w:t>
              </w:r>
            </w:hyperlink>
          </w:p>
        </w:tc>
      </w:tr>
      <w:tr>
        <w:trPr/>
        <w:tc>
          <w:tcPr>
            <w:tcW w:w="9587" w:type="dxa"/>
            <w:tcBorders/>
            <w:shd w:fill="auto" w:val="clear"/>
          </w:tcPr>
          <w:p>
            <w:pPr>
              <w:pStyle w:val="TableContents"/>
              <w:spacing w:before="240" w:after="283"/>
              <w:ind w:left="200" w:right="0" w:hanging="200"/>
              <w:rPr/>
            </w:pPr>
            <w:hyperlink w:anchor="ee43504_description_of_series_a_preference_units">
              <w:r>
                <w:rPr>
                  <w:rStyle w:val="InternetLink"/>
                  <w:rFonts w:ascii="times" w:hAnsi="times"/>
                  <w:sz w:val="20"/>
                </w:rPr>
                <w:t>DESCRIPTION OF SERIES A PREFERENCE UNITS</w:t>
              </w:r>
            </w:hyperlink>
          </w:p>
        </w:tc>
        <w:tc>
          <w:tcPr>
            <w:tcW w:w="256" w:type="dxa"/>
            <w:tcBorders/>
            <w:shd w:fill="auto" w:val="clear"/>
          </w:tcPr>
          <w:p>
            <w:pPr>
              <w:pStyle w:val="TableContents"/>
              <w:spacing w:before="0" w:after="283"/>
              <w:rPr/>
            </w:pPr>
            <w:r>
              <w:rPr/>
              <w:t> </w:t>
            </w:r>
          </w:p>
        </w:tc>
        <w:tc>
          <w:tcPr>
            <w:tcW w:w="362" w:type="dxa"/>
            <w:tcBorders/>
            <w:shd w:fill="auto" w:val="clear"/>
            <w:vAlign w:val="bottom"/>
          </w:tcPr>
          <w:p>
            <w:pPr>
              <w:pStyle w:val="TableContents"/>
              <w:spacing w:before="0" w:after="283"/>
              <w:jc w:val="right"/>
              <w:rPr/>
            </w:pPr>
            <w:hyperlink w:anchor="ee43504_description_of_series_a_preference_units">
              <w:r>
                <w:rPr>
                  <w:rStyle w:val="InternetLink"/>
                  <w:rFonts w:ascii="times" w:hAnsi="times"/>
                  <w:sz w:val="20"/>
                </w:rPr>
                <w:br/>
                <w:t>15</w:t>
              </w:r>
            </w:hyperlink>
          </w:p>
        </w:tc>
      </w:tr>
      <w:tr>
        <w:trPr/>
        <w:tc>
          <w:tcPr>
            <w:tcW w:w="9587" w:type="dxa"/>
            <w:tcBorders/>
            <w:shd w:fill="auto" w:val="clear"/>
          </w:tcPr>
          <w:p>
            <w:pPr>
              <w:pStyle w:val="TableContents"/>
              <w:spacing w:before="240" w:after="283"/>
              <w:ind w:left="200" w:right="0" w:hanging="200"/>
              <w:rPr/>
            </w:pPr>
            <w:hyperlink w:anchor="ee43504_description_of_series_b_preference_units">
              <w:r>
                <w:rPr>
                  <w:rStyle w:val="InternetLink"/>
                  <w:rFonts w:ascii="times" w:hAnsi="times"/>
                  <w:sz w:val="20"/>
                </w:rPr>
                <w:t>DESCRIPTION OF SERIES B PREFERENCE UNITS</w:t>
              </w:r>
            </w:hyperlink>
          </w:p>
        </w:tc>
        <w:tc>
          <w:tcPr>
            <w:tcW w:w="256" w:type="dxa"/>
            <w:tcBorders/>
            <w:shd w:fill="auto" w:val="clear"/>
          </w:tcPr>
          <w:p>
            <w:pPr>
              <w:pStyle w:val="TableContents"/>
              <w:spacing w:before="0" w:after="283"/>
              <w:rPr/>
            </w:pPr>
            <w:r>
              <w:rPr/>
              <w:t> </w:t>
            </w:r>
          </w:p>
        </w:tc>
        <w:tc>
          <w:tcPr>
            <w:tcW w:w="362" w:type="dxa"/>
            <w:tcBorders/>
            <w:shd w:fill="auto" w:val="clear"/>
            <w:vAlign w:val="bottom"/>
          </w:tcPr>
          <w:p>
            <w:pPr>
              <w:pStyle w:val="TableContents"/>
              <w:spacing w:before="0" w:after="283"/>
              <w:jc w:val="right"/>
              <w:rPr/>
            </w:pPr>
            <w:hyperlink w:anchor="ee43504_description_of_series_b_preference_units">
              <w:r>
                <w:rPr>
                  <w:rStyle w:val="InternetLink"/>
                  <w:rFonts w:ascii="times" w:hAnsi="times"/>
                  <w:sz w:val="20"/>
                </w:rPr>
                <w:br/>
                <w:t>15</w:t>
              </w:r>
            </w:hyperlink>
          </w:p>
        </w:tc>
      </w:tr>
      <w:tr>
        <w:trPr/>
        <w:tc>
          <w:tcPr>
            <w:tcW w:w="9587" w:type="dxa"/>
            <w:tcBorders/>
            <w:shd w:fill="auto" w:val="clear"/>
          </w:tcPr>
          <w:p>
            <w:pPr>
              <w:pStyle w:val="TableContents"/>
              <w:spacing w:before="240" w:after="283"/>
              <w:ind w:left="200" w:right="0" w:hanging="200"/>
              <w:rPr/>
            </w:pPr>
            <w:hyperlink w:anchor="ee43504_description_of_series_c_preference_units">
              <w:r>
                <w:rPr>
                  <w:rStyle w:val="InternetLink"/>
                  <w:rFonts w:ascii="times" w:hAnsi="times"/>
                  <w:sz w:val="20"/>
                </w:rPr>
                <w:t>DESCRIPTION OF SERIES C PREFERENCE UNITS</w:t>
              </w:r>
            </w:hyperlink>
          </w:p>
        </w:tc>
        <w:tc>
          <w:tcPr>
            <w:tcW w:w="256" w:type="dxa"/>
            <w:tcBorders/>
            <w:shd w:fill="auto" w:val="clear"/>
          </w:tcPr>
          <w:p>
            <w:pPr>
              <w:pStyle w:val="TableContents"/>
              <w:spacing w:before="0" w:after="283"/>
              <w:rPr/>
            </w:pPr>
            <w:r>
              <w:rPr/>
              <w:t> </w:t>
            </w:r>
          </w:p>
        </w:tc>
        <w:tc>
          <w:tcPr>
            <w:tcW w:w="362" w:type="dxa"/>
            <w:tcBorders/>
            <w:shd w:fill="auto" w:val="clear"/>
            <w:vAlign w:val="bottom"/>
          </w:tcPr>
          <w:p>
            <w:pPr>
              <w:pStyle w:val="TableContents"/>
              <w:spacing w:before="0" w:after="283"/>
              <w:jc w:val="right"/>
              <w:rPr/>
            </w:pPr>
            <w:hyperlink w:anchor="ee43504_description_of_series_c_preference_units">
              <w:r>
                <w:rPr>
                  <w:rStyle w:val="InternetLink"/>
                  <w:rFonts w:ascii="times" w:hAnsi="times"/>
                  <w:sz w:val="20"/>
                </w:rPr>
                <w:br/>
                <w:t>15</w:t>
              </w:r>
            </w:hyperlink>
          </w:p>
        </w:tc>
      </w:tr>
      <w:tr>
        <w:trPr/>
        <w:tc>
          <w:tcPr>
            <w:tcW w:w="9587" w:type="dxa"/>
            <w:tcBorders/>
            <w:shd w:fill="auto" w:val="clear"/>
          </w:tcPr>
          <w:p>
            <w:pPr>
              <w:pStyle w:val="TableContents"/>
              <w:spacing w:before="240" w:after="283"/>
              <w:ind w:left="200" w:right="0" w:hanging="200"/>
              <w:rPr/>
            </w:pPr>
            <w:hyperlink w:anchor="ee43504_description_of_the_other_classes_of_units">
              <w:r>
                <w:rPr>
                  <w:rStyle w:val="InternetLink"/>
                  <w:rFonts w:ascii="times" w:hAnsi="times"/>
                  <w:sz w:val="20"/>
                </w:rPr>
                <w:t>DESCRIPTION OF THE OTHER CLASSES OF UNITS</w:t>
              </w:r>
            </w:hyperlink>
          </w:p>
        </w:tc>
        <w:tc>
          <w:tcPr>
            <w:tcW w:w="256" w:type="dxa"/>
            <w:tcBorders/>
            <w:shd w:fill="auto" w:val="clear"/>
          </w:tcPr>
          <w:p>
            <w:pPr>
              <w:pStyle w:val="TableContents"/>
              <w:spacing w:before="0" w:after="283"/>
              <w:rPr/>
            </w:pPr>
            <w:r>
              <w:rPr/>
              <w:t> </w:t>
            </w:r>
          </w:p>
        </w:tc>
        <w:tc>
          <w:tcPr>
            <w:tcW w:w="362" w:type="dxa"/>
            <w:tcBorders/>
            <w:shd w:fill="auto" w:val="clear"/>
            <w:vAlign w:val="bottom"/>
          </w:tcPr>
          <w:p>
            <w:pPr>
              <w:pStyle w:val="TableContents"/>
              <w:spacing w:before="0" w:after="283"/>
              <w:jc w:val="right"/>
              <w:rPr/>
            </w:pPr>
            <w:hyperlink w:anchor="ee43504_description_of_the_other_classes_of_units">
              <w:r>
                <w:rPr>
                  <w:rStyle w:val="InternetLink"/>
                  <w:rFonts w:ascii="times" w:hAnsi="times"/>
                  <w:sz w:val="20"/>
                </w:rPr>
                <w:br/>
                <w:t>15</w:t>
              </w:r>
            </w:hyperlink>
          </w:p>
        </w:tc>
      </w:tr>
      <w:tr>
        <w:trPr/>
        <w:tc>
          <w:tcPr>
            <w:tcW w:w="9587" w:type="dxa"/>
            <w:tcBorders/>
            <w:shd w:fill="auto" w:val="clear"/>
          </w:tcPr>
          <w:p>
            <w:pPr>
              <w:pStyle w:val="TableContents"/>
              <w:spacing w:before="240" w:after="283"/>
              <w:ind w:left="200" w:right="0" w:hanging="200"/>
              <w:rPr/>
            </w:pPr>
            <w:hyperlink w:anchor="ee43504_description_of_debt_securities">
              <w:r>
                <w:rPr>
                  <w:rStyle w:val="InternetLink"/>
                  <w:rFonts w:ascii="times" w:hAnsi="times"/>
                  <w:sz w:val="20"/>
                </w:rPr>
                <w:t>DESCRIPTION OF DEBT SECURITIES</w:t>
              </w:r>
            </w:hyperlink>
          </w:p>
        </w:tc>
        <w:tc>
          <w:tcPr>
            <w:tcW w:w="256" w:type="dxa"/>
            <w:tcBorders/>
            <w:shd w:fill="auto" w:val="clear"/>
          </w:tcPr>
          <w:p>
            <w:pPr>
              <w:pStyle w:val="TableContents"/>
              <w:spacing w:before="0" w:after="283"/>
              <w:rPr/>
            </w:pPr>
            <w:r>
              <w:rPr/>
              <w:t> </w:t>
            </w:r>
          </w:p>
        </w:tc>
        <w:tc>
          <w:tcPr>
            <w:tcW w:w="362" w:type="dxa"/>
            <w:tcBorders/>
            <w:shd w:fill="auto" w:val="clear"/>
            <w:vAlign w:val="bottom"/>
          </w:tcPr>
          <w:p>
            <w:pPr>
              <w:pStyle w:val="TableContents"/>
              <w:spacing w:before="0" w:after="283"/>
              <w:jc w:val="right"/>
              <w:rPr/>
            </w:pPr>
            <w:hyperlink w:anchor="ee43504_description_of_debt_securities">
              <w:r>
                <w:rPr>
                  <w:rStyle w:val="InternetLink"/>
                  <w:rFonts w:ascii="times" w:hAnsi="times"/>
                  <w:sz w:val="20"/>
                </w:rPr>
                <w:br/>
                <w:t>16</w:t>
              </w:r>
            </w:hyperlink>
          </w:p>
        </w:tc>
      </w:tr>
      <w:tr>
        <w:trPr/>
        <w:tc>
          <w:tcPr>
            <w:tcW w:w="9587" w:type="dxa"/>
            <w:tcBorders/>
            <w:shd w:fill="auto" w:val="clear"/>
          </w:tcPr>
          <w:p>
            <w:pPr>
              <w:pStyle w:val="TableContents"/>
              <w:spacing w:before="240" w:after="283"/>
              <w:ind w:left="200" w:right="0" w:hanging="200"/>
              <w:rPr/>
            </w:pPr>
            <w:hyperlink w:anchor="ee43504_description_of_warrants">
              <w:r>
                <w:rPr>
                  <w:rStyle w:val="InternetLink"/>
                  <w:rFonts w:ascii="times" w:hAnsi="times"/>
                  <w:sz w:val="20"/>
                </w:rPr>
                <w:t>DESCRIPTION OF WARRANTS</w:t>
              </w:r>
            </w:hyperlink>
          </w:p>
        </w:tc>
        <w:tc>
          <w:tcPr>
            <w:tcW w:w="256" w:type="dxa"/>
            <w:tcBorders/>
            <w:shd w:fill="auto" w:val="clear"/>
          </w:tcPr>
          <w:p>
            <w:pPr>
              <w:pStyle w:val="TableContents"/>
              <w:spacing w:before="0" w:after="283"/>
              <w:rPr/>
            </w:pPr>
            <w:r>
              <w:rPr/>
              <w:t> </w:t>
            </w:r>
          </w:p>
        </w:tc>
        <w:tc>
          <w:tcPr>
            <w:tcW w:w="362" w:type="dxa"/>
            <w:tcBorders/>
            <w:shd w:fill="auto" w:val="clear"/>
            <w:vAlign w:val="bottom"/>
          </w:tcPr>
          <w:p>
            <w:pPr>
              <w:pStyle w:val="TableContents"/>
              <w:spacing w:before="0" w:after="283"/>
              <w:jc w:val="right"/>
              <w:rPr/>
            </w:pPr>
            <w:hyperlink w:anchor="ee43504_description_of_warrants">
              <w:r>
                <w:rPr>
                  <w:rStyle w:val="InternetLink"/>
                  <w:rFonts w:ascii="times" w:hAnsi="times"/>
                  <w:sz w:val="20"/>
                </w:rPr>
                <w:br/>
                <w:t>24</w:t>
              </w:r>
            </w:hyperlink>
          </w:p>
        </w:tc>
      </w:tr>
      <w:tr>
        <w:trPr/>
        <w:tc>
          <w:tcPr>
            <w:tcW w:w="9587" w:type="dxa"/>
            <w:tcBorders/>
            <w:shd w:fill="auto" w:val="clear"/>
          </w:tcPr>
          <w:p>
            <w:pPr>
              <w:pStyle w:val="TableContents"/>
              <w:spacing w:before="240" w:after="283"/>
              <w:ind w:left="200" w:right="0" w:hanging="200"/>
              <w:rPr/>
            </w:pPr>
            <w:hyperlink w:anchor="ee43504_description_of_rights">
              <w:r>
                <w:rPr>
                  <w:rStyle w:val="InternetLink"/>
                  <w:rFonts w:ascii="times" w:hAnsi="times"/>
                  <w:sz w:val="20"/>
                </w:rPr>
                <w:t>DESCRIPTION OF RIGHTS</w:t>
              </w:r>
            </w:hyperlink>
          </w:p>
        </w:tc>
        <w:tc>
          <w:tcPr>
            <w:tcW w:w="256" w:type="dxa"/>
            <w:tcBorders/>
            <w:shd w:fill="auto" w:val="clear"/>
          </w:tcPr>
          <w:p>
            <w:pPr>
              <w:pStyle w:val="TableContents"/>
              <w:spacing w:before="0" w:after="283"/>
              <w:rPr/>
            </w:pPr>
            <w:r>
              <w:rPr/>
              <w:t> </w:t>
            </w:r>
          </w:p>
        </w:tc>
        <w:tc>
          <w:tcPr>
            <w:tcW w:w="362" w:type="dxa"/>
            <w:tcBorders/>
            <w:shd w:fill="auto" w:val="clear"/>
            <w:vAlign w:val="bottom"/>
          </w:tcPr>
          <w:p>
            <w:pPr>
              <w:pStyle w:val="TableContents"/>
              <w:spacing w:before="0" w:after="283"/>
              <w:jc w:val="right"/>
              <w:rPr/>
            </w:pPr>
            <w:hyperlink w:anchor="ee43504_description_of_rights">
              <w:r>
                <w:rPr>
                  <w:rStyle w:val="InternetLink"/>
                  <w:rFonts w:ascii="times" w:hAnsi="times"/>
                  <w:sz w:val="20"/>
                </w:rPr>
                <w:br/>
                <w:t>25</w:t>
              </w:r>
            </w:hyperlink>
          </w:p>
        </w:tc>
      </w:tr>
      <w:tr>
        <w:trPr/>
        <w:tc>
          <w:tcPr>
            <w:tcW w:w="9587" w:type="dxa"/>
            <w:tcBorders/>
            <w:shd w:fill="auto" w:val="clear"/>
          </w:tcPr>
          <w:p>
            <w:pPr>
              <w:pStyle w:val="TableContents"/>
              <w:spacing w:before="240" w:after="283"/>
              <w:ind w:left="200" w:right="0" w:hanging="200"/>
              <w:rPr/>
            </w:pPr>
            <w:hyperlink w:anchor="ee43504_description_of_the_combination_units">
              <w:r>
                <w:rPr>
                  <w:rStyle w:val="InternetLink"/>
                  <w:rFonts w:ascii="times" w:hAnsi="times"/>
                  <w:sz w:val="20"/>
                </w:rPr>
                <w:t>DESCRIPTION OF THE COMBINATION UNITS</w:t>
              </w:r>
            </w:hyperlink>
          </w:p>
        </w:tc>
        <w:tc>
          <w:tcPr>
            <w:tcW w:w="256" w:type="dxa"/>
            <w:tcBorders/>
            <w:shd w:fill="auto" w:val="clear"/>
          </w:tcPr>
          <w:p>
            <w:pPr>
              <w:pStyle w:val="TableContents"/>
              <w:spacing w:before="0" w:after="283"/>
              <w:rPr/>
            </w:pPr>
            <w:r>
              <w:rPr/>
              <w:t> </w:t>
            </w:r>
          </w:p>
        </w:tc>
        <w:tc>
          <w:tcPr>
            <w:tcW w:w="362" w:type="dxa"/>
            <w:tcBorders/>
            <w:shd w:fill="auto" w:val="clear"/>
            <w:vAlign w:val="bottom"/>
          </w:tcPr>
          <w:p>
            <w:pPr>
              <w:pStyle w:val="TableContents"/>
              <w:spacing w:before="0" w:after="283"/>
              <w:jc w:val="right"/>
              <w:rPr/>
            </w:pPr>
            <w:hyperlink w:anchor="ee43504_description_of_the_combination_units">
              <w:r>
                <w:rPr>
                  <w:rStyle w:val="InternetLink"/>
                  <w:rFonts w:ascii="times" w:hAnsi="times"/>
                  <w:sz w:val="20"/>
                </w:rPr>
                <w:br/>
                <w:t>25</w:t>
              </w:r>
            </w:hyperlink>
          </w:p>
        </w:tc>
      </w:tr>
      <w:tr>
        <w:trPr/>
        <w:tc>
          <w:tcPr>
            <w:tcW w:w="9587" w:type="dxa"/>
            <w:tcBorders/>
            <w:shd w:fill="auto" w:val="clear"/>
          </w:tcPr>
          <w:p>
            <w:pPr>
              <w:pStyle w:val="TableContents"/>
              <w:spacing w:before="240" w:after="283"/>
              <w:ind w:left="200" w:right="0" w:hanging="200"/>
              <w:rPr/>
            </w:pPr>
            <w:hyperlink w:anchor="eg43504_summary_of_our_partnership_agreement">
              <w:r>
                <w:rPr>
                  <w:rStyle w:val="InternetLink"/>
                  <w:rFonts w:ascii="times" w:hAnsi="times"/>
                  <w:sz w:val="20"/>
                </w:rPr>
                <w:t>SUMMARY OF OUR PARTNERSHIP AGREEMENT</w:t>
              </w:r>
            </w:hyperlink>
          </w:p>
        </w:tc>
        <w:tc>
          <w:tcPr>
            <w:tcW w:w="256" w:type="dxa"/>
            <w:tcBorders/>
            <w:shd w:fill="auto" w:val="clear"/>
          </w:tcPr>
          <w:p>
            <w:pPr>
              <w:pStyle w:val="TableContents"/>
              <w:spacing w:before="0" w:after="283"/>
              <w:rPr/>
            </w:pPr>
            <w:r>
              <w:rPr/>
              <w:t> </w:t>
            </w:r>
          </w:p>
        </w:tc>
        <w:tc>
          <w:tcPr>
            <w:tcW w:w="362" w:type="dxa"/>
            <w:tcBorders/>
            <w:shd w:fill="auto" w:val="clear"/>
            <w:vAlign w:val="bottom"/>
          </w:tcPr>
          <w:p>
            <w:pPr>
              <w:pStyle w:val="TableContents"/>
              <w:spacing w:before="0" w:after="283"/>
              <w:jc w:val="right"/>
              <w:rPr/>
            </w:pPr>
            <w:hyperlink w:anchor="eg43504_summary_of_our_partnership_agreement">
              <w:r>
                <w:rPr>
                  <w:rStyle w:val="InternetLink"/>
                  <w:rFonts w:ascii="times" w:hAnsi="times"/>
                  <w:sz w:val="20"/>
                </w:rPr>
                <w:br/>
                <w:t>27</w:t>
              </w:r>
            </w:hyperlink>
          </w:p>
        </w:tc>
      </w:tr>
      <w:tr>
        <w:trPr/>
        <w:tc>
          <w:tcPr>
            <w:tcW w:w="9587" w:type="dxa"/>
            <w:tcBorders/>
            <w:shd w:fill="auto" w:val="clear"/>
          </w:tcPr>
          <w:p>
            <w:pPr>
              <w:pStyle w:val="TableContents"/>
              <w:spacing w:before="240" w:after="283"/>
              <w:ind w:left="200" w:right="0" w:hanging="200"/>
              <w:rPr/>
            </w:pPr>
            <w:hyperlink w:anchor="ek43504_our_cash_distribution_policy_a__our02636">
              <w:r>
                <w:rPr>
                  <w:rStyle w:val="InternetLink"/>
                  <w:rFonts w:ascii="times" w:hAnsi="times"/>
                  <w:sz w:val="20"/>
                </w:rPr>
                <w:t>OUR CASH DISTRIBUTION POLICY AND RESTRICTIONS ON DISTRIBUTIONS</w:t>
              </w:r>
            </w:hyperlink>
          </w:p>
        </w:tc>
        <w:tc>
          <w:tcPr>
            <w:tcW w:w="256" w:type="dxa"/>
            <w:tcBorders/>
            <w:shd w:fill="auto" w:val="clear"/>
          </w:tcPr>
          <w:p>
            <w:pPr>
              <w:pStyle w:val="TableContents"/>
              <w:spacing w:before="0" w:after="283"/>
              <w:rPr/>
            </w:pPr>
            <w:r>
              <w:rPr/>
              <w:t> </w:t>
            </w:r>
          </w:p>
        </w:tc>
        <w:tc>
          <w:tcPr>
            <w:tcW w:w="362" w:type="dxa"/>
            <w:tcBorders/>
            <w:shd w:fill="auto" w:val="clear"/>
            <w:vAlign w:val="bottom"/>
          </w:tcPr>
          <w:p>
            <w:pPr>
              <w:pStyle w:val="TableContents"/>
              <w:spacing w:before="0" w:after="283"/>
              <w:jc w:val="right"/>
              <w:rPr/>
            </w:pPr>
            <w:hyperlink w:anchor="ek43504_our_cash_distribution_policy_a__our02636">
              <w:r>
                <w:rPr>
                  <w:rStyle w:val="InternetLink"/>
                  <w:rFonts w:ascii="times" w:hAnsi="times"/>
                  <w:sz w:val="20"/>
                </w:rPr>
                <w:br/>
                <w:t>43</w:t>
              </w:r>
            </w:hyperlink>
          </w:p>
        </w:tc>
      </w:tr>
      <w:tr>
        <w:trPr/>
        <w:tc>
          <w:tcPr>
            <w:tcW w:w="9587" w:type="dxa"/>
            <w:tcBorders/>
            <w:shd w:fill="auto" w:val="clear"/>
          </w:tcPr>
          <w:p>
            <w:pPr>
              <w:pStyle w:val="TableContents"/>
              <w:spacing w:before="240" w:after="283"/>
              <w:ind w:left="200" w:right="0" w:hanging="200"/>
              <w:rPr/>
            </w:pPr>
            <w:hyperlink w:anchor="ek43504_material_u.s._federal_income_tax_considerations">
              <w:r>
                <w:rPr>
                  <w:rStyle w:val="InternetLink"/>
                  <w:rFonts w:ascii="times" w:hAnsi="times"/>
                  <w:sz w:val="20"/>
                </w:rPr>
                <w:t>MATERIAL U.S. FEDERAL INCOME TAX CONSIDERATIONS</w:t>
              </w:r>
            </w:hyperlink>
          </w:p>
        </w:tc>
        <w:tc>
          <w:tcPr>
            <w:tcW w:w="256" w:type="dxa"/>
            <w:tcBorders/>
            <w:shd w:fill="auto" w:val="clear"/>
          </w:tcPr>
          <w:p>
            <w:pPr>
              <w:pStyle w:val="TableContents"/>
              <w:spacing w:before="0" w:after="283"/>
              <w:rPr/>
            </w:pPr>
            <w:r>
              <w:rPr/>
              <w:t> </w:t>
            </w:r>
          </w:p>
        </w:tc>
        <w:tc>
          <w:tcPr>
            <w:tcW w:w="362" w:type="dxa"/>
            <w:tcBorders/>
            <w:shd w:fill="auto" w:val="clear"/>
            <w:vAlign w:val="bottom"/>
          </w:tcPr>
          <w:p>
            <w:pPr>
              <w:pStyle w:val="TableContents"/>
              <w:spacing w:before="0" w:after="283"/>
              <w:jc w:val="right"/>
              <w:rPr/>
            </w:pPr>
            <w:hyperlink w:anchor="ek43504_material_u.s._federal_income_tax_considerations">
              <w:r>
                <w:rPr>
                  <w:rStyle w:val="InternetLink"/>
                  <w:rFonts w:ascii="times" w:hAnsi="times"/>
                  <w:sz w:val="20"/>
                </w:rPr>
                <w:br/>
                <w:t>47</w:t>
              </w:r>
            </w:hyperlink>
          </w:p>
        </w:tc>
      </w:tr>
      <w:tr>
        <w:trPr/>
        <w:tc>
          <w:tcPr>
            <w:tcW w:w="9587" w:type="dxa"/>
            <w:tcBorders/>
            <w:shd w:fill="auto" w:val="clear"/>
          </w:tcPr>
          <w:p>
            <w:pPr>
              <w:pStyle w:val="TableContents"/>
              <w:spacing w:before="240" w:after="283"/>
              <w:ind w:left="200" w:right="0" w:hanging="200"/>
              <w:rPr/>
            </w:pPr>
            <w:hyperlink w:anchor="ek43504_non-united_states_tax_considerations">
              <w:r>
                <w:rPr>
                  <w:rStyle w:val="InternetLink"/>
                  <w:rFonts w:ascii="times" w:hAnsi="times"/>
                  <w:sz w:val="20"/>
                </w:rPr>
                <w:t>NON-UNITED STATES TAX CONSIDERATIONS</w:t>
              </w:r>
            </w:hyperlink>
          </w:p>
        </w:tc>
        <w:tc>
          <w:tcPr>
            <w:tcW w:w="256" w:type="dxa"/>
            <w:tcBorders/>
            <w:shd w:fill="auto" w:val="clear"/>
          </w:tcPr>
          <w:p>
            <w:pPr>
              <w:pStyle w:val="TableContents"/>
              <w:spacing w:before="0" w:after="283"/>
              <w:rPr/>
            </w:pPr>
            <w:r>
              <w:rPr/>
              <w:t> </w:t>
            </w:r>
          </w:p>
        </w:tc>
        <w:tc>
          <w:tcPr>
            <w:tcW w:w="362" w:type="dxa"/>
            <w:tcBorders/>
            <w:shd w:fill="auto" w:val="clear"/>
            <w:vAlign w:val="bottom"/>
          </w:tcPr>
          <w:p>
            <w:pPr>
              <w:pStyle w:val="TableContents"/>
              <w:spacing w:before="0" w:after="283"/>
              <w:jc w:val="right"/>
              <w:rPr/>
            </w:pPr>
            <w:hyperlink w:anchor="ek43504_non-united_states_tax_considerations">
              <w:r>
                <w:rPr>
                  <w:rStyle w:val="InternetLink"/>
                  <w:rFonts w:ascii="times" w:hAnsi="times"/>
                  <w:sz w:val="20"/>
                </w:rPr>
                <w:br/>
                <w:t>47</w:t>
              </w:r>
            </w:hyperlink>
          </w:p>
        </w:tc>
      </w:tr>
      <w:tr>
        <w:trPr/>
        <w:tc>
          <w:tcPr>
            <w:tcW w:w="9587" w:type="dxa"/>
            <w:tcBorders/>
            <w:shd w:fill="auto" w:val="clear"/>
          </w:tcPr>
          <w:p>
            <w:pPr>
              <w:pStyle w:val="TableContents"/>
              <w:spacing w:before="240" w:after="283"/>
              <w:ind w:left="200" w:right="0" w:hanging="200"/>
              <w:rPr/>
            </w:pPr>
            <w:hyperlink w:anchor="ek43504_plan_of_distribution">
              <w:r>
                <w:rPr>
                  <w:rStyle w:val="InternetLink"/>
                  <w:rFonts w:ascii="times" w:hAnsi="times"/>
                  <w:sz w:val="20"/>
                </w:rPr>
                <w:t>PLAN OF DISTRIBUTION</w:t>
              </w:r>
            </w:hyperlink>
          </w:p>
        </w:tc>
        <w:tc>
          <w:tcPr>
            <w:tcW w:w="256" w:type="dxa"/>
            <w:tcBorders/>
            <w:shd w:fill="auto" w:val="clear"/>
          </w:tcPr>
          <w:p>
            <w:pPr>
              <w:pStyle w:val="TableContents"/>
              <w:spacing w:before="0" w:after="283"/>
              <w:rPr/>
            </w:pPr>
            <w:r>
              <w:rPr/>
              <w:t> </w:t>
            </w:r>
          </w:p>
        </w:tc>
        <w:tc>
          <w:tcPr>
            <w:tcW w:w="362" w:type="dxa"/>
            <w:tcBorders/>
            <w:shd w:fill="auto" w:val="clear"/>
            <w:vAlign w:val="bottom"/>
          </w:tcPr>
          <w:p>
            <w:pPr>
              <w:pStyle w:val="TableContents"/>
              <w:spacing w:before="0" w:after="283"/>
              <w:jc w:val="right"/>
              <w:rPr/>
            </w:pPr>
            <w:hyperlink w:anchor="ek43504_plan_of_distribution">
              <w:r>
                <w:rPr>
                  <w:rStyle w:val="InternetLink"/>
                  <w:rFonts w:ascii="times" w:hAnsi="times"/>
                  <w:sz w:val="20"/>
                </w:rPr>
                <w:br/>
                <w:t>47</w:t>
              </w:r>
            </w:hyperlink>
          </w:p>
        </w:tc>
      </w:tr>
      <w:tr>
        <w:trPr/>
        <w:tc>
          <w:tcPr>
            <w:tcW w:w="9587" w:type="dxa"/>
            <w:tcBorders/>
            <w:shd w:fill="auto" w:val="clear"/>
          </w:tcPr>
          <w:p>
            <w:pPr>
              <w:pStyle w:val="TableContents"/>
              <w:spacing w:before="240" w:after="283"/>
              <w:ind w:left="200" w:right="0" w:hanging="200"/>
              <w:rPr/>
            </w:pPr>
            <w:hyperlink w:anchor="ek43504_expenses">
              <w:r>
                <w:rPr>
                  <w:rStyle w:val="InternetLink"/>
                  <w:rFonts w:ascii="times" w:hAnsi="times"/>
                  <w:sz w:val="20"/>
                </w:rPr>
                <w:t>EXPENSES</w:t>
              </w:r>
            </w:hyperlink>
          </w:p>
        </w:tc>
        <w:tc>
          <w:tcPr>
            <w:tcW w:w="256" w:type="dxa"/>
            <w:tcBorders/>
            <w:shd w:fill="auto" w:val="clear"/>
          </w:tcPr>
          <w:p>
            <w:pPr>
              <w:pStyle w:val="TableContents"/>
              <w:spacing w:before="0" w:after="283"/>
              <w:rPr/>
            </w:pPr>
            <w:r>
              <w:rPr/>
              <w:t> </w:t>
            </w:r>
          </w:p>
        </w:tc>
        <w:tc>
          <w:tcPr>
            <w:tcW w:w="362" w:type="dxa"/>
            <w:tcBorders/>
            <w:shd w:fill="auto" w:val="clear"/>
            <w:vAlign w:val="bottom"/>
          </w:tcPr>
          <w:p>
            <w:pPr>
              <w:pStyle w:val="TableContents"/>
              <w:spacing w:before="0" w:after="283"/>
              <w:jc w:val="right"/>
              <w:rPr/>
            </w:pPr>
            <w:hyperlink w:anchor="ek43504_expenses">
              <w:r>
                <w:rPr>
                  <w:rStyle w:val="InternetLink"/>
                  <w:rFonts w:ascii="times" w:hAnsi="times"/>
                  <w:sz w:val="20"/>
                </w:rPr>
                <w:br/>
                <w:t>49</w:t>
              </w:r>
            </w:hyperlink>
          </w:p>
        </w:tc>
      </w:tr>
      <w:tr>
        <w:trPr/>
        <w:tc>
          <w:tcPr>
            <w:tcW w:w="9587" w:type="dxa"/>
            <w:tcBorders/>
            <w:shd w:fill="auto" w:val="clear"/>
          </w:tcPr>
          <w:p>
            <w:pPr>
              <w:pStyle w:val="TableContents"/>
              <w:spacing w:before="240" w:after="283"/>
              <w:ind w:left="200" w:right="0" w:hanging="200"/>
              <w:rPr/>
            </w:pPr>
            <w:hyperlink w:anchor="ek43504_legal_matters">
              <w:r>
                <w:rPr>
                  <w:rStyle w:val="InternetLink"/>
                  <w:rFonts w:ascii="times" w:hAnsi="times"/>
                  <w:sz w:val="20"/>
                </w:rPr>
                <w:t>LEGAL MATTERS</w:t>
              </w:r>
            </w:hyperlink>
          </w:p>
        </w:tc>
        <w:tc>
          <w:tcPr>
            <w:tcW w:w="256" w:type="dxa"/>
            <w:tcBorders/>
            <w:shd w:fill="auto" w:val="clear"/>
          </w:tcPr>
          <w:p>
            <w:pPr>
              <w:pStyle w:val="TableContents"/>
              <w:spacing w:before="0" w:after="283"/>
              <w:rPr/>
            </w:pPr>
            <w:r>
              <w:rPr/>
              <w:t> </w:t>
            </w:r>
          </w:p>
        </w:tc>
        <w:tc>
          <w:tcPr>
            <w:tcW w:w="362" w:type="dxa"/>
            <w:tcBorders/>
            <w:shd w:fill="auto" w:val="clear"/>
            <w:vAlign w:val="bottom"/>
          </w:tcPr>
          <w:p>
            <w:pPr>
              <w:pStyle w:val="TableContents"/>
              <w:spacing w:before="0" w:after="283"/>
              <w:jc w:val="right"/>
              <w:rPr/>
            </w:pPr>
            <w:hyperlink w:anchor="ek43504_legal_matters">
              <w:r>
                <w:rPr>
                  <w:rStyle w:val="InternetLink"/>
                  <w:rFonts w:ascii="times" w:hAnsi="times"/>
                  <w:sz w:val="20"/>
                </w:rPr>
                <w:br/>
                <w:t>49</w:t>
              </w:r>
            </w:hyperlink>
          </w:p>
        </w:tc>
      </w:tr>
      <w:tr>
        <w:trPr/>
        <w:tc>
          <w:tcPr>
            <w:tcW w:w="9587" w:type="dxa"/>
            <w:tcBorders/>
            <w:shd w:fill="auto" w:val="clear"/>
          </w:tcPr>
          <w:p>
            <w:pPr>
              <w:pStyle w:val="TableContents"/>
              <w:spacing w:before="240" w:after="283"/>
              <w:ind w:left="200" w:right="0" w:hanging="200"/>
              <w:rPr/>
            </w:pPr>
            <w:hyperlink w:anchor="ek43504_experts">
              <w:r>
                <w:rPr>
                  <w:rStyle w:val="InternetLink"/>
                  <w:rFonts w:ascii="times" w:hAnsi="times"/>
                  <w:sz w:val="20"/>
                </w:rPr>
                <w:t>EXPERTS</w:t>
              </w:r>
            </w:hyperlink>
          </w:p>
        </w:tc>
        <w:tc>
          <w:tcPr>
            <w:tcW w:w="256" w:type="dxa"/>
            <w:tcBorders/>
            <w:shd w:fill="auto" w:val="clear"/>
          </w:tcPr>
          <w:p>
            <w:pPr>
              <w:pStyle w:val="TableContents"/>
              <w:spacing w:before="0" w:after="283"/>
              <w:rPr/>
            </w:pPr>
            <w:r>
              <w:rPr/>
              <w:t> </w:t>
            </w:r>
          </w:p>
        </w:tc>
        <w:tc>
          <w:tcPr>
            <w:tcW w:w="362" w:type="dxa"/>
            <w:tcBorders/>
            <w:shd w:fill="auto" w:val="clear"/>
            <w:vAlign w:val="bottom"/>
          </w:tcPr>
          <w:p>
            <w:pPr>
              <w:pStyle w:val="TableContents"/>
              <w:spacing w:before="0" w:after="283"/>
              <w:jc w:val="right"/>
              <w:rPr/>
            </w:pPr>
            <w:hyperlink w:anchor="ek43504_experts">
              <w:r>
                <w:rPr>
                  <w:rStyle w:val="InternetLink"/>
                  <w:rFonts w:ascii="times" w:hAnsi="times"/>
                  <w:sz w:val="20"/>
                </w:rPr>
                <w:br/>
                <w:t>50</w:t>
              </w:r>
            </w:hyperlink>
          </w:p>
        </w:tc>
      </w:tr>
    </w:tbl>
    <w:p>
      <w:pPr>
        <w:pStyle w:val="TextBody"/>
        <w:jc w:val="center"/>
        <w:rPr>
          <w:rFonts w:ascii="times" w:hAnsi="times"/>
          <w:sz w:val="20"/>
        </w:rPr>
      </w:pPr>
      <w:r>
        <w:rPr>
          <w:rFonts w:ascii="times" w:hAnsi="times"/>
          <w:sz w:val="20"/>
        </w:rPr>
        <w:t>i</w:t>
      </w:r>
    </w:p>
    <w:p>
      <w:pPr>
        <w:pStyle w:val="HorizontalLine"/>
        <w:pBdr>
          <w:bottom w:val="single" w:sz="20" w:space="0" w:color="808080"/>
        </w:pBdr>
        <w:rPr/>
      </w:pPr>
      <w:r>
        <w:rPr/>
      </w:r>
      <w:r>
        <w:br w:type="page"/>
      </w:r>
    </w:p>
    <w:p>
      <w:pPr>
        <w:pStyle w:val="TextBody"/>
        <w:rPr/>
      </w:pPr>
      <w:hyperlink w:anchor="dg43504a_main_toc">
        <w:bookmarkStart w:id="213" w:name="page_ea43504_1_1"/>
        <w:bookmarkEnd w:id="213"/>
        <w:r>
          <w:rPr>
            <w:rStyle w:val="InternetLink"/>
            <w:rFonts w:ascii="times" w:hAnsi="times"/>
            <w:sz w:val="20"/>
          </w:rPr>
          <w:t>Table of Contents</w:t>
        </w:r>
      </w:hyperlink>
      <w:r>
        <w:rPr>
          <w:rFonts w:ascii="times" w:hAnsi="times"/>
          <w:sz w:val="20"/>
        </w:rPr>
        <w:t xml:space="preserve"> </w:t>
      </w:r>
    </w:p>
    <w:p>
      <w:pPr>
        <w:pStyle w:val="TextBody"/>
        <w:jc w:val="center"/>
        <w:rPr>
          <w:rFonts w:ascii="times" w:hAnsi="times"/>
          <w:b/>
          <w:sz w:val="20"/>
        </w:rPr>
      </w:pPr>
      <w:bookmarkStart w:id="214" w:name="FLS"/>
      <w:bookmarkEnd w:id="214"/>
      <w:r>
        <w:rPr>
          <w:rFonts w:ascii="times" w:hAnsi="times"/>
          <w:b/>
          <w:sz w:val="20"/>
        </w:rPr>
        <w:t xml:space="preserve">FORWARD-LOOKING STATEMENTS </w:t>
      </w:r>
    </w:p>
    <w:p>
      <w:pPr>
        <w:pStyle w:val="TextBody"/>
        <w:rPr/>
      </w:pPr>
      <w:r>
        <w:rPr/>
        <w:t>        </w:t>
      </w:r>
      <w:r>
        <w:rPr>
          <w:rFonts w:ascii="times" w:hAnsi="times"/>
          <w:sz w:val="20"/>
        </w:rPr>
        <w:t xml:space="preserve">All statements in this prospectus that are not statements of historical fact are "forward-looking statements" within the meaning of the United States Private Securities Litigation Reform Act of 1995. The disclosure and analysis set forth in this prospectus include statements that address activities, events or developments that the Partnership expects, projects, believes or anticipates will or may occur in the future, particularly in relation to our operations, cash flows, financial position, liquidity and cash available for dividends or distributions, and the impact of cash distribution reductions on the Partnership's business and growth prospects, plans, strategies, business prospects and changes and trends in our business and the markets in which we operate. These statements are intended as "forward-looking statements". In some cases, predictive, future-tense or forward-looking words such as "believe", "intend", "anticipate", "estimate", "project", "forecast", "plan", "potential", "may", "should", "could" and "expect" and similar expressions are intended to identify forward-looking statements but are not the exclusive means of identifying such statements. In addition, we and our representatives may from time to time make other oral or written statements which are forward-looking statements, including in our periodic reports that we file with the Securities and Exchange Commission, or the "SEC", other information sent to our security holders, and other written materials. We caution that these forward-looking statements represent our estimates and assumptions only as of the date of this prospectus or the date on which such oral or written statements are made, as applicable, about factors that are beyond our ability to control or predict, and are not intended to give any assurance as to future results. Any of these factors or a combination of these factors could materially affect future results of operations and the ultimate accuracy of the forward-looking statements. Accordingly, you should not unduly rely on any forward-looking statements. </w:t>
      </w:r>
    </w:p>
    <w:p>
      <w:pPr>
        <w:pStyle w:val="TextBody"/>
        <w:rPr/>
      </w:pPr>
      <w:r>
        <w:rPr/>
        <w:t>        </w:t>
      </w:r>
      <w:r>
        <w:rPr>
          <w:rFonts w:ascii="times" w:hAnsi="times"/>
          <w:sz w:val="20"/>
        </w:rPr>
        <w:t>Factors that might cause future results and outcomes to differ include, but are not limited to, the following:</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general liquefied natural gas ("LNG") shipping market conditions and trends, including spot and multi-year charter rates, ship values, factors affecting supply and demand of LNG and LNG shipping, including geopolitical events, technological advancements and opportunities for the profitable operations of LNG carriers;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fluctuations in charter hire rates, vessel utilization and vessel values;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our ability to secure new multi-year charters at economically attractive rates;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our ability to maximize the use of our vessels, including the re-deployment or disposition of vessels which are not operating under multi-year charters, including the risk that certain of our vessels may no longer have the latest technology at such time which may impact our ability to secure employment for such vessels as well as the rate at which we can charter such vessels;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changes in our operating expenses, including crew wages, maintenance, dry-docking and insurance costs and bunker prices;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number of off-hire days and dry-docking requirements including our ability to complete scheduled dry-dockings on time and within budget;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planned capital expenditures and availability of capital resources to fund capital expenditures;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disruption to the LNG, LNG shipping and financial markets caused by the global shutdown as a result of the COVID-19 pandemic;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fluctuations in prices for crude oil, petroleum products and natural gas, including LNG;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fluctuations in exchange rates, especially the U.S. dollar and the Euro; </w:t>
      </w:r>
    </w:p>
    <w:p>
      <w:pPr>
        <w:pStyle w:val="TextBody"/>
        <w:jc w:val="center"/>
        <w:rPr>
          <w:rFonts w:ascii="times" w:hAnsi="times"/>
          <w:sz w:val="20"/>
        </w:rPr>
      </w:pPr>
      <w:r>
        <w:rPr>
          <w:rFonts w:ascii="times" w:hAnsi="times"/>
          <w:sz w:val="20"/>
        </w:rPr>
        <w:t>1</w:t>
      </w:r>
    </w:p>
    <w:p>
      <w:pPr>
        <w:pStyle w:val="HorizontalLine"/>
        <w:pBdr>
          <w:bottom w:val="single" w:sz="20" w:space="0" w:color="808080"/>
        </w:pBdr>
        <w:rPr/>
      </w:pPr>
      <w:r>
        <w:rPr/>
      </w:r>
      <w:r>
        <w:br w:type="page"/>
      </w:r>
    </w:p>
    <w:p>
      <w:pPr>
        <w:pStyle w:val="TextBody"/>
        <w:rPr/>
      </w:pPr>
      <w:hyperlink w:anchor="dg43504a_main_toc">
        <w:bookmarkStart w:id="215" w:name="page_ea43504_1_2"/>
        <w:bookmarkEnd w:id="215"/>
        <w:r>
          <w:rPr>
            <w:rStyle w:val="InternetLink"/>
            <w:rFonts w:ascii="times" w:hAnsi="times"/>
            <w:sz w:val="20"/>
          </w:rPr>
          <w:t>Table of Contents</w:t>
        </w:r>
      </w:hyperlink>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our ability to expand our portfolio by acquiring vessels through our drop-down pipeline with GasLog Ltd. ("GasLog") or by acquiring other assets from third parties;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our ability to leverage GasLog's relationships and reputation in the shipping industry;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the ability of GasLog to maintain long-term relationships with major energy companies and major LNG producers, marketers and consumers;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GasLog's relationships with its employees and ship crews, its ability to retain key employees and provide services to us, and the availability of skilled labor, ship crews and management;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changes in the ownership of our charterers;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our customers' performance of their obligations under our time charters and other contracts;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our future operating performance, financial condition, liquidity and cash available for distributions;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our distribution policy and our ability to make cash distributions on our units or the impact of cash distribution reductions on our financial position;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our ability to obtain debt and equity financing on acceptable terms to fund capital expenditures, acquisitions and other corporate activities, funding by banks of their financial commitments, funding by GasLog of the revolving credit facility and our ability to meet our restrictive covenants and other obligations under our credit facilities;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future, pending or recent acquisitions of ships or other assets, business strategy, areas of possible expansion and expected capital spending;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risks inherent in ship operation, including the discharge of pollutants;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the impact on us and the shipping industry of environmental concerns, including climate change;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any malfunction or disruption of information technology systems and networks that our operations rely on or any impact of a possible cybersecurity event;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the expected cost of and our ability to comply with environmental and regulatory requirements, including with respect to emissions of air pollutants and greenhouse gases, as well as future changes in such requirements or other actions taken by regulatory authorities, governmental organizations, classification societies and standards imposed by our charterers applicable to our business;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potential disruption of shipping routes due to accidents, diseases, pandemics, political events, piracy or acts by terrorists;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potential liability from future litigation; and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other risks and uncertainties described in the Partnership's Annual Report on Form 20-F filed with the SEC on March 3, 2020, and Quarterly Reports on Form 6-K filed with the SEC on May 7, 2020 and August 5, 2020, available at http://www.sec.gov. </w:t>
      </w:r>
    </w:p>
    <w:p>
      <w:pPr>
        <w:pStyle w:val="TextBody"/>
        <w:rPr/>
      </w:pPr>
      <w:r>
        <w:rPr/>
        <w:t>        </w:t>
      </w:r>
      <w:r>
        <w:rPr>
          <w:rFonts w:ascii="times" w:hAnsi="times"/>
          <w:sz w:val="20"/>
        </w:rPr>
        <w:t xml:space="preserve">We caution that these and other forward-looking statements included in this prospectus represent our estimates and assumptions only as of the date of this prospectus and are not intended to give any assurance as to future results. Many of the forward-looking statements included in this prospectus are based on our assumptions about factors that are beyond our ability to control or predict. Assumptions, expectations, projections, intentions and beliefs about future events may, and often do, vary from actual results and these differences can be material. The reasons for this include the risks, uncertainties and factors described in the "Risk Factors" section of this prospectus. As a result, the forward-looking events discussed in this prospectus might not occur and our actual results may differ materially from </w:t>
      </w:r>
    </w:p>
    <w:p>
      <w:pPr>
        <w:pStyle w:val="TextBody"/>
        <w:jc w:val="center"/>
        <w:rPr>
          <w:rFonts w:ascii="times" w:hAnsi="times"/>
          <w:sz w:val="20"/>
        </w:rPr>
      </w:pPr>
      <w:r>
        <w:rPr>
          <w:rFonts w:ascii="times" w:hAnsi="times"/>
          <w:sz w:val="20"/>
        </w:rPr>
        <w:t>2</w:t>
      </w:r>
    </w:p>
    <w:p>
      <w:pPr>
        <w:pStyle w:val="HorizontalLine"/>
        <w:pBdr>
          <w:bottom w:val="single" w:sz="20" w:space="0" w:color="808080"/>
        </w:pBdr>
        <w:rPr/>
      </w:pPr>
      <w:r>
        <w:rPr/>
      </w:r>
      <w:r>
        <w:br w:type="page"/>
      </w:r>
    </w:p>
    <w:p>
      <w:pPr>
        <w:pStyle w:val="TextBody"/>
        <w:rPr/>
      </w:pPr>
      <w:hyperlink w:anchor="dg43504a_main_toc">
        <w:bookmarkStart w:id="216" w:name="page_ea43504_1_3"/>
        <w:bookmarkEnd w:id="216"/>
        <w:r>
          <w:rPr>
            <w:rStyle w:val="InternetLink"/>
            <w:rFonts w:ascii="times" w:hAnsi="times"/>
            <w:sz w:val="20"/>
          </w:rPr>
          <w:t>Table of Contents</w:t>
        </w:r>
      </w:hyperlink>
    </w:p>
    <w:p>
      <w:pPr>
        <w:pStyle w:val="TextBody"/>
        <w:rPr>
          <w:rFonts w:ascii="times" w:hAnsi="times"/>
          <w:sz w:val="20"/>
        </w:rPr>
      </w:pPr>
      <w:r>
        <w:rPr>
          <w:rFonts w:ascii="times" w:hAnsi="times"/>
          <w:sz w:val="20"/>
        </w:rPr>
        <w:t xml:space="preserve">those anticipated in the forward-looking statements. Accordingly, you should not unduly rely on any forward-looking statements. </w:t>
      </w:r>
    </w:p>
    <w:p>
      <w:pPr>
        <w:pStyle w:val="TextBody"/>
        <w:rPr/>
      </w:pPr>
      <w:r>
        <w:rPr/>
        <w:t>        </w:t>
      </w:r>
      <w:r>
        <w:rPr>
          <w:rFonts w:ascii="times" w:hAnsi="times"/>
          <w:sz w:val="20"/>
        </w:rPr>
        <w:t xml:space="preserve">We undertake no obligation to update or revise any forward-looking statements contained in this prospectus, whether as a result of new information, future events, a change in our views or expectations or otherwise, except as required by applicable law. New factors emerge from time to time, and it is not possible for us to predict all of these factors. Further, we cannot assess the impact of each such factor on our business or the extent to which any factor, or combination of factors, may cause actual results to be materially different from those contained in any forward-looking statement. </w:t>
      </w:r>
    </w:p>
    <w:p>
      <w:pPr>
        <w:pStyle w:val="TextBody"/>
        <w:jc w:val="center"/>
        <w:rPr>
          <w:rFonts w:ascii="times" w:hAnsi="times"/>
          <w:sz w:val="20"/>
        </w:rPr>
      </w:pPr>
      <w:r>
        <w:rPr>
          <w:rFonts w:ascii="times" w:hAnsi="times"/>
          <w:sz w:val="20"/>
        </w:rPr>
        <w:t>3</w:t>
      </w:r>
    </w:p>
    <w:p>
      <w:pPr>
        <w:pStyle w:val="HorizontalLine"/>
        <w:pBdr>
          <w:bottom w:val="single" w:sz="20" w:space="0" w:color="808080"/>
        </w:pBdr>
        <w:rPr/>
      </w:pPr>
      <w:r>
        <w:rPr/>
      </w:r>
      <w:r>
        <w:br w:type="page"/>
      </w:r>
    </w:p>
    <w:p>
      <w:pPr>
        <w:pStyle w:val="TextBody"/>
        <w:rPr/>
      </w:pPr>
      <w:hyperlink w:anchor="dg43504a_main_toc">
        <w:bookmarkStart w:id="217" w:name="page_ea43504_1_4"/>
        <w:bookmarkEnd w:id="217"/>
        <w:r>
          <w:rPr>
            <w:rStyle w:val="InternetLink"/>
            <w:rFonts w:ascii="times" w:hAnsi="times"/>
            <w:sz w:val="20"/>
          </w:rPr>
          <w:t>Table of Contents</w:t>
        </w:r>
      </w:hyperlink>
    </w:p>
    <w:p>
      <w:pPr>
        <w:pStyle w:val="TextBody"/>
        <w:jc w:val="center"/>
        <w:rPr>
          <w:rFonts w:ascii="times" w:hAnsi="times"/>
        </w:rPr>
      </w:pPr>
      <w:bookmarkStart w:id="218" w:name="toc_ea43504_1"/>
      <w:bookmarkStart w:id="219" w:name="ea43504_the_company"/>
      <w:bookmarkEnd w:id="218"/>
      <w:bookmarkEnd w:id="219"/>
      <w:r>
        <w:rPr>
          <w:rFonts w:ascii="times" w:hAnsi="times"/>
          <w:sz w:val="20"/>
        </w:rPr>
        <w:br/>
      </w:r>
      <w:r>
        <w:rPr>
          <w:rFonts w:ascii="times" w:hAnsi="times"/>
          <w:b/>
          <w:sz w:val="20"/>
        </w:rPr>
        <w:t xml:space="preserve">THE COMPANY </w:t>
      </w:r>
    </w:p>
    <w:p>
      <w:pPr>
        <w:pStyle w:val="TextBody"/>
        <w:rPr/>
      </w:pPr>
      <w:r>
        <w:rPr/>
        <w:t>        </w:t>
      </w:r>
      <w:r>
        <w:rPr>
          <w:rFonts w:ascii="times" w:hAnsi="times"/>
          <w:sz w:val="20"/>
        </w:rPr>
        <w:t>Unless otherwise indicated, references in this prospectus to:</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"cbm" refer to cubic meters;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"Class B Units" refers collectively to the 2,075,000 Class B units (of which 415,000 are Class B-2 units, 415,000 are Class B-3 units, 415,000 are Class B-4 units, 415,000 are Class B-5 units and 415,000 are Class B-6 units), issued on June 30, 2019;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"dollars" and "$" refer to, and amounts are presented in, U.S. dollars;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"GasLog", depending on the context, refers to GasLog Ltd. and to any one or more of its direct and indirect subsidiaries, other than GasLog Partners;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"GasLog LNG Services" refer to GasLog LNG Services Ltd., a wholly owned subsidiary of GasLog;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"GasLog Partners", the "Partnership", "we", "our", "us" or similar terms refer to GasLog Partners LP or any one or more of its subsidiaries, or to all such entities unless the context otherwise indicates;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"omnibus agreement" refers to the Omnibus Agreement dated May 12, 2014 by and among the Partnership, GasLog, our general partner and GasLog Partners Holdings LLC, as amended;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"our general partner" refer to GasLog Partners GP LLC, the general partner of GasLog Partners and a wholly owned subsidiary of GasLog; and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"Shell" refers to Royal Dutch Shell plc, or any one or more of its subsidiaries. </w:t>
      </w:r>
    </w:p>
    <w:p>
      <w:pPr>
        <w:pStyle w:val="TextBody"/>
        <w:rPr/>
      </w:pPr>
      <w:r>
        <w:rPr/>
        <w:t>        </w:t>
      </w:r>
      <w:r>
        <w:rPr>
          <w:rFonts w:ascii="times" w:hAnsi="times"/>
          <w:sz w:val="20"/>
        </w:rPr>
        <w:t xml:space="preserve">We are a growth-oriented master limited partnership focused on owning, operating and acquiring LNG carriers engaged in LNG transportation under multi-year charters, which we define as charters of five full years or more. Our fleet consists of 15 LNG carriers, including ten vessels with tri-fuel diesel electric ("TFDE") propulsion technology and five steam-powered ("Steam") vessels, with an average carrying capacity of approximately 158,000 cbm. Twelve of our vessels have fixed charter terms expiring between 2020 and 2026 and six can be extended at the charterers' option. Eight of our vessels are chartered to subsidiaries of Shell. </w:t>
      </w:r>
    </w:p>
    <w:p>
      <w:pPr>
        <w:pStyle w:val="TextBody"/>
        <w:rPr/>
      </w:pPr>
      <w:r>
        <w:rPr/>
        <w:t>        </w:t>
      </w:r>
      <w:r>
        <w:rPr>
          <w:rFonts w:ascii="times" w:hAnsi="times"/>
          <w:sz w:val="20"/>
        </w:rPr>
        <w:t xml:space="preserve">Our fleet was contributed to us by, or acquired from, GasLog, which controls us through its ownership of our general partner. As of October 9, 2020, we also had options and other certain acquisition rights under which we may acquire additional LNG carriers from GasLog. Under the omnibus agreement entered into with GasLog in connection with our IPO (defined below), we have the option to purchase from GasLog the </w:t>
      </w:r>
      <w:r>
        <w:rPr>
          <w:rFonts w:ascii="times" w:hAnsi="times"/>
          <w:i/>
          <w:sz w:val="20"/>
        </w:rPr>
        <w:t>GasLog Singapore</w:t>
      </w:r>
      <w:r>
        <w:rPr>
          <w:rFonts w:ascii="times" w:hAnsi="times"/>
          <w:sz w:val="20"/>
        </w:rPr>
        <w:t xml:space="preserve">, the </w:t>
      </w:r>
      <w:r>
        <w:rPr>
          <w:rFonts w:ascii="times" w:hAnsi="times"/>
          <w:i/>
          <w:sz w:val="20"/>
        </w:rPr>
        <w:t>GasLog Warsaw</w:t>
      </w:r>
      <w:r>
        <w:rPr>
          <w:rFonts w:ascii="times" w:hAnsi="times"/>
          <w:sz w:val="20"/>
        </w:rPr>
        <w:t xml:space="preserve">, the </w:t>
      </w:r>
      <w:r>
        <w:rPr>
          <w:rFonts w:ascii="times" w:hAnsi="times"/>
          <w:i/>
          <w:sz w:val="20"/>
        </w:rPr>
        <w:t>GasLog Windsor</w:t>
      </w:r>
      <w:r>
        <w:rPr>
          <w:rFonts w:ascii="times" w:hAnsi="times"/>
          <w:sz w:val="20"/>
        </w:rPr>
        <w:t xml:space="preserve">, the </w:t>
      </w:r>
      <w:r>
        <w:rPr>
          <w:rFonts w:ascii="times" w:hAnsi="times"/>
          <w:i/>
          <w:sz w:val="20"/>
        </w:rPr>
        <w:t>GasLog Wales</w:t>
      </w:r>
      <w:r>
        <w:rPr>
          <w:rFonts w:ascii="times" w:hAnsi="times"/>
        </w:rPr>
        <w:t xml:space="preserve"> </w:t>
      </w:r>
      <w:r>
        <w:rPr>
          <w:rFonts w:ascii="times" w:hAnsi="times"/>
          <w:sz w:val="20"/>
        </w:rPr>
        <w:t xml:space="preserve">and the </w:t>
      </w:r>
      <w:r>
        <w:rPr>
          <w:rFonts w:ascii="times" w:hAnsi="times"/>
          <w:i/>
          <w:sz w:val="20"/>
        </w:rPr>
        <w:t>GasLog Westminster</w:t>
      </w:r>
      <w:r>
        <w:rPr>
          <w:rFonts w:ascii="times" w:hAnsi="times"/>
        </w:rPr>
        <w:t xml:space="preserve"> </w:t>
      </w:r>
      <w:r>
        <w:rPr>
          <w:rFonts w:ascii="times" w:hAnsi="times"/>
          <w:sz w:val="20"/>
        </w:rPr>
        <w:t xml:space="preserve">within 30 days following receipt of notice from GasLog, in each case at fair market value as determined pursuant to the omnibus agreement. In addition, according to the terms of the omnibus agreement, GasLog will be required to offer us the opportunity to purchase each of Hull Nos. 2300, 2301, 2311 and 2312 within 30 days of the commencement of their respective charters. </w:t>
      </w:r>
    </w:p>
    <w:p>
      <w:pPr>
        <w:pStyle w:val="TextBody"/>
        <w:rPr/>
      </w:pPr>
      <w:r>
        <w:rPr/>
        <w:t>        </w:t>
      </w:r>
      <w:r>
        <w:rPr>
          <w:rFonts w:ascii="times" w:hAnsi="times"/>
          <w:sz w:val="20"/>
        </w:rPr>
        <w:t xml:space="preserve">Pursuant to the omnibus agreement, we also have a right of first offer from GasLog to purchase any other LNG carriers with cargo capacities greater than 75,000 cbm engaged in ongoing LNG transportation under charters of five full years or more that GasLog owns or acquires (the "Five-Year Vessels") either at their acquisition cost plus certain break up costs (in the case of a newly acquired Five-Year Vessel) or at their fair market value (in the case of a previously owned vessel that becomes a Five-Year Vessel). Generally, we must exercise this right of first offer within 30 days following the notice from GasLog that the vessel has been acquired or has become a Five-Year Vessel. </w:t>
      </w:r>
    </w:p>
    <w:p>
      <w:pPr>
        <w:pStyle w:val="TextBody"/>
        <w:jc w:val="center"/>
        <w:rPr>
          <w:rFonts w:ascii="times" w:hAnsi="times"/>
          <w:sz w:val="20"/>
        </w:rPr>
      </w:pPr>
      <w:r>
        <w:rPr>
          <w:rFonts w:ascii="times" w:hAnsi="times"/>
          <w:sz w:val="20"/>
        </w:rPr>
        <w:t>4</w:t>
      </w:r>
    </w:p>
    <w:p>
      <w:pPr>
        <w:pStyle w:val="HorizontalLine"/>
        <w:pBdr>
          <w:bottom w:val="single" w:sz="20" w:space="0" w:color="808080"/>
        </w:pBdr>
        <w:rPr/>
      </w:pPr>
      <w:r>
        <w:rPr/>
      </w:r>
      <w:r>
        <w:br w:type="page"/>
      </w:r>
    </w:p>
    <w:p>
      <w:pPr>
        <w:pStyle w:val="TextBody"/>
        <w:rPr/>
      </w:pPr>
      <w:hyperlink w:anchor="dg43504a_main_toc">
        <w:bookmarkStart w:id="220" w:name="page_ea43504_1_5"/>
        <w:bookmarkEnd w:id="220"/>
        <w:r>
          <w:rPr>
            <w:rStyle w:val="InternetLink"/>
            <w:rFonts w:ascii="times" w:hAnsi="times"/>
            <w:sz w:val="20"/>
          </w:rPr>
          <w:t>Table of Contents</w:t>
        </w:r>
      </w:hyperlink>
    </w:p>
    <w:p>
      <w:pPr>
        <w:pStyle w:val="TextBody"/>
        <w:rPr/>
      </w:pPr>
      <w:r>
        <w:rPr/>
        <w:t>        </w:t>
      </w:r>
      <w:r>
        <w:rPr>
          <w:rFonts w:ascii="times" w:hAnsi="times"/>
          <w:sz w:val="20"/>
        </w:rPr>
        <w:t xml:space="preserve">The options bring the current pipeline of vessels that we have, or may have, the right to acquire from GasLog to nine LNG carriers. We believe that such options and acquisition rights provide us with significant built-in growth opportunities. We may also acquire vessels from shipyards or other owners. </w:t>
      </w:r>
    </w:p>
    <w:p>
      <w:pPr>
        <w:pStyle w:val="TextBody"/>
        <w:rPr/>
      </w:pPr>
      <w:r>
        <w:rPr/>
        <w:t>        </w:t>
      </w:r>
      <w:r>
        <w:rPr>
          <w:rFonts w:ascii="times" w:hAnsi="times"/>
          <w:sz w:val="20"/>
        </w:rPr>
        <w:t xml:space="preserve">We operate most of our vessels under multi-year charters with fixed-fee contracts that generate predictable cash flows. We intend to grow our fleet through further acquisitions of LNG carriers from GasLog and third parties. However, we cannot assure you that we will make any particular acquisition or that as a consequence we will successfully grow our per unit distributions. Among other things, our ability to acquire additional LNG carriers will be dependent upon our ability to raise additional financing. Additionally, as vessels currently operating under multi-year charters redeliver, the number of vessels available in the short-term or spot charter market is likely to continue to expand which may result in reduced opportunities to secure multi-year charters for our vessels. </w:t>
      </w:r>
    </w:p>
    <w:p>
      <w:pPr>
        <w:pStyle w:val="TextBody"/>
        <w:rPr/>
      </w:pPr>
      <w:r>
        <w:rPr/>
        <w:t>        </w:t>
      </w:r>
      <w:r>
        <w:rPr>
          <w:rFonts w:ascii="times" w:hAnsi="times"/>
          <w:sz w:val="20"/>
        </w:rPr>
        <w:t xml:space="preserve">We are not obligated to purchase any of the vessels from GasLog described above and, accordingly, we may not complete the purchase of any such vessels. Furthermore, our ability to purchase any additional vessels, including under the omnibus agreement from GasLog, is dependent on our ability to obtain financing to fund all or a portion of the acquisition costs of these vessels. As of October 9, 2020, we have not secured any financing for the acquisition of additional vessels. Our ability to acquire additional vessels from GasLog is also subject to obtaining any applicable consents of governmental authorities and other non-affiliated third parties, including the relevant lenders and charterers. Under the omnibus agreement, GasLog will be obligated to use reasonable efforts to obtain any such consents with regards to transactions covered by that agreement. We cannot assure you that in any particular case that the necessary consent will be obtained. </w:t>
      </w:r>
    </w:p>
    <w:p>
      <w:pPr>
        <w:pStyle w:val="TextBody"/>
        <w:rPr/>
      </w:pPr>
      <w:r>
        <w:rPr/>
        <w:t>        </w:t>
      </w:r>
      <w:r>
        <w:rPr>
          <w:rFonts w:ascii="times" w:hAnsi="times"/>
          <w:sz w:val="20"/>
        </w:rPr>
        <w:t xml:space="preserve">On May 12, 2014, we completed an initial public offering of our Common Units (the "IPO"). We completed follow-on public offerings of our Common Units on September 29, 2014, June 26, 2015, August 5, 2016, January 27, 2017 and November 3, 2017. Our Common Units are listed on the New York Stock Exchange (the "NYSE") under the ticker symbol "GLOP". If any securities are to be listed or quoted on any other securities exchange or quotation system, the applicable prospectus supplement will so state. </w:t>
      </w:r>
    </w:p>
    <w:p>
      <w:pPr>
        <w:pStyle w:val="TextBody"/>
        <w:rPr/>
      </w:pPr>
      <w:r>
        <w:rPr/>
        <w:t>        </w:t>
      </w:r>
      <w:r>
        <w:rPr>
          <w:rFonts w:ascii="times" w:hAnsi="times"/>
          <w:sz w:val="20"/>
        </w:rPr>
        <w:t xml:space="preserve">On May 15, 2017, we completed a public offering of our Series A Preference Units, liquidation preference $25.00 per unit. The Series A Preference Units are listed on the NYSE under the ticker symbol "GLOP PR A." </w:t>
      </w:r>
    </w:p>
    <w:p>
      <w:pPr>
        <w:pStyle w:val="TextBody"/>
        <w:rPr/>
      </w:pPr>
      <w:r>
        <w:rPr/>
        <w:t>        </w:t>
      </w:r>
      <w:r>
        <w:rPr>
          <w:rFonts w:ascii="times" w:hAnsi="times"/>
          <w:sz w:val="20"/>
        </w:rPr>
        <w:t xml:space="preserve">On May 16, 2017, we commenced an "at-the-market" offering program under which we may offer and sell Common Units having an aggregate offering price of up to $100 million from time to time through our sales agents. </w:t>
      </w:r>
    </w:p>
    <w:p>
      <w:pPr>
        <w:pStyle w:val="TextBody"/>
        <w:rPr/>
      </w:pPr>
      <w:r>
        <w:rPr/>
        <w:t>        </w:t>
      </w:r>
      <w:r>
        <w:rPr>
          <w:rFonts w:ascii="times" w:hAnsi="times"/>
          <w:sz w:val="20"/>
        </w:rPr>
        <w:t xml:space="preserve">On November 3, 2017, we increased the size of the "at-the-market" offering program under which we may offer and sell Common Units up to an aggregate offering price of up to $144.0 million from time to time through our sales agents. </w:t>
      </w:r>
    </w:p>
    <w:p>
      <w:pPr>
        <w:pStyle w:val="TextBody"/>
        <w:rPr/>
      </w:pPr>
      <w:r>
        <w:rPr/>
        <w:t>        </w:t>
      </w:r>
      <w:r>
        <w:rPr>
          <w:rFonts w:ascii="times" w:hAnsi="times"/>
          <w:sz w:val="20"/>
        </w:rPr>
        <w:t xml:space="preserve">On January 17, 2018, we completed a public offering of our Series B Preference Units, liquidation preference $25.00 per unit. The Series B Preference Units are listed on the NYSE under the ticker symbol "GLOP PR B." </w:t>
      </w:r>
    </w:p>
    <w:p>
      <w:pPr>
        <w:pStyle w:val="TextBody"/>
        <w:rPr/>
      </w:pPr>
      <w:r>
        <w:rPr/>
        <w:t>        </w:t>
      </w:r>
      <w:r>
        <w:rPr>
          <w:rFonts w:ascii="times" w:hAnsi="times"/>
          <w:sz w:val="20"/>
        </w:rPr>
        <w:t xml:space="preserve">On November 15, 2018, we completed a public offering of our Series C Preference Units, liquidation preference $25.00 per unit. The Series C Preference Units are listed on the NYSE under the ticker symbol "GLOP PR C." </w:t>
      </w:r>
    </w:p>
    <w:p>
      <w:pPr>
        <w:pStyle w:val="TextBody"/>
        <w:rPr/>
      </w:pPr>
      <w:r>
        <w:rPr/>
        <w:t>        </w:t>
      </w:r>
      <w:r>
        <w:rPr>
          <w:rFonts w:ascii="times" w:hAnsi="times"/>
          <w:sz w:val="20"/>
        </w:rPr>
        <w:t xml:space="preserve">On February 26, 2019, we further increased the size of the "at-the-market" offering program under which we may offer and sell Common Units up to an aggregate offering price of up to $250.0 million from time to time through our sales agents. </w:t>
      </w:r>
    </w:p>
    <w:p>
      <w:pPr>
        <w:pStyle w:val="TextBody"/>
        <w:jc w:val="center"/>
        <w:rPr>
          <w:rFonts w:ascii="times" w:hAnsi="times"/>
          <w:sz w:val="20"/>
        </w:rPr>
      </w:pPr>
      <w:r>
        <w:rPr>
          <w:rFonts w:ascii="times" w:hAnsi="times"/>
          <w:sz w:val="20"/>
        </w:rPr>
        <w:t>5</w:t>
      </w:r>
    </w:p>
    <w:p>
      <w:pPr>
        <w:pStyle w:val="HorizontalLine"/>
        <w:pBdr>
          <w:bottom w:val="single" w:sz="20" w:space="0" w:color="808080"/>
        </w:pBdr>
        <w:rPr/>
      </w:pPr>
      <w:r>
        <w:rPr/>
      </w:r>
      <w:r>
        <w:br w:type="page"/>
      </w:r>
    </w:p>
    <w:p>
      <w:pPr>
        <w:pStyle w:val="TextBody"/>
        <w:rPr/>
      </w:pPr>
      <w:hyperlink w:anchor="dg43504a_main_toc">
        <w:bookmarkStart w:id="221" w:name="page_ea43504_1_6"/>
        <w:bookmarkEnd w:id="221"/>
        <w:r>
          <w:rPr>
            <w:rStyle w:val="InternetLink"/>
            <w:rFonts w:ascii="times" w:hAnsi="times"/>
            <w:sz w:val="20"/>
          </w:rPr>
          <w:t>Table of Contents</w:t>
        </w:r>
      </w:hyperlink>
    </w:p>
    <w:p>
      <w:pPr>
        <w:pStyle w:val="TextBody"/>
        <w:rPr/>
      </w:pPr>
      <w:r>
        <w:rPr/>
        <w:t>        </w:t>
      </w:r>
      <w:r>
        <w:rPr>
          <w:rFonts w:ascii="times" w:hAnsi="times"/>
          <w:sz w:val="20"/>
        </w:rPr>
        <w:t xml:space="preserve">On June 24, 2019, GasLog and GasLog Partners entered into an agreement, effective as of June 30, 2019, to modify the partnership agreement, thereby eliminating GasLog's incentive distribution rights ("IDRs"). In exchange for the IDRs, GasLog received 2,532,911 Common Units and 2,490,000 Class B units (of which 415,000 were Class B-1 units, 415,000 are Class B-2 units, 415,000 are Class B-3 units, 415,000 are Class B-4 units, 415,000 are Class B-5 units and 415,000 are Class B-6 units), issued on June 30, 2019. The Class B units have all of the rights and obligations attached to the Common Units, except for voting rights and participation in earnings and distributions until such time as GasLog exercises its right to convert the Class B units to Common Units. The Class B units will become eligible for conversion on a one-for-one basis into Common Units at GasLog's option on July 1, 2021, July 1, 2022, July 1, 2023, July 1, 2024 and July 1, 2025 for the Class B-2 units, Class B-3 units, Class B-4 units, Class B-5 units and the Class B-6 units, respectively. The Class B-1 units were converted into Common Units on July 1, 2020. </w:t>
      </w:r>
    </w:p>
    <w:p>
      <w:pPr>
        <w:pStyle w:val="TextBody"/>
        <w:rPr/>
      </w:pPr>
      <w:r>
        <w:rPr/>
        <w:t>        </w:t>
      </w:r>
      <w:r>
        <w:rPr>
          <w:rFonts w:ascii="times" w:hAnsi="times"/>
          <w:sz w:val="20"/>
        </w:rPr>
        <w:t xml:space="preserve">We maintain our principal executive offices at 69 Akti Miaouli 18537 Piraeus Greece. Our telephone number at such address is +30 210 459 1000. We have been organized under the laws of the Republic of the Marshall Islands. </w:t>
      </w:r>
    </w:p>
    <w:p>
      <w:pPr>
        <w:pStyle w:val="TextBody"/>
        <w:jc w:val="center"/>
        <w:rPr>
          <w:rFonts w:ascii="times" w:hAnsi="times"/>
          <w:sz w:val="20"/>
        </w:rPr>
      </w:pPr>
      <w:r>
        <w:rPr>
          <w:rFonts w:ascii="times" w:hAnsi="times"/>
          <w:sz w:val="20"/>
        </w:rPr>
        <w:t>6</w:t>
      </w:r>
    </w:p>
    <w:p>
      <w:pPr>
        <w:pStyle w:val="HorizontalLine"/>
        <w:pBdr>
          <w:bottom w:val="single" w:sz="20" w:space="0" w:color="808080"/>
        </w:pBdr>
        <w:rPr/>
      </w:pPr>
      <w:r>
        <w:rPr/>
      </w:r>
      <w:r>
        <w:br w:type="page"/>
      </w:r>
    </w:p>
    <w:p>
      <w:pPr>
        <w:pStyle w:val="TextBody"/>
        <w:rPr/>
      </w:pPr>
      <w:hyperlink w:anchor="dg43504a_main_toc">
        <w:bookmarkStart w:id="222" w:name="page_ec43504_1_7"/>
        <w:bookmarkEnd w:id="222"/>
        <w:r>
          <w:rPr>
            <w:rStyle w:val="InternetLink"/>
            <w:rFonts w:ascii="times" w:hAnsi="times"/>
            <w:sz w:val="20"/>
          </w:rPr>
          <w:t>Table of Contents</w:t>
        </w:r>
      </w:hyperlink>
      <w:r>
        <w:rPr>
          <w:rFonts w:ascii="times" w:hAnsi="times"/>
          <w:sz w:val="20"/>
        </w:rPr>
        <w:t xml:space="preserve"> </w:t>
      </w:r>
    </w:p>
    <w:p>
      <w:pPr>
        <w:pStyle w:val="TextBody"/>
        <w:jc w:val="center"/>
        <w:rPr>
          <w:rFonts w:ascii="times" w:hAnsi="times"/>
        </w:rPr>
      </w:pPr>
      <w:bookmarkStart w:id="223" w:name="toc_ec43504_1"/>
      <w:bookmarkStart w:id="224" w:name="ec43504_risk_factors"/>
      <w:bookmarkEnd w:id="223"/>
      <w:bookmarkEnd w:id="224"/>
      <w:r>
        <w:rPr>
          <w:rFonts w:ascii="times" w:hAnsi="times"/>
          <w:sz w:val="20"/>
        </w:rPr>
        <w:br/>
      </w:r>
      <w:r>
        <w:rPr>
          <w:rFonts w:ascii="times" w:hAnsi="times"/>
          <w:b/>
          <w:sz w:val="20"/>
        </w:rPr>
        <w:t xml:space="preserve">RISK FACTORS </w:t>
      </w:r>
    </w:p>
    <w:p>
      <w:pPr>
        <w:pStyle w:val="TextBody"/>
        <w:rPr/>
      </w:pPr>
      <w:r>
        <w:rPr/>
        <w:t>        </w:t>
      </w:r>
      <w:r>
        <w:rPr>
          <w:rFonts w:ascii="times" w:hAnsi="times"/>
          <w:sz w:val="20"/>
        </w:rPr>
        <w:t xml:space="preserve">Investing in the securities to be offered pursuant to this prospectus may involve a high degree of risk. You should carefully consider the important factors set forth under the heading "Risk Factors" in our most recent Annual Report on Form 20-F as well as the updated risk factors included in </w:t>
      </w:r>
      <w:hyperlink r:id="rId6">
        <w:r>
          <w:rPr>
            <w:rStyle w:val="InternetLink"/>
            <w:rFonts w:ascii="times" w:hAnsi="times"/>
            <w:sz w:val="20"/>
          </w:rPr>
          <w:t>Exhibit 99.2 of our Report on Form 6-K filed with the SEC on May 7, 2020</w:t>
        </w:r>
      </w:hyperlink>
      <w:r>
        <w:rPr>
          <w:rFonts w:ascii="times" w:hAnsi="times"/>
          <w:sz w:val="20"/>
        </w:rPr>
        <w:t xml:space="preserve"> and </w:t>
      </w:r>
      <w:hyperlink r:id="rId7">
        <w:r>
          <w:rPr>
            <w:rStyle w:val="InternetLink"/>
            <w:rFonts w:ascii="times" w:hAnsi="times"/>
            <w:sz w:val="20"/>
          </w:rPr>
          <w:t>Exhibit 99.2 of our Report on Form 6-K filed with the SEC on August 5, 2020</w:t>
        </w:r>
      </w:hyperlink>
      <w:r>
        <w:rPr>
          <w:rFonts w:ascii="times" w:hAnsi="times"/>
          <w:sz w:val="20"/>
        </w:rPr>
        <w:t xml:space="preserve">, each filed with the SEC and incorporated herein by reference and in the accompanying prospectus supplement for such issuance before investing in any securities that may be offered. For further details, see the section entitled "Where You Can Find Additional Information". </w:t>
      </w:r>
    </w:p>
    <w:p>
      <w:pPr>
        <w:pStyle w:val="TextBody"/>
        <w:rPr/>
      </w:pPr>
      <w:r>
        <w:rPr/>
        <w:t>        </w:t>
      </w:r>
      <w:r>
        <w:rPr>
          <w:rFonts w:ascii="times" w:hAnsi="times"/>
          <w:sz w:val="20"/>
        </w:rPr>
        <w:t xml:space="preserve">Any of the risk factors referred to above could significantly and negatively affect our business, results of operations or financial condition, which may reduce our ability to make cash distributions and lower the trading price of our securities. The risks referred to above are not the only ones that may exist. Additional risks not currently known by us or risks that we deem immaterial may also impair our business operations. You may lose all or a part of your investment. </w:t>
      </w:r>
    </w:p>
    <w:p>
      <w:pPr>
        <w:pStyle w:val="TextBody"/>
        <w:jc w:val="center"/>
        <w:rPr>
          <w:rFonts w:ascii="times" w:hAnsi="times"/>
          <w:sz w:val="20"/>
        </w:rPr>
      </w:pPr>
      <w:r>
        <w:rPr>
          <w:rFonts w:ascii="times" w:hAnsi="times"/>
          <w:sz w:val="20"/>
        </w:rPr>
        <w:t>7</w:t>
      </w:r>
    </w:p>
    <w:p>
      <w:pPr>
        <w:pStyle w:val="HorizontalLine"/>
        <w:pBdr>
          <w:bottom w:val="single" w:sz="20" w:space="0" w:color="808080"/>
        </w:pBdr>
        <w:rPr/>
      </w:pPr>
      <w:r>
        <w:rPr/>
      </w:r>
      <w:r>
        <w:br w:type="page"/>
      </w:r>
    </w:p>
    <w:p>
      <w:pPr>
        <w:pStyle w:val="TextBody"/>
        <w:rPr/>
      </w:pPr>
      <w:hyperlink w:anchor="dg43504a_main_toc">
        <w:bookmarkStart w:id="225" w:name="page_ec43504_1_8"/>
        <w:bookmarkEnd w:id="225"/>
        <w:r>
          <w:rPr>
            <w:rStyle w:val="InternetLink"/>
            <w:rFonts w:ascii="times" w:hAnsi="times"/>
            <w:sz w:val="20"/>
          </w:rPr>
          <w:t>Table of Contents</w:t>
        </w:r>
      </w:hyperlink>
    </w:p>
    <w:p>
      <w:pPr>
        <w:pStyle w:val="TextBody"/>
        <w:jc w:val="center"/>
        <w:rPr>
          <w:rFonts w:ascii="times" w:hAnsi="times"/>
        </w:rPr>
      </w:pPr>
      <w:bookmarkStart w:id="226" w:name="toc_ec43504_2"/>
      <w:bookmarkStart w:id="227" w:name="ec43504_service_of_process_and_enforceme"/>
      <w:bookmarkEnd w:id="226"/>
      <w:bookmarkEnd w:id="227"/>
      <w:r>
        <w:rPr>
          <w:rFonts w:ascii="times" w:hAnsi="times"/>
          <w:sz w:val="20"/>
        </w:rPr>
        <w:br/>
      </w:r>
      <w:r>
        <w:rPr>
          <w:rFonts w:ascii="times" w:hAnsi="times"/>
          <w:b/>
          <w:sz w:val="20"/>
        </w:rPr>
        <w:t xml:space="preserve">SERVICE OF PROCESS AND ENFORCEMENT OF LIABILITIES </w:t>
      </w:r>
    </w:p>
    <w:p>
      <w:pPr>
        <w:pStyle w:val="TextBody"/>
        <w:rPr/>
      </w:pPr>
      <w:r>
        <w:rPr/>
        <w:t>        </w:t>
      </w:r>
      <w:r>
        <w:rPr>
          <w:rFonts w:ascii="times" w:hAnsi="times"/>
          <w:sz w:val="20"/>
        </w:rPr>
        <w:t xml:space="preserve">We are organized under the laws of the Marshall Islands as a limited partnership. Our general partner is organized under the laws of the Marshall Islands as a limited liability company. The Marshall Islands has a less developed body of securities laws as compared to the United States and provides protections for investors to a significantly lesser extent. </w:t>
      </w:r>
    </w:p>
    <w:p>
      <w:pPr>
        <w:pStyle w:val="TextBody"/>
        <w:rPr/>
      </w:pPr>
      <w:r>
        <w:rPr/>
        <w:t>        </w:t>
      </w:r>
      <w:r>
        <w:rPr>
          <w:rFonts w:ascii="times" w:hAnsi="times"/>
          <w:sz w:val="20"/>
        </w:rPr>
        <w:t xml:space="preserve">Most of our directors and officers and those of our subsidiaries are residents of countries other than the United States. Substantially all of our and our subsidiaries' assets and a substantial portion of the assets of our directors and officers are located outside the United States. As a result, it may be difficult or impossible for United States investors to effect service of process within the United States upon us, our directors or officers, our general partner or our subsidiaries or to realize against us or them judgments obtained in United States courts, including judgments predicated upon the civil liability provisions of the securities laws of the United States or any state in the United States. </w:t>
      </w:r>
    </w:p>
    <w:p>
      <w:pPr>
        <w:pStyle w:val="TextBody"/>
        <w:rPr/>
      </w:pPr>
      <w:r>
        <w:rPr/>
        <w:t>        </w:t>
      </w:r>
      <w:r>
        <w:rPr>
          <w:rFonts w:ascii="times" w:hAnsi="times"/>
          <w:sz w:val="20"/>
        </w:rPr>
        <w:t xml:space="preserve">However, we have expressly submitted to the jurisdiction of the U.S. federal and New York state courts sitting in the City of New York for the purpose of any suit, action or proceeding arising under the securities laws of the United States or any state in the United States, and we have appointed Puglisi &amp; Associates, 850 Library Avenue, Suite 204, Newark, Delaware 19711, our registered agent, to accept service of process on our behalf in any such action. </w:t>
      </w:r>
    </w:p>
    <w:p>
      <w:pPr>
        <w:pStyle w:val="TextBody"/>
        <w:rPr/>
      </w:pPr>
      <w:r>
        <w:rPr/>
        <w:t>        </w:t>
      </w:r>
      <w:r>
        <w:rPr>
          <w:rFonts w:ascii="times" w:hAnsi="times"/>
          <w:sz w:val="20"/>
        </w:rPr>
        <w:t xml:space="preserve">Cozen O'Connor, our counsel as to Marshall Islands law, has advised us that there is uncertainty as to whether the courts of the Marshall Islands would (1) recognize or enforce against us, our general partner or our directors or officers judgments of courts of the United States based on civil liability provisions of applicable U.S. federal and state securities laws or (2) impose liabilities against us, our general partner or our directors and officers in original actions brought in the Marshall Islands, based on these laws. </w:t>
      </w:r>
    </w:p>
    <w:p>
      <w:pPr>
        <w:pStyle w:val="TextBody"/>
        <w:jc w:val="center"/>
        <w:rPr>
          <w:rFonts w:ascii="times" w:hAnsi="times"/>
          <w:sz w:val="20"/>
        </w:rPr>
      </w:pPr>
      <w:r>
        <w:rPr>
          <w:rFonts w:ascii="times" w:hAnsi="times"/>
          <w:sz w:val="20"/>
        </w:rPr>
        <w:t>8</w:t>
      </w:r>
    </w:p>
    <w:p>
      <w:pPr>
        <w:pStyle w:val="HorizontalLine"/>
        <w:pBdr>
          <w:bottom w:val="single" w:sz="20" w:space="0" w:color="808080"/>
        </w:pBdr>
        <w:rPr/>
      </w:pPr>
      <w:r>
        <w:rPr/>
      </w:r>
      <w:r>
        <w:br w:type="page"/>
      </w:r>
    </w:p>
    <w:p>
      <w:pPr>
        <w:pStyle w:val="TextBody"/>
        <w:rPr/>
      </w:pPr>
      <w:hyperlink w:anchor="dg43504a_main_toc">
        <w:bookmarkStart w:id="228" w:name="page_ec43504_1_9"/>
        <w:bookmarkEnd w:id="228"/>
        <w:r>
          <w:rPr>
            <w:rStyle w:val="InternetLink"/>
            <w:rFonts w:ascii="times" w:hAnsi="times"/>
            <w:sz w:val="20"/>
          </w:rPr>
          <w:t>Table of Contents</w:t>
        </w:r>
      </w:hyperlink>
    </w:p>
    <w:p>
      <w:pPr>
        <w:pStyle w:val="TextBody"/>
        <w:jc w:val="center"/>
        <w:rPr>
          <w:rFonts w:ascii="times" w:hAnsi="times"/>
        </w:rPr>
      </w:pPr>
      <w:bookmarkStart w:id="229" w:name="toc_ec43504_3"/>
      <w:bookmarkStart w:id="230" w:name="ec43504_about_this_prospectus"/>
      <w:bookmarkEnd w:id="229"/>
      <w:bookmarkEnd w:id="230"/>
      <w:r>
        <w:rPr>
          <w:rFonts w:ascii="times" w:hAnsi="times"/>
          <w:sz w:val="20"/>
        </w:rPr>
        <w:br/>
      </w:r>
      <w:r>
        <w:rPr>
          <w:rFonts w:ascii="times" w:hAnsi="times"/>
          <w:b/>
          <w:sz w:val="20"/>
        </w:rPr>
        <w:t xml:space="preserve">ABOUT THIS PROSPECTUS </w:t>
      </w:r>
    </w:p>
    <w:p>
      <w:pPr>
        <w:pStyle w:val="TextBody"/>
        <w:rPr/>
      </w:pPr>
      <w:r>
        <w:rPr/>
        <w:t>        </w:t>
      </w:r>
      <w:r>
        <w:rPr>
          <w:rFonts w:ascii="times" w:hAnsi="times"/>
          <w:sz w:val="20"/>
        </w:rPr>
        <w:t xml:space="preserve">This prospectus is part of a registration statement that we filed with the SEC using a shelf registration process. Under this shelf registration process, we may, from time to time, sell up to an aggregate public offering price of $400,000,000 of any combination of the securities described in this prospectus. This prospectus provides you with a general description of the securities we may offer. Each time we sell securities, we will provide you with this prospectus, as well as a prospectus supplement that will contain specific information about the terms of that offering. That prospectus supplement may include additional risk factors or other special considerations applicable to those particular securities. Any prospectus supplement may also add, update or change information contained in this prospectus. If there is any inconsistency between the information contained in this prospectus and any prospectus supplement, you should rely on the information contained in that particular prospectus supplement. You should read both this prospectus and any prospectus supplement together with additional information described under the headings "Incorporation of Certain Information by Reference" and "Where You Can Find Additional Information". </w:t>
      </w:r>
    </w:p>
    <w:p>
      <w:pPr>
        <w:pStyle w:val="TextBody"/>
        <w:jc w:val="center"/>
        <w:rPr>
          <w:rFonts w:ascii="times" w:hAnsi="times"/>
        </w:rPr>
      </w:pPr>
      <w:bookmarkStart w:id="231" w:name="toc_ec43504_4"/>
      <w:bookmarkStart w:id="232" w:name="ec43504_where_you_can_find_additional_in"/>
      <w:bookmarkEnd w:id="231"/>
      <w:bookmarkEnd w:id="232"/>
      <w:r>
        <w:rPr>
          <w:rFonts w:ascii="times" w:hAnsi="times"/>
          <w:sz w:val="20"/>
        </w:rPr>
        <w:br/>
      </w:r>
      <w:r>
        <w:rPr>
          <w:rFonts w:ascii="times" w:hAnsi="times"/>
          <w:b/>
          <w:sz w:val="20"/>
        </w:rPr>
        <w:t xml:space="preserve">WHERE YOU CAN FIND ADDITIONAL INFORMATION </w:t>
      </w:r>
    </w:p>
    <w:p>
      <w:pPr>
        <w:pStyle w:val="TextBody"/>
        <w:rPr/>
      </w:pPr>
      <w:r>
        <w:rPr/>
        <w:t>        </w:t>
      </w:r>
      <w:r>
        <w:rPr>
          <w:rFonts w:ascii="times" w:hAnsi="times"/>
          <w:sz w:val="20"/>
        </w:rPr>
        <w:t xml:space="preserve">We have filed with the SEC a registration statement on Form F-3 under the Securities Act with respect to the offer and sale of securities pursuant to this prospectus. For purposes of this section, the term "registration statement" means the original registration statement and any and all amendments, including the schedules and exhibits to the original registration statement and any amendments. This prospectus, filed as a part of the registration statement, does not contain all of the information set forth in the registration statement or the exhibits and schedules thereto in accordance with the rules and regulations of the SEC and no reference is hereby made to such omitted information. Statements made in this prospectus concerning the contents of any contract, agreement or other document filed as an exhibit to the registration statement are summaries of all of the material terms of such contracts, agreements or documents, but do not repeat all of their terms. Reference is made to each such exhibit for a more complete description of the matters involved and such statements shall be deemed qualified in their entirety by such reference. The SEC maintains a website at </w:t>
      </w:r>
      <w:r>
        <w:rPr>
          <w:rFonts w:ascii="times" w:hAnsi="times"/>
          <w:i/>
          <w:sz w:val="20"/>
          <w:u w:val="single"/>
        </w:rPr>
        <w:t>http://www.sec.gov</w:t>
      </w:r>
      <w:r>
        <w:rPr>
          <w:rFonts w:ascii="times" w:hAnsi="times"/>
        </w:rPr>
        <w:t xml:space="preserve"> </w:t>
      </w:r>
      <w:r>
        <w:rPr>
          <w:rFonts w:ascii="times" w:hAnsi="times"/>
          <w:sz w:val="20"/>
        </w:rPr>
        <w:t xml:space="preserve">that contains reports, proxy and information statements and other information regarding registrants that file electronically with the SEC. For further information pertaining to the securities offered by this prospectus and GasLog Partners, reference is made to the registration statement. </w:t>
      </w:r>
    </w:p>
    <w:p>
      <w:pPr>
        <w:pStyle w:val="TextBody"/>
        <w:rPr/>
      </w:pPr>
      <w:r>
        <w:rPr/>
        <w:t>        </w:t>
      </w:r>
      <w:r>
        <w:rPr>
          <w:rFonts w:ascii="times" w:hAnsi="times"/>
          <w:sz w:val="20"/>
        </w:rPr>
        <w:t xml:space="preserve">We are subject to the information and periodic reporting requirements of the Exchange Act of 1934, as amended (the "Exchange Act"), and we file periodic reports and other information with the SEC. These periodic reports and other information are available for inspection and copying at the SEC's public reference facilities and the website of the SEC referred to above. As a "foreign private issuer", we are exempt from the rules under the Exchange Act prescribing the furnishing and content of proxy statements to shareholders, but we are required to furnish certain proxy statements to shareholders under NYSE rules. Those proxy statements are not expected to conform to Schedule 14A of the proxy rules promulgated under the Exchange Act. In addition, as a "foreign private issuer", we are exempt from the rules under the Exchange Act relating to short swing profit reporting and liability. </w:t>
      </w:r>
    </w:p>
    <w:p>
      <w:pPr>
        <w:pStyle w:val="TextBody"/>
        <w:jc w:val="center"/>
        <w:rPr>
          <w:rFonts w:ascii="times" w:hAnsi="times"/>
          <w:sz w:val="20"/>
        </w:rPr>
      </w:pPr>
      <w:r>
        <w:rPr>
          <w:rFonts w:ascii="times" w:hAnsi="times"/>
          <w:sz w:val="20"/>
        </w:rPr>
        <w:t>9</w:t>
      </w:r>
    </w:p>
    <w:p>
      <w:pPr>
        <w:pStyle w:val="HorizontalLine"/>
        <w:pBdr>
          <w:bottom w:val="single" w:sz="20" w:space="0" w:color="808080"/>
        </w:pBdr>
        <w:rPr/>
      </w:pPr>
      <w:r>
        <w:rPr/>
      </w:r>
      <w:r>
        <w:br w:type="page"/>
      </w:r>
    </w:p>
    <w:p>
      <w:pPr>
        <w:pStyle w:val="TextBody"/>
        <w:rPr/>
      </w:pPr>
      <w:hyperlink w:anchor="dg43504a_main_toc">
        <w:bookmarkStart w:id="233" w:name="page_ec43504_1_10"/>
        <w:bookmarkEnd w:id="233"/>
        <w:r>
          <w:rPr>
            <w:rStyle w:val="InternetLink"/>
            <w:rFonts w:ascii="times" w:hAnsi="times"/>
            <w:sz w:val="20"/>
          </w:rPr>
          <w:t>Table of Contents</w:t>
        </w:r>
      </w:hyperlink>
    </w:p>
    <w:p>
      <w:pPr>
        <w:pStyle w:val="TextBody"/>
        <w:jc w:val="center"/>
        <w:rPr>
          <w:rFonts w:ascii="times" w:hAnsi="times"/>
        </w:rPr>
      </w:pPr>
      <w:bookmarkStart w:id="234" w:name="toc_ec43504_5"/>
      <w:bookmarkStart w:id="235" w:name="ec43504_incorporation_of_certain_informa"/>
      <w:bookmarkEnd w:id="234"/>
      <w:bookmarkEnd w:id="235"/>
      <w:r>
        <w:rPr>
          <w:rFonts w:ascii="times" w:hAnsi="times"/>
          <w:sz w:val="20"/>
        </w:rPr>
        <w:br/>
      </w:r>
      <w:r>
        <w:rPr>
          <w:rFonts w:ascii="times" w:hAnsi="times"/>
          <w:b/>
          <w:sz w:val="20"/>
        </w:rPr>
        <w:t xml:space="preserve">INCORPORATION OF CERTAIN INFORMATION BY REFERENCE </w:t>
      </w:r>
    </w:p>
    <w:p>
      <w:pPr>
        <w:pStyle w:val="TextBody"/>
        <w:rPr/>
      </w:pPr>
      <w:r>
        <w:rPr/>
        <w:t>        </w:t>
      </w:r>
      <w:r>
        <w:rPr>
          <w:rFonts w:ascii="times" w:hAnsi="times"/>
          <w:sz w:val="20"/>
        </w:rPr>
        <w:t xml:space="preserve">The SEC allows us to "incorporate by reference" information that we file with the SEC. This means that we can disclose important information to you by referring you to those filed documents. The information incorporated by reference is considered to be a part of this prospectus, and information that we file later with the SEC prior to the termination of this offering will also be considered to be part of this prospectus and will automatically update and supersede previously filed information, including information contained in this prospectus. </w:t>
      </w:r>
    </w:p>
    <w:p>
      <w:pPr>
        <w:pStyle w:val="TextBody"/>
        <w:rPr/>
      </w:pPr>
      <w:r>
        <w:rPr/>
        <w:t>        </w:t>
      </w:r>
      <w:r>
        <w:rPr>
          <w:rFonts w:ascii="times" w:hAnsi="times"/>
          <w:sz w:val="20"/>
        </w:rPr>
        <w:t>This prospectus incorporates by reference the following documents:</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pPr>
      <w:hyperlink r:id="rId8">
        <w:r>
          <w:rPr>
            <w:rStyle w:val="InternetLink"/>
            <w:rFonts w:ascii="times" w:hAnsi="times"/>
            <w:sz w:val="20"/>
          </w:rPr>
          <w:t>our Annual Report on Form 20-F for the year ended December 31, 2019, filed with the SEC on March 3, 2020</w:t>
        </w:r>
      </w:hyperlink>
      <w:r>
        <w:rPr>
          <w:rFonts w:ascii="times" w:hAnsi="times"/>
          <w:sz w:val="20"/>
        </w:rPr>
        <w:t xml:space="preserve">, as amended on </w:t>
      </w:r>
      <w:hyperlink r:id="rId9">
        <w:r>
          <w:rPr>
            <w:rStyle w:val="InternetLink"/>
            <w:rFonts w:ascii="times" w:hAnsi="times"/>
            <w:sz w:val="20"/>
          </w:rPr>
          <w:t>Form 20-F/A filed with the SEC on June 4, 2020</w:t>
        </w:r>
      </w:hyperlink>
      <w:r>
        <w:rPr>
          <w:rFonts w:ascii="times" w:hAnsi="times"/>
          <w:sz w:val="20"/>
        </w:rPr>
        <w:t xml:space="preserve">;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pPr>
      <w:r>
        <w:rPr>
          <w:rFonts w:ascii="times" w:hAnsi="times"/>
          <w:sz w:val="20"/>
        </w:rPr>
        <w:t xml:space="preserve">our Current Reports on Form 6-K furnished to the SEC on </w:t>
      </w:r>
      <w:hyperlink r:id="rId10">
        <w:r>
          <w:rPr>
            <w:rStyle w:val="InternetLink"/>
            <w:rFonts w:ascii="times" w:hAnsi="times"/>
            <w:sz w:val="20"/>
          </w:rPr>
          <w:t>February 6, 2020</w:t>
        </w:r>
      </w:hyperlink>
      <w:r>
        <w:rPr>
          <w:rFonts w:ascii="times" w:hAnsi="times"/>
          <w:sz w:val="20"/>
        </w:rPr>
        <w:t xml:space="preserve">, </w:t>
      </w:r>
      <w:hyperlink r:id="rId11">
        <w:r>
          <w:rPr>
            <w:rStyle w:val="InternetLink"/>
            <w:rFonts w:ascii="times" w:hAnsi="times"/>
            <w:sz w:val="20"/>
          </w:rPr>
          <w:t>April 2, 2020</w:t>
        </w:r>
      </w:hyperlink>
      <w:r>
        <w:rPr>
          <w:rFonts w:ascii="times" w:hAnsi="times"/>
          <w:sz w:val="20"/>
        </w:rPr>
        <w:t xml:space="preserve">, </w:t>
      </w:r>
      <w:hyperlink r:id="rId12">
        <w:r>
          <w:rPr>
            <w:rStyle w:val="InternetLink"/>
            <w:rFonts w:ascii="times" w:hAnsi="times"/>
            <w:sz w:val="20"/>
          </w:rPr>
          <w:t>May 7, 2020</w:t>
        </w:r>
      </w:hyperlink>
      <w:r>
        <w:rPr>
          <w:rFonts w:ascii="times" w:hAnsi="times"/>
          <w:sz w:val="20"/>
        </w:rPr>
        <w:t xml:space="preserve"> (other than Exhibit 99.1 thereto), </w:t>
      </w:r>
      <w:hyperlink r:id="rId13">
        <w:r>
          <w:rPr>
            <w:rStyle w:val="InternetLink"/>
            <w:rFonts w:ascii="times" w:hAnsi="times"/>
            <w:sz w:val="20"/>
          </w:rPr>
          <w:t>May 7, 2020</w:t>
        </w:r>
      </w:hyperlink>
      <w:r>
        <w:rPr>
          <w:rFonts w:ascii="times" w:hAnsi="times"/>
          <w:sz w:val="20"/>
        </w:rPr>
        <w:t xml:space="preserve">, </w:t>
      </w:r>
      <w:hyperlink r:id="rId14">
        <w:r>
          <w:rPr>
            <w:rStyle w:val="InternetLink"/>
            <w:rFonts w:ascii="times" w:hAnsi="times"/>
            <w:sz w:val="20"/>
          </w:rPr>
          <w:t>May 14, 2020</w:t>
        </w:r>
      </w:hyperlink>
      <w:r>
        <w:rPr>
          <w:rFonts w:ascii="times" w:hAnsi="times"/>
          <w:sz w:val="20"/>
        </w:rPr>
        <w:t xml:space="preserve">, </w:t>
      </w:r>
      <w:hyperlink r:id="rId15">
        <w:r>
          <w:rPr>
            <w:rStyle w:val="InternetLink"/>
            <w:rFonts w:ascii="times" w:hAnsi="times"/>
            <w:sz w:val="20"/>
          </w:rPr>
          <w:t>May 15, 2020</w:t>
        </w:r>
      </w:hyperlink>
      <w:r>
        <w:rPr>
          <w:rFonts w:ascii="times" w:hAnsi="times"/>
          <w:sz w:val="20"/>
        </w:rPr>
        <w:t xml:space="preserve">, </w:t>
      </w:r>
      <w:hyperlink r:id="rId16">
        <w:r>
          <w:rPr>
            <w:rStyle w:val="InternetLink"/>
            <w:rFonts w:ascii="times" w:hAnsi="times"/>
            <w:sz w:val="20"/>
          </w:rPr>
          <w:t>July 2, 2020</w:t>
        </w:r>
      </w:hyperlink>
      <w:r>
        <w:rPr>
          <w:rFonts w:ascii="times" w:hAnsi="times"/>
          <w:sz w:val="20"/>
        </w:rPr>
        <w:t xml:space="preserve">, </w:t>
      </w:r>
      <w:hyperlink r:id="rId17">
        <w:r>
          <w:rPr>
            <w:rStyle w:val="InternetLink"/>
            <w:rFonts w:ascii="times" w:hAnsi="times"/>
            <w:sz w:val="20"/>
          </w:rPr>
          <w:t>August 5, 2020</w:t>
        </w:r>
      </w:hyperlink>
      <w:r>
        <w:rPr>
          <w:rFonts w:ascii="times" w:hAnsi="times"/>
          <w:sz w:val="20"/>
        </w:rPr>
        <w:t xml:space="preserve"> (other than Exhibit 99.1 thereto), </w:t>
      </w:r>
      <w:hyperlink r:id="rId18">
        <w:r>
          <w:rPr>
            <w:rStyle w:val="InternetLink"/>
            <w:rFonts w:ascii="times" w:hAnsi="times"/>
            <w:sz w:val="20"/>
          </w:rPr>
          <w:t>August 5, 2020</w:t>
        </w:r>
      </w:hyperlink>
      <w:r>
        <w:rPr>
          <w:rFonts w:ascii="times" w:hAnsi="times"/>
          <w:sz w:val="20"/>
        </w:rPr>
        <w:t xml:space="preserve"> and </w:t>
      </w:r>
      <w:hyperlink r:id="rId19">
        <w:r>
          <w:rPr>
            <w:rStyle w:val="InternetLink"/>
            <w:rFonts w:ascii="times" w:hAnsi="times"/>
            <w:sz w:val="20"/>
          </w:rPr>
          <w:t>August 5, 2020</w:t>
        </w:r>
      </w:hyperlink>
      <w:r>
        <w:rPr>
          <w:rFonts w:ascii="times" w:hAnsi="times"/>
          <w:sz w:val="20"/>
        </w:rPr>
        <w:t xml:space="preserve">;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pPr>
      <w:hyperlink r:id="rId20">
        <w:r>
          <w:rPr>
            <w:rStyle w:val="InternetLink"/>
            <w:rFonts w:ascii="times" w:hAnsi="times"/>
            <w:sz w:val="20"/>
          </w:rPr>
          <w:t>the description of our Common Units which is contained in our registration statement on Form 8-A (File No. 001-36433), filed with the SEC on April 30, 2014, including any amendment or report filed for the purpose of updating such description; and</w:t>
        </w:r>
      </w:hyperlink>
      <w:r>
        <w:rPr>
          <w:rFonts w:ascii="times" w:hAnsi="times"/>
        </w:rPr>
        <w:t xml:space="preserve">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pPr>
      <w:hyperlink r:id="rId21">
        <w:r>
          <w:rPr>
            <w:rStyle w:val="InternetLink"/>
            <w:rFonts w:ascii="times" w:hAnsi="times"/>
            <w:sz w:val="20"/>
          </w:rPr>
          <w:t>the description of our Series A Preference Units which is contained in our registration statement on Form 8-A (File No. 001-36433), filed with the SEC on May 15, 2017, including any amendment or report filed for the purpose of updating such description.</w:t>
        </w:r>
      </w:hyperlink>
      <w:r>
        <w:rPr>
          <w:rFonts w:ascii="times" w:hAnsi="times"/>
        </w:rPr>
        <w:t xml:space="preserve">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pPr>
      <w:hyperlink r:id="rId22">
        <w:r>
          <w:rPr>
            <w:rStyle w:val="InternetLink"/>
            <w:rFonts w:ascii="times" w:hAnsi="times"/>
            <w:sz w:val="20"/>
          </w:rPr>
          <w:t>the description of our Series B Preference Units which is contained in our registration statement on Form 8-A (File No. 001-36433), filed with the SEC on January 17, 2018, including any amendment or report filed for the purpose of updating such description.</w:t>
        </w:r>
      </w:hyperlink>
      <w:r>
        <w:rPr>
          <w:rFonts w:ascii="times" w:hAnsi="times"/>
        </w:rPr>
        <w:t xml:space="preserve">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pPr>
      <w:hyperlink r:id="rId23">
        <w:r>
          <w:rPr>
            <w:rStyle w:val="InternetLink"/>
            <w:rFonts w:ascii="times" w:hAnsi="times"/>
            <w:sz w:val="20"/>
          </w:rPr>
          <w:t>the description of our Series C Preference Units which is contained in our registration statement on Form 8-A (File No. 001-36433), filed with the SEC on November 15, 2018, including any amendment or report filed for the purpose of updating such description.</w:t>
        </w:r>
      </w:hyperlink>
      <w:r>
        <w:rPr>
          <w:rFonts w:ascii="times" w:hAnsi="times"/>
          <w:sz w:val="20"/>
        </w:rPr>
        <w:t xml:space="preserve"> </w:t>
      </w:r>
    </w:p>
    <w:p>
      <w:pPr>
        <w:pStyle w:val="TextBody"/>
        <w:rPr/>
      </w:pPr>
      <w:r>
        <w:rPr/>
        <w:t>        </w:t>
      </w:r>
      <w:r>
        <w:rPr>
          <w:rFonts w:ascii="times" w:hAnsi="times"/>
          <w:sz w:val="20"/>
        </w:rPr>
        <w:t xml:space="preserve">We are also incorporating by reference all subsequent annual reports on Form 20-F that we file with the SEC and certain reports on Form 6-K that we furnish to the SEC after the date of this prospectus (if they state that they are incorporated by reference into this prospectus) until we file a post-effective amendment indicating that the offering of the securities made by this prospectus has been terminated. In all cases, you should rely on the later information over different information included in this prospectus or any accompanying prospectus supplement. </w:t>
      </w:r>
    </w:p>
    <w:p>
      <w:pPr>
        <w:pStyle w:val="TextBody"/>
        <w:rPr/>
      </w:pPr>
      <w:r>
        <w:rPr/>
        <w:t>        </w:t>
      </w:r>
      <w:r>
        <w:rPr>
          <w:rFonts w:ascii="times" w:hAnsi="times"/>
          <w:sz w:val="20"/>
        </w:rPr>
        <w:t xml:space="preserve">In accordance with Rule 402 of Regulation S-T, the XBRL-related information in Exhibit 101 to our Annual Report on Form 20-F and our reports on Form 6-K will not be deemed to be incorporated by reference into any registration statement or other document filed under the Securities Act of 1933, as amended, except as will be expressly set forth by specific reference in such filing. </w:t>
      </w:r>
    </w:p>
    <w:p>
      <w:pPr>
        <w:pStyle w:val="TextBody"/>
        <w:rPr/>
      </w:pPr>
      <w:r>
        <w:rPr/>
        <w:t>        </w:t>
      </w:r>
      <w:r>
        <w:rPr>
          <w:rFonts w:ascii="times" w:hAnsi="times"/>
          <w:sz w:val="20"/>
        </w:rPr>
        <w:t xml:space="preserve">We will provide, free of charge upon written or oral request, to each person to whom this prospectus is delivered, including any beneficial owner of the securities, a copy of any or all of the information that has been incorporated by reference into this prospectus, but which has not been delivered with the prospectus. Copies of these documents also may be obtained on the "Investor Relations" section of our website at </w:t>
      </w:r>
      <w:r>
        <w:rPr>
          <w:rFonts w:ascii="times" w:hAnsi="times"/>
          <w:i/>
          <w:sz w:val="20"/>
        </w:rPr>
        <w:t>www.gaslogmlp.com.</w:t>
      </w:r>
      <w:r>
        <w:rPr>
          <w:rFonts w:ascii="times" w:hAnsi="times"/>
        </w:rPr>
        <w:t xml:space="preserve"> </w:t>
      </w:r>
      <w:r>
        <w:rPr>
          <w:rFonts w:ascii="times" w:hAnsi="times"/>
          <w:sz w:val="20"/>
        </w:rPr>
        <w:t xml:space="preserve">The information contained on or connected to </w:t>
      </w:r>
    </w:p>
    <w:p>
      <w:pPr>
        <w:pStyle w:val="TextBody"/>
        <w:jc w:val="center"/>
        <w:rPr>
          <w:rFonts w:ascii="times" w:hAnsi="times"/>
          <w:sz w:val="20"/>
        </w:rPr>
      </w:pPr>
      <w:r>
        <w:rPr>
          <w:rFonts w:ascii="times" w:hAnsi="times"/>
          <w:sz w:val="20"/>
        </w:rPr>
        <w:t>10</w:t>
      </w:r>
    </w:p>
    <w:p>
      <w:pPr>
        <w:pStyle w:val="HorizontalLine"/>
        <w:pBdr>
          <w:bottom w:val="single" w:sz="20" w:space="0" w:color="808080"/>
        </w:pBdr>
        <w:rPr/>
      </w:pPr>
      <w:r>
        <w:rPr/>
      </w:r>
      <w:r>
        <w:br w:type="page"/>
      </w:r>
    </w:p>
    <w:p>
      <w:pPr>
        <w:pStyle w:val="TextBody"/>
        <w:rPr/>
      </w:pPr>
      <w:hyperlink w:anchor="dg43504a_main_toc">
        <w:bookmarkStart w:id="236" w:name="page_ec43504_1_11"/>
        <w:bookmarkEnd w:id="236"/>
        <w:r>
          <w:rPr>
            <w:rStyle w:val="InternetLink"/>
            <w:rFonts w:ascii="times" w:hAnsi="times"/>
            <w:sz w:val="20"/>
          </w:rPr>
          <w:t>Table of Contents</w:t>
        </w:r>
      </w:hyperlink>
    </w:p>
    <w:p>
      <w:pPr>
        <w:pStyle w:val="TextBody"/>
        <w:rPr>
          <w:rFonts w:ascii="times" w:hAnsi="times"/>
          <w:sz w:val="20"/>
        </w:rPr>
      </w:pPr>
      <w:r>
        <w:rPr>
          <w:rFonts w:ascii="times" w:hAnsi="times"/>
          <w:sz w:val="20"/>
        </w:rPr>
        <w:t xml:space="preserve">our website is not a part of this prospectus. Requests for such information should be made to us at the following address: </w:t>
      </w:r>
    </w:p>
    <w:p>
      <w:pPr>
        <w:pStyle w:val="TextBody"/>
        <w:jc w:val="center"/>
        <w:rPr>
          <w:rFonts w:ascii="times" w:hAnsi="times"/>
          <w:sz w:val="20"/>
        </w:rPr>
      </w:pPr>
      <w:r>
        <w:rPr>
          <w:rFonts w:ascii="times" w:hAnsi="times"/>
          <w:sz w:val="20"/>
        </w:rPr>
        <w:t>GasLog Partners LP</w:t>
        <w:br/>
        <w:t>c/o GasLog LNG Services Ltd</w:t>
        <w:br/>
        <w:t>69 Akti Miaouli</w:t>
        <w:br/>
        <w:t>18537 Piraeus Greece</w:t>
        <w:br/>
        <w:t>+30 210 459 1000</w:t>
        <w:br/>
        <w:t xml:space="preserve">Attention: General Counsel </w:t>
      </w:r>
    </w:p>
    <w:p>
      <w:pPr>
        <w:pStyle w:val="TextBody"/>
        <w:rPr/>
      </w:pPr>
      <w:r>
        <w:rPr/>
        <w:t>        </w:t>
      </w:r>
      <w:r>
        <w:rPr>
          <w:rFonts w:ascii="times" w:hAnsi="times"/>
          <w:sz w:val="20"/>
        </w:rPr>
        <w:t xml:space="preserve">You should assume that the information appearing in this prospectus and any accompanying prospectus supplement, as well as the information we previously filed with the SEC and incorporated by reference, is accurate as of the dates on the front cover of those documents only. Our business, financial condition and results of operations and prospects may have changed since those dates. </w:t>
      </w:r>
    </w:p>
    <w:p>
      <w:pPr>
        <w:pStyle w:val="TextBody"/>
        <w:jc w:val="center"/>
        <w:rPr>
          <w:rFonts w:ascii="times" w:hAnsi="times"/>
          <w:sz w:val="20"/>
        </w:rPr>
      </w:pPr>
      <w:r>
        <w:rPr>
          <w:rFonts w:ascii="times" w:hAnsi="times"/>
          <w:sz w:val="20"/>
        </w:rPr>
        <w:t>11</w:t>
      </w:r>
    </w:p>
    <w:p>
      <w:pPr>
        <w:pStyle w:val="HorizontalLine"/>
        <w:pBdr>
          <w:bottom w:val="single" w:sz="20" w:space="0" w:color="808080"/>
        </w:pBdr>
        <w:rPr/>
      </w:pPr>
      <w:r>
        <w:rPr/>
      </w:r>
      <w:r>
        <w:br w:type="page"/>
      </w:r>
    </w:p>
    <w:p>
      <w:pPr>
        <w:pStyle w:val="TextBody"/>
        <w:rPr/>
      </w:pPr>
      <w:hyperlink w:anchor="dg43504a_main_toc">
        <w:bookmarkStart w:id="237" w:name="page_ec43504_1_12"/>
        <w:bookmarkEnd w:id="237"/>
        <w:r>
          <w:rPr>
            <w:rStyle w:val="InternetLink"/>
            <w:rFonts w:ascii="times" w:hAnsi="times"/>
            <w:sz w:val="20"/>
          </w:rPr>
          <w:t>Table of Contents</w:t>
        </w:r>
      </w:hyperlink>
    </w:p>
    <w:p>
      <w:pPr>
        <w:pStyle w:val="TextBody"/>
        <w:jc w:val="center"/>
        <w:rPr>
          <w:rFonts w:ascii="times" w:hAnsi="times"/>
        </w:rPr>
      </w:pPr>
      <w:bookmarkStart w:id="238" w:name="toc_ec43504_6"/>
      <w:bookmarkStart w:id="239" w:name="ec43504_use_of_proceeds"/>
      <w:bookmarkEnd w:id="238"/>
      <w:bookmarkEnd w:id="239"/>
      <w:r>
        <w:rPr>
          <w:rFonts w:ascii="times" w:hAnsi="times"/>
          <w:sz w:val="20"/>
        </w:rPr>
        <w:br/>
      </w:r>
      <w:r>
        <w:rPr>
          <w:rFonts w:ascii="times" w:hAnsi="times"/>
          <w:b/>
          <w:sz w:val="20"/>
        </w:rPr>
        <w:t xml:space="preserve">USE OF PROCEEDS </w:t>
      </w:r>
    </w:p>
    <w:p>
      <w:pPr>
        <w:pStyle w:val="TextBody"/>
        <w:rPr/>
      </w:pPr>
      <w:r>
        <w:rPr/>
        <w:t>        </w:t>
      </w:r>
      <w:r>
        <w:rPr>
          <w:rFonts w:ascii="times" w:hAnsi="times"/>
          <w:sz w:val="20"/>
        </w:rPr>
        <w:t xml:space="preserve">Unless otherwise set forth in the applicable prospectus, we intend to use the net proceeds received from the sale of the securities we offer by this prospectus for general corporate purposes. </w:t>
      </w:r>
    </w:p>
    <w:p>
      <w:pPr>
        <w:pStyle w:val="TextBody"/>
        <w:rPr/>
      </w:pPr>
      <w:r>
        <w:rPr/>
        <w:t>        </w:t>
      </w:r>
      <w:r>
        <w:rPr>
          <w:rFonts w:ascii="times" w:hAnsi="times"/>
          <w:sz w:val="20"/>
        </w:rPr>
        <w:t xml:space="preserve">We may raise additional funds from time to time through equity or debt financings not involving the issuance of securities described in this prospectus, including borrowings under credit facilities, to finance our business and operations and new vessel acquisitions. </w:t>
      </w:r>
    </w:p>
    <w:p>
      <w:pPr>
        <w:pStyle w:val="TextBody"/>
        <w:jc w:val="center"/>
        <w:rPr>
          <w:rFonts w:ascii="times" w:hAnsi="times"/>
        </w:rPr>
      </w:pPr>
      <w:bookmarkStart w:id="240" w:name="toc_ec43504_7"/>
      <w:bookmarkStart w:id="241" w:name="ec43504_capitalization_and_indebtedness"/>
      <w:bookmarkEnd w:id="240"/>
      <w:bookmarkEnd w:id="241"/>
      <w:r>
        <w:rPr>
          <w:rFonts w:ascii="times" w:hAnsi="times"/>
          <w:sz w:val="20"/>
        </w:rPr>
        <w:br/>
      </w:r>
      <w:r>
        <w:rPr>
          <w:rFonts w:ascii="times" w:hAnsi="times"/>
          <w:b/>
          <w:sz w:val="20"/>
        </w:rPr>
        <w:t xml:space="preserve">CAPITALIZATION AND INDEBTEDNESS </w:t>
      </w:r>
    </w:p>
    <w:p>
      <w:pPr>
        <w:pStyle w:val="TextBody"/>
        <w:rPr/>
      </w:pPr>
      <w:r>
        <w:rPr/>
        <w:t>        </w:t>
      </w:r>
      <w:r>
        <w:rPr>
          <w:rFonts w:ascii="times" w:hAnsi="times"/>
          <w:sz w:val="20"/>
        </w:rPr>
        <w:t xml:space="preserve">Our capitalization and indebtedness will be set forth in a prospectus supplement to this prospectus or in a report on Form 6-K subsequently furnished to the SEC and specifically incorporated herein by reference. </w:t>
      </w:r>
    </w:p>
    <w:p>
      <w:pPr>
        <w:pStyle w:val="TextBody"/>
        <w:jc w:val="center"/>
        <w:rPr>
          <w:rFonts w:ascii="times" w:hAnsi="times"/>
        </w:rPr>
      </w:pPr>
      <w:bookmarkStart w:id="242" w:name="toc_ec43504_8"/>
      <w:bookmarkStart w:id="243" w:name="ec43504_description_of_common_units"/>
      <w:bookmarkEnd w:id="242"/>
      <w:bookmarkEnd w:id="243"/>
      <w:r>
        <w:rPr>
          <w:rFonts w:ascii="times" w:hAnsi="times"/>
          <w:sz w:val="20"/>
        </w:rPr>
        <w:br/>
      </w:r>
      <w:r>
        <w:rPr>
          <w:rFonts w:ascii="times" w:hAnsi="times"/>
          <w:b/>
          <w:sz w:val="20"/>
        </w:rPr>
        <w:t xml:space="preserve">DESCRIPTION OF COMMON UNITS </w:t>
      </w:r>
    </w:p>
    <w:p>
      <w:pPr>
        <w:pStyle w:val="TextBody"/>
        <w:rPr/>
      </w:pPr>
      <w:r>
        <w:rPr/>
        <w:t>        </w:t>
      </w:r>
      <w:r>
        <w:rPr>
          <w:rFonts w:ascii="times" w:hAnsi="times"/>
          <w:sz w:val="20"/>
        </w:rPr>
        <w:t xml:space="preserve">A description of our Common Units can be found in our registration statement on Form 8-A (File No. 001-36433), filed with the SEC on April 30, 2014, including any amendment or report filed for the purpose of updating such description. </w:t>
      </w:r>
    </w:p>
    <w:p>
      <w:pPr>
        <w:pStyle w:val="TextBody"/>
        <w:jc w:val="center"/>
        <w:rPr>
          <w:rFonts w:ascii="times" w:hAnsi="times"/>
          <w:sz w:val="20"/>
        </w:rPr>
      </w:pPr>
      <w:r>
        <w:rPr>
          <w:rFonts w:ascii="times" w:hAnsi="times"/>
          <w:sz w:val="20"/>
        </w:rPr>
        <w:t>12</w:t>
      </w:r>
    </w:p>
    <w:p>
      <w:pPr>
        <w:pStyle w:val="HorizontalLine"/>
        <w:pBdr>
          <w:bottom w:val="single" w:sz="20" w:space="0" w:color="808080"/>
        </w:pBdr>
        <w:rPr/>
      </w:pPr>
      <w:r>
        <w:rPr/>
      </w:r>
      <w:r>
        <w:br w:type="page"/>
      </w:r>
    </w:p>
    <w:p>
      <w:pPr>
        <w:pStyle w:val="TextBody"/>
        <w:rPr/>
      </w:pPr>
      <w:hyperlink w:anchor="dg43504a_main_toc">
        <w:bookmarkStart w:id="244" w:name="page_ee43504_1_13"/>
        <w:bookmarkEnd w:id="244"/>
        <w:r>
          <w:rPr>
            <w:rStyle w:val="InternetLink"/>
            <w:rFonts w:ascii="times" w:hAnsi="times"/>
            <w:sz w:val="20"/>
          </w:rPr>
          <w:t>Table of Contents</w:t>
        </w:r>
      </w:hyperlink>
      <w:r>
        <w:rPr>
          <w:rFonts w:ascii="times" w:hAnsi="times"/>
          <w:sz w:val="20"/>
        </w:rPr>
        <w:t xml:space="preserve"> </w:t>
      </w:r>
    </w:p>
    <w:p>
      <w:pPr>
        <w:pStyle w:val="TextBody"/>
        <w:jc w:val="center"/>
        <w:rPr>
          <w:rFonts w:ascii="times" w:hAnsi="times"/>
        </w:rPr>
      </w:pPr>
      <w:bookmarkStart w:id="245" w:name="toc_ee43504_1"/>
      <w:bookmarkStart w:id="246" w:name="ee43504_description_of_class_b_units"/>
      <w:bookmarkEnd w:id="245"/>
      <w:bookmarkEnd w:id="246"/>
      <w:r>
        <w:rPr>
          <w:rFonts w:ascii="times" w:hAnsi="times"/>
          <w:sz w:val="20"/>
        </w:rPr>
        <w:br/>
      </w:r>
      <w:r>
        <w:rPr>
          <w:rFonts w:ascii="times" w:hAnsi="times"/>
          <w:b/>
          <w:sz w:val="20"/>
        </w:rPr>
        <w:t xml:space="preserve">DESCRIPTION OF CLASS B UNITS </w:t>
      </w:r>
    </w:p>
    <w:p>
      <w:pPr>
        <w:pStyle w:val="TextBody"/>
        <w:rPr/>
      </w:pPr>
      <w:r>
        <w:rPr/>
        <w:t>        </w:t>
      </w:r>
      <w:r>
        <w:rPr>
          <w:rFonts w:ascii="times" w:hAnsi="times"/>
          <w:i/>
          <w:sz w:val="20"/>
        </w:rPr>
        <w:t>The following description of the Class B Units does not purport to be complete and is subject to, and qualified in its entirety by reference to, the provisions of the partnership agreement, which sets forth the terms of the Class B Units. A copy of the partnership agreement may be obtained from us as described under "Where You Can Find Additional Information" and "Incorporation of Certain Information by Reference".</w:t>
      </w:r>
    </w:p>
    <w:p>
      <w:pPr>
        <w:pStyle w:val="TextBody"/>
        <w:ind w:left="200" w:right="0" w:hanging="200"/>
        <w:rPr>
          <w:rFonts w:ascii="times" w:hAnsi="times"/>
          <w:b/>
          <w:sz w:val="20"/>
        </w:rPr>
      </w:pPr>
      <w:bookmarkStart w:id="247" w:name="toc_ee43504_2"/>
      <w:bookmarkStart w:id="248" w:name="ee43504_general"/>
      <w:bookmarkEnd w:id="247"/>
      <w:bookmarkEnd w:id="248"/>
      <w:r>
        <w:rPr>
          <w:rFonts w:ascii="times" w:hAnsi="times"/>
          <w:b/>
          <w:sz w:val="20"/>
        </w:rPr>
        <w:t xml:space="preserve">General </w:t>
      </w:r>
    </w:p>
    <w:p>
      <w:pPr>
        <w:pStyle w:val="TextBody"/>
        <w:rPr/>
      </w:pPr>
      <w:r>
        <w:rPr/>
        <w:t>        </w:t>
      </w:r>
      <w:r>
        <w:rPr>
          <w:rFonts w:ascii="times" w:hAnsi="times"/>
          <w:sz w:val="20"/>
        </w:rPr>
        <w:t xml:space="preserve">The Class B Units, which consist of a total of 2,075,000 Class B Units (of which 415,000 are designated Class B-2 Units, 415,000 are designated Class B-3 Units, 415,000 are designated Class B-4 Units, 415,000 are designated Class B-5 Units and 415,000 are designated Class B-6 Units), represent limited partner interests in us. GasLog currently owns 100% of our Class B Units. </w:t>
      </w:r>
    </w:p>
    <w:p>
      <w:pPr>
        <w:pStyle w:val="TextBody"/>
        <w:rPr/>
      </w:pPr>
      <w:r>
        <w:rPr/>
        <w:t>        </w:t>
      </w:r>
      <w:r>
        <w:rPr>
          <w:rFonts w:ascii="times" w:hAnsi="times"/>
          <w:sz w:val="20"/>
        </w:rPr>
        <w:t xml:space="preserve">The holders of Class B Units have all of the rights and privileges of limited partners under our partnership agreement, except (i) with respect to the right to vote on or approve matters and (ii) for the right to participate in distributions made with respect to Common Units, in each case until such Class B Units convert into Common Units. For a description of the rights and privileges of limited partners under our partnership agreement, including the voting rights available to the holders of the Class B Units upon conversion into Common Units, see "Summary of our Partnership Agreement" below. </w:t>
      </w:r>
    </w:p>
    <w:p>
      <w:pPr>
        <w:pStyle w:val="TextBody"/>
        <w:ind w:left="200" w:right="0" w:hanging="200"/>
        <w:rPr>
          <w:rFonts w:ascii="times" w:hAnsi="times"/>
          <w:b/>
          <w:sz w:val="20"/>
        </w:rPr>
      </w:pPr>
      <w:bookmarkStart w:id="249" w:name="toc_ee43504_3"/>
      <w:bookmarkStart w:id="250" w:name="ee43504_voting_rights"/>
      <w:bookmarkEnd w:id="249"/>
      <w:bookmarkEnd w:id="250"/>
      <w:r>
        <w:rPr>
          <w:rFonts w:ascii="times" w:hAnsi="times"/>
          <w:b/>
          <w:sz w:val="20"/>
        </w:rPr>
        <w:t xml:space="preserve">Voting Rights </w:t>
      </w:r>
    </w:p>
    <w:p>
      <w:pPr>
        <w:pStyle w:val="TextBody"/>
        <w:rPr/>
      </w:pPr>
      <w:r>
        <w:rPr/>
        <w:t>        </w:t>
      </w:r>
      <w:r>
        <w:rPr>
          <w:rFonts w:ascii="times" w:hAnsi="times"/>
          <w:sz w:val="20"/>
        </w:rPr>
        <w:t xml:space="preserve">The holders of Class B Units do not have any voting rights and are not entitled to vote on or approve any matters, except for (i) the removal of an appointed director with cause or (ii) an amendment of the partnership agreement in certain limited circumstances, as set forth therein. </w:t>
      </w:r>
    </w:p>
    <w:p>
      <w:pPr>
        <w:pStyle w:val="TextBody"/>
        <w:ind w:left="200" w:right="0" w:hanging="200"/>
        <w:rPr>
          <w:rFonts w:ascii="times" w:hAnsi="times"/>
          <w:b/>
          <w:sz w:val="20"/>
        </w:rPr>
      </w:pPr>
      <w:bookmarkStart w:id="251" w:name="toc_ee43504_4"/>
      <w:bookmarkStart w:id="252" w:name="ee43504_distributions"/>
      <w:bookmarkEnd w:id="251"/>
      <w:bookmarkEnd w:id="252"/>
      <w:r>
        <w:rPr>
          <w:rFonts w:ascii="times" w:hAnsi="times"/>
          <w:b/>
          <w:sz w:val="20"/>
        </w:rPr>
        <w:t xml:space="preserve">Distributions </w:t>
      </w:r>
    </w:p>
    <w:p>
      <w:pPr>
        <w:pStyle w:val="TextBody"/>
        <w:rPr/>
      </w:pPr>
      <w:r>
        <w:rPr/>
        <w:t>        </w:t>
      </w:r>
      <w:r>
        <w:rPr>
          <w:rFonts w:ascii="times" w:hAnsi="times"/>
          <w:sz w:val="20"/>
        </w:rPr>
        <w:t xml:space="preserve">The holders of Class B Units do not have the right to participate in any distributions made with respect to Common Units, until the conversion of a Class B Unit into a Common Unit. Immediately upon the conversion of a Class B Unit into a Common Unit, the holder of such Common Unit issued upon conversion of such Class B Unit shall possess all of the rights and obligations of a holder of a Common Unit, including the right to participate in distributions made with respect to Common Units. The holder of a Class B Unit that is entitled to convert but has not yet converted does not have the right to participate in distributions made with respect to Common Units until such Class B Unit is converted into a Common Unit. </w:t>
      </w:r>
    </w:p>
    <w:p>
      <w:pPr>
        <w:pStyle w:val="TextBody"/>
        <w:ind w:left="200" w:right="0" w:hanging="200"/>
        <w:rPr>
          <w:rFonts w:ascii="times" w:hAnsi="times"/>
          <w:b/>
          <w:sz w:val="20"/>
        </w:rPr>
      </w:pPr>
      <w:bookmarkStart w:id="253" w:name="toc_ee43504_5"/>
      <w:bookmarkStart w:id="254" w:name="ee43504_conversion"/>
      <w:bookmarkEnd w:id="253"/>
      <w:bookmarkEnd w:id="254"/>
      <w:r>
        <w:rPr>
          <w:rFonts w:ascii="times" w:hAnsi="times"/>
          <w:b/>
          <w:sz w:val="20"/>
        </w:rPr>
        <w:t xml:space="preserve">Conversion </w:t>
      </w:r>
    </w:p>
    <w:p>
      <w:pPr>
        <w:pStyle w:val="TextBody"/>
        <w:rPr/>
      </w:pPr>
      <w:r>
        <w:rPr/>
        <w:t>        </w:t>
      </w:r>
      <w:r>
        <w:rPr>
          <w:rFonts w:ascii="times" w:hAnsi="times"/>
          <w:sz w:val="20"/>
        </w:rPr>
        <w:t xml:space="preserve">The Class B-2 Units, Class B-3 Units, Class B-4 Units, Class B-5 Units and Class B-6 Units are eligible for conversion on July 1, 2021, July 1, 2022, July 1, 2023, July 1, 2024 and July 1, 2025, respectively (each, a "Class B Convertible Date"). The Class B-1 units were converted into Common Units on July 1, 2020. </w:t>
      </w:r>
    </w:p>
    <w:p>
      <w:pPr>
        <w:pStyle w:val="TextBody"/>
        <w:rPr/>
      </w:pPr>
      <w:r>
        <w:rPr/>
        <w:t>        </w:t>
      </w:r>
      <w:r>
        <w:rPr>
          <w:rFonts w:ascii="times" w:hAnsi="times"/>
          <w:sz w:val="20"/>
        </w:rPr>
        <w:t xml:space="preserve">At any time, and from time to time, on or after each Class B Unit becomes eligible for conversion, the holder of such Class B Unit shall have the option, in its sole discretion, to convert such Class B Unit into a Common Unit on a one-for-one basis. All Class B Units that have not yet been converted will automatically convert into Common Units on a one-for-one basis (i) immediately before the consummation of a change of control, (ii) immediately before the consummation of a merger, consolidation or conversion of the Partnership (except for a merger, consolidation, acquisition or any other transaction pursuant to which GasLog or any of its affiliates would acquire all of the </w:t>
      </w:r>
    </w:p>
    <w:p>
      <w:pPr>
        <w:pStyle w:val="TextBody"/>
        <w:jc w:val="center"/>
        <w:rPr>
          <w:rFonts w:ascii="times" w:hAnsi="times"/>
          <w:sz w:val="20"/>
        </w:rPr>
      </w:pPr>
      <w:r>
        <w:rPr>
          <w:rFonts w:ascii="times" w:hAnsi="times"/>
          <w:sz w:val="20"/>
        </w:rPr>
        <w:t>13</w:t>
      </w:r>
    </w:p>
    <w:p>
      <w:pPr>
        <w:pStyle w:val="HorizontalLine"/>
        <w:pBdr>
          <w:bottom w:val="single" w:sz="20" w:space="0" w:color="808080"/>
        </w:pBdr>
        <w:rPr/>
      </w:pPr>
      <w:r>
        <w:rPr/>
      </w:r>
      <w:r>
        <w:br w:type="page"/>
      </w:r>
    </w:p>
    <w:p>
      <w:pPr>
        <w:pStyle w:val="TextBody"/>
        <w:rPr/>
      </w:pPr>
      <w:hyperlink w:anchor="dg43504a_main_toc">
        <w:bookmarkStart w:id="255" w:name="page_ee43504_1_14"/>
        <w:bookmarkEnd w:id="255"/>
        <w:r>
          <w:rPr>
            <w:rStyle w:val="InternetLink"/>
            <w:rFonts w:ascii="times" w:hAnsi="times"/>
            <w:sz w:val="20"/>
          </w:rPr>
          <w:t>Table of Contents</w:t>
        </w:r>
      </w:hyperlink>
    </w:p>
    <w:p>
      <w:pPr>
        <w:pStyle w:val="TextBody"/>
        <w:rPr>
          <w:rFonts w:ascii="times" w:hAnsi="times"/>
          <w:sz w:val="20"/>
        </w:rPr>
      </w:pPr>
      <w:r>
        <w:rPr>
          <w:rFonts w:ascii="times" w:hAnsi="times"/>
          <w:sz w:val="20"/>
        </w:rPr>
        <w:t xml:space="preserve">Partnership's outstanding Common Units), (iii) immediately upon the dissolution of the Partnership but before any liquidating distributions are made and (iv) upon the removal of the general partner in certain limited circumstances, each as set forth in the partnership agreement. </w:t>
      </w:r>
    </w:p>
    <w:p>
      <w:pPr>
        <w:pStyle w:val="TextBody"/>
        <w:rPr/>
      </w:pPr>
      <w:r>
        <w:rPr/>
        <w:t>        </w:t>
      </w:r>
      <w:r>
        <w:rPr>
          <w:rFonts w:ascii="times" w:hAnsi="times"/>
          <w:sz w:val="20"/>
        </w:rPr>
        <w:t xml:space="preserve">Upon conversion, the rights of a holder of converted Class B Units as holder of Class B Units shall cease with respect to such converted Class B Units and such holder shall continue to be a limited partner and have the rights of a holder of Common Units. All Class B Units will, upon conversion into Common Units, be deemed to be transferred to, and cancelled by, the Partnership in exchange for the Common Units into which the Class B Units converted. </w:t>
      </w:r>
    </w:p>
    <w:p>
      <w:pPr>
        <w:pStyle w:val="TextBody"/>
        <w:ind w:left="200" w:right="0" w:hanging="200"/>
        <w:rPr>
          <w:rFonts w:ascii="times" w:hAnsi="times"/>
          <w:b/>
          <w:sz w:val="20"/>
        </w:rPr>
      </w:pPr>
      <w:bookmarkStart w:id="256" w:name="toc_ee43504_6"/>
      <w:bookmarkStart w:id="257" w:name="ee43504_class_b_cancellation_event"/>
      <w:bookmarkEnd w:id="256"/>
      <w:bookmarkEnd w:id="257"/>
      <w:r>
        <w:rPr>
          <w:rFonts w:ascii="times" w:hAnsi="times"/>
          <w:b/>
          <w:sz w:val="20"/>
        </w:rPr>
        <w:t xml:space="preserve">Class B Cancellation Event </w:t>
      </w:r>
    </w:p>
    <w:p>
      <w:pPr>
        <w:pStyle w:val="TextBody"/>
        <w:rPr/>
      </w:pPr>
      <w:r>
        <w:rPr/>
        <w:t>        </w:t>
      </w:r>
      <w:r>
        <w:rPr>
          <w:rFonts w:ascii="times" w:hAnsi="times"/>
          <w:sz w:val="20"/>
        </w:rPr>
        <w:t xml:space="preserve">Immediately before the consummation of a merger, consolidation, acquisition or any other transaction pursuant to which GasLog or any of its affiliates acquires all of the Partnership's outstanding Common Units, (i) all Class B Units will automatically be canceled and eliminated, cease to exist and no longer be outstanding and (ii) each holder of such canceled Class B Units will automatically cease to have any rights with respect thereto. </w:t>
      </w:r>
    </w:p>
    <w:p>
      <w:pPr>
        <w:pStyle w:val="TextBody"/>
        <w:ind w:left="200" w:right="0" w:hanging="200"/>
        <w:rPr>
          <w:rFonts w:ascii="times" w:hAnsi="times"/>
          <w:b/>
          <w:sz w:val="20"/>
        </w:rPr>
      </w:pPr>
      <w:bookmarkStart w:id="258" w:name="toc_ee43504_7"/>
      <w:bookmarkStart w:id="259" w:name="ee43504_transfer_of_class_b_units"/>
      <w:bookmarkEnd w:id="258"/>
      <w:bookmarkEnd w:id="259"/>
      <w:r>
        <w:rPr>
          <w:rFonts w:ascii="times" w:hAnsi="times"/>
          <w:b/>
          <w:sz w:val="20"/>
        </w:rPr>
        <w:t xml:space="preserve">Transfer of Class B Units </w:t>
      </w:r>
    </w:p>
    <w:p>
      <w:pPr>
        <w:pStyle w:val="TextBody"/>
        <w:rPr/>
      </w:pPr>
      <w:r>
        <w:rPr/>
        <w:t>        </w:t>
      </w:r>
      <w:r>
        <w:rPr>
          <w:rFonts w:ascii="times" w:hAnsi="times"/>
          <w:sz w:val="20"/>
        </w:rPr>
        <w:t xml:space="preserve">Prior to a Class B Unit's applicable Class B Convertible Date, a holder of such Class B Unit may transfer such Class B Unit without any consent to (A) an affiliate of such holder (other than an individual) or (B) another person (other than an individual) in connection with (x) the merger or consolidation of such holder with or into such other person or (y) the transfer by such holder of all or substantially all of its assets to such other person. Any other transfer by such holder prior to such Class B Unit's applicable Class B Convertible Date requires the prior approval of holders of a majority of Common Units, excluding Common Units held by GasLog and its affiliates. On or after such Class B Unit's applicable Class B Convertible Date, such holder may transfer such Class B Unit without approval of the majority of Common Units. </w:t>
      </w:r>
    </w:p>
    <w:p>
      <w:pPr>
        <w:pStyle w:val="TextBody"/>
        <w:jc w:val="center"/>
        <w:rPr>
          <w:rFonts w:ascii="times" w:hAnsi="times"/>
          <w:sz w:val="20"/>
        </w:rPr>
      </w:pPr>
      <w:r>
        <w:rPr>
          <w:rFonts w:ascii="times" w:hAnsi="times"/>
          <w:sz w:val="20"/>
        </w:rPr>
        <w:t>14</w:t>
      </w:r>
    </w:p>
    <w:p>
      <w:pPr>
        <w:pStyle w:val="HorizontalLine"/>
        <w:pBdr>
          <w:bottom w:val="single" w:sz="20" w:space="0" w:color="808080"/>
        </w:pBdr>
        <w:rPr/>
      </w:pPr>
      <w:r>
        <w:rPr/>
      </w:r>
      <w:r>
        <w:br w:type="page"/>
      </w:r>
    </w:p>
    <w:p>
      <w:pPr>
        <w:pStyle w:val="TextBody"/>
        <w:rPr/>
      </w:pPr>
      <w:hyperlink w:anchor="dg43504a_main_toc">
        <w:bookmarkStart w:id="260" w:name="page_ee43504_1_15"/>
        <w:bookmarkEnd w:id="260"/>
        <w:r>
          <w:rPr>
            <w:rStyle w:val="InternetLink"/>
            <w:rFonts w:ascii="times" w:hAnsi="times"/>
            <w:sz w:val="20"/>
          </w:rPr>
          <w:t>Table of Contents</w:t>
        </w:r>
      </w:hyperlink>
    </w:p>
    <w:p>
      <w:pPr>
        <w:pStyle w:val="TextBody"/>
        <w:jc w:val="center"/>
        <w:rPr>
          <w:rFonts w:ascii="times" w:hAnsi="times"/>
        </w:rPr>
      </w:pPr>
      <w:bookmarkStart w:id="261" w:name="toc_ee43504_8"/>
      <w:bookmarkStart w:id="262" w:name="ee43504_description_of_series_a_preferen"/>
      <w:bookmarkEnd w:id="261"/>
      <w:bookmarkEnd w:id="262"/>
      <w:r>
        <w:rPr>
          <w:rFonts w:ascii="times" w:hAnsi="times"/>
          <w:sz w:val="20"/>
        </w:rPr>
        <w:br/>
      </w:r>
      <w:r>
        <w:rPr>
          <w:rFonts w:ascii="times" w:hAnsi="times"/>
          <w:b/>
          <w:sz w:val="20"/>
        </w:rPr>
        <w:t xml:space="preserve">DESCRIPTION OF SERIES A PREFERENCE UNITS </w:t>
      </w:r>
    </w:p>
    <w:p>
      <w:pPr>
        <w:pStyle w:val="TextBody"/>
        <w:rPr/>
      </w:pPr>
      <w:r>
        <w:rPr/>
        <w:t>        </w:t>
      </w:r>
      <w:r>
        <w:rPr>
          <w:rFonts w:ascii="times" w:hAnsi="times"/>
          <w:sz w:val="20"/>
        </w:rPr>
        <w:t xml:space="preserve">A description of our Series A Preference Units can be found in our registration statement on Form 8-A (File No. 001-36433), filed with the SEC on May 15, 2017, including any amendment or report filed for the purpose of updating such description. </w:t>
      </w:r>
    </w:p>
    <w:p>
      <w:pPr>
        <w:pStyle w:val="TextBody"/>
        <w:jc w:val="center"/>
        <w:rPr>
          <w:rFonts w:ascii="times" w:hAnsi="times"/>
        </w:rPr>
      </w:pPr>
      <w:bookmarkStart w:id="263" w:name="toc_ee43504_9"/>
      <w:bookmarkStart w:id="264" w:name="ee43504_description_of_series_b_preferen"/>
      <w:bookmarkEnd w:id="263"/>
      <w:bookmarkEnd w:id="264"/>
      <w:r>
        <w:rPr>
          <w:rFonts w:ascii="times" w:hAnsi="times"/>
          <w:sz w:val="20"/>
        </w:rPr>
        <w:br/>
      </w:r>
      <w:r>
        <w:rPr>
          <w:rFonts w:ascii="times" w:hAnsi="times"/>
          <w:b/>
          <w:sz w:val="20"/>
        </w:rPr>
        <w:t xml:space="preserve">DESCRIPTION OF SERIES B PREFERENCE UNITS </w:t>
      </w:r>
    </w:p>
    <w:p>
      <w:pPr>
        <w:pStyle w:val="TextBody"/>
        <w:rPr/>
      </w:pPr>
      <w:r>
        <w:rPr/>
        <w:t>        </w:t>
      </w:r>
      <w:r>
        <w:rPr>
          <w:rFonts w:ascii="times" w:hAnsi="times"/>
          <w:sz w:val="20"/>
        </w:rPr>
        <w:t xml:space="preserve">A description of our Series B Preference Units can be found in our registration statement on Form 8-A (File No. 001-36433), filed with the SEC on January 17, 2018, including any amendment or report filed for the purpose of updating such description. </w:t>
      </w:r>
    </w:p>
    <w:p>
      <w:pPr>
        <w:pStyle w:val="TextBody"/>
        <w:jc w:val="center"/>
        <w:rPr>
          <w:rFonts w:ascii="times" w:hAnsi="times"/>
        </w:rPr>
      </w:pPr>
      <w:bookmarkStart w:id="265" w:name="toc_ee43504_10"/>
      <w:bookmarkStart w:id="266" w:name="ee43504_description_of_series_c_preferen"/>
      <w:bookmarkEnd w:id="265"/>
      <w:bookmarkEnd w:id="266"/>
      <w:r>
        <w:rPr>
          <w:rFonts w:ascii="times" w:hAnsi="times"/>
          <w:sz w:val="20"/>
        </w:rPr>
        <w:br/>
      </w:r>
      <w:r>
        <w:rPr>
          <w:rFonts w:ascii="times" w:hAnsi="times"/>
          <w:b/>
          <w:sz w:val="20"/>
        </w:rPr>
        <w:t xml:space="preserve">DESCRIPTION OF SERIES C PREFERENCE UNITS </w:t>
      </w:r>
    </w:p>
    <w:p>
      <w:pPr>
        <w:pStyle w:val="TextBody"/>
        <w:rPr/>
      </w:pPr>
      <w:r>
        <w:rPr/>
        <w:t>        </w:t>
      </w:r>
      <w:r>
        <w:rPr>
          <w:rFonts w:ascii="times" w:hAnsi="times"/>
          <w:sz w:val="20"/>
        </w:rPr>
        <w:t xml:space="preserve">A description of our Series A Preference Units can be found in our registration statement on Form 8-A (File No. 001-36433), filed with the SEC on November 15, 2018, including any amendment or report filed for the purpose of updating such description. </w:t>
      </w:r>
    </w:p>
    <w:p>
      <w:pPr>
        <w:pStyle w:val="TextBody"/>
        <w:jc w:val="center"/>
        <w:rPr>
          <w:rFonts w:ascii="times" w:hAnsi="times"/>
        </w:rPr>
      </w:pPr>
      <w:bookmarkStart w:id="267" w:name="toc_ee43504_11"/>
      <w:bookmarkStart w:id="268" w:name="ee43504_description_of_the_other_classes"/>
      <w:bookmarkEnd w:id="267"/>
      <w:bookmarkEnd w:id="268"/>
      <w:r>
        <w:rPr>
          <w:rFonts w:ascii="times" w:hAnsi="times"/>
          <w:sz w:val="20"/>
        </w:rPr>
        <w:br/>
      </w:r>
      <w:r>
        <w:rPr>
          <w:rFonts w:ascii="times" w:hAnsi="times"/>
          <w:b/>
          <w:sz w:val="20"/>
        </w:rPr>
        <w:t xml:space="preserve">DESCRIPTION OF THE OTHER CLASSES OF UNITS </w:t>
      </w:r>
    </w:p>
    <w:p>
      <w:pPr>
        <w:pStyle w:val="TextBody"/>
        <w:rPr/>
      </w:pPr>
      <w:r>
        <w:rPr/>
        <w:t>        </w:t>
      </w:r>
      <w:r>
        <w:rPr>
          <w:rFonts w:ascii="times" w:hAnsi="times"/>
          <w:sz w:val="20"/>
        </w:rPr>
        <w:t>Our partnership agreement permits us to issue additional classes or series of equity interests at any time and from time to time for consideration on such terms and conditions established by our board of directors without the approval of any of our unitholders, other than the limited approval rights of the holders of the Preference Units. Unless we receive the affirmative vote or consent of the holders of at least two-thirds of the outstanding Preference Units, voting as a class together with holders of any other Parity Securities (as defined in the partnership agreement) (if applicable), we may not (i) issue any Parity Securities if the cumulative distributions on Preference Units are in arrears or (ii) create or issue any Senior Securities (as defined in the partnership agreement). As of October 9, 2020, no classes of limited partnership interests were outstanding other than the Common Units, Class B Units, Series A Preference Units, Series B Preference Units and Series C Preference Units. Should we offer other classes of units under this prospectus, a prospectus supplement relating to the particular class or series of units offered will include the designations, preferences, rights, powers and duties of those units which shall be fixed by the board of directors, including, among other things, the following:</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the right to share in partnership distributions;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the rights upon our dissolution and liquidation;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whether, and the terms and conditions upon which, we may or shall be required to redeem the Other Units (including sinking fund provisions);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whether the Other Units are issued with the privilege of conversion or exchange and, if so, the terms and conditions of such conversion or exchange;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the terms and conditions upon which Other Units will be issued, evidenced by certificates and assigned or transferred;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the method for determining the Percentage Interest (as defined in our partnership agreement) as to such Other Units; and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the right, if any, of each Other Unit to vote on partnership matters, including matters relating to the relative rights, preferences and privileges of such Other Units. </w:t>
      </w:r>
    </w:p>
    <w:p>
      <w:pPr>
        <w:pStyle w:val="TextBody"/>
        <w:rPr/>
      </w:pPr>
      <w:r>
        <w:rPr/>
        <w:t>        </w:t>
      </w:r>
      <w:r>
        <w:rPr>
          <w:rFonts w:ascii="times" w:hAnsi="times"/>
          <w:sz w:val="20"/>
        </w:rPr>
        <w:t xml:space="preserve">The particular terms of any class or series of any such class of units will also be described in the amendment to our partnership agreement relating to that class or series of such class of units, which will be filed as an exhibit to or incorporated by reference in this prospectus at or before the time of issuance of any such class or series of any such class of units. </w:t>
      </w:r>
    </w:p>
    <w:p>
      <w:pPr>
        <w:pStyle w:val="TextBody"/>
        <w:jc w:val="center"/>
        <w:rPr>
          <w:rFonts w:ascii="times" w:hAnsi="times"/>
          <w:sz w:val="20"/>
        </w:rPr>
      </w:pPr>
      <w:r>
        <w:rPr>
          <w:rFonts w:ascii="times" w:hAnsi="times"/>
          <w:sz w:val="20"/>
        </w:rPr>
        <w:t>15</w:t>
      </w:r>
    </w:p>
    <w:p>
      <w:pPr>
        <w:pStyle w:val="HorizontalLine"/>
        <w:pBdr>
          <w:bottom w:val="single" w:sz="20" w:space="0" w:color="808080"/>
        </w:pBdr>
        <w:rPr/>
      </w:pPr>
      <w:r>
        <w:rPr/>
      </w:r>
      <w:r>
        <w:br w:type="page"/>
      </w:r>
    </w:p>
    <w:p>
      <w:pPr>
        <w:pStyle w:val="TextBody"/>
        <w:rPr/>
      </w:pPr>
      <w:hyperlink w:anchor="dg43504a_main_toc">
        <w:bookmarkStart w:id="269" w:name="page_ee43504_1_16"/>
        <w:bookmarkEnd w:id="269"/>
        <w:r>
          <w:rPr>
            <w:rStyle w:val="InternetLink"/>
            <w:rFonts w:ascii="times" w:hAnsi="times"/>
            <w:sz w:val="20"/>
          </w:rPr>
          <w:t>Table of Contents</w:t>
        </w:r>
      </w:hyperlink>
    </w:p>
    <w:p>
      <w:pPr>
        <w:pStyle w:val="TextBody"/>
        <w:rPr/>
      </w:pPr>
      <w:r>
        <w:rPr/>
        <w:t>        </w:t>
      </w:r>
      <w:r>
        <w:rPr>
          <w:rFonts w:ascii="times" w:hAnsi="times"/>
          <w:sz w:val="20"/>
        </w:rPr>
        <w:t xml:space="preserve">Such units will be fully paid and non-assessable (except as such non-assessability may be affected by Sections 30, 41, 51 and 60 of the Marshall Islands Limited Partnership Act) when issued upon full payment of the purchase price therefor. The transfer agent, registrar and distributions disbursement agent for the units will be designated in the applicable prospectus supplement. </w:t>
      </w:r>
    </w:p>
    <w:p>
      <w:pPr>
        <w:pStyle w:val="TextBody"/>
        <w:jc w:val="center"/>
        <w:rPr>
          <w:rFonts w:ascii="times" w:hAnsi="times"/>
        </w:rPr>
      </w:pPr>
      <w:bookmarkStart w:id="270" w:name="toc_ee43504_12"/>
      <w:bookmarkStart w:id="271" w:name="ee43504_description_of_debt_securities"/>
      <w:bookmarkEnd w:id="270"/>
      <w:bookmarkEnd w:id="271"/>
      <w:r>
        <w:rPr>
          <w:rFonts w:ascii="times" w:hAnsi="times"/>
          <w:sz w:val="20"/>
        </w:rPr>
        <w:br/>
      </w:r>
      <w:r>
        <w:rPr>
          <w:rFonts w:ascii="times" w:hAnsi="times"/>
          <w:b/>
          <w:sz w:val="20"/>
        </w:rPr>
        <w:t xml:space="preserve">DESCRIPTION OF DEBT SECURITIES </w:t>
      </w:r>
    </w:p>
    <w:p>
      <w:pPr>
        <w:pStyle w:val="TextBody"/>
        <w:rPr/>
      </w:pPr>
      <w:r>
        <w:rPr/>
        <w:t>        </w:t>
      </w:r>
      <w:r>
        <w:rPr>
          <w:rFonts w:ascii="times" w:hAnsi="times"/>
          <w:sz w:val="20"/>
        </w:rPr>
        <w:t xml:space="preserve">We may issue debt securities from time to time in one or more series, under one or more indentures, each dated as of a date on or prior to the issuance of the debt securities to which it relates. </w:t>
      </w:r>
    </w:p>
    <w:p>
      <w:pPr>
        <w:pStyle w:val="TextBody"/>
        <w:rPr/>
      </w:pPr>
      <w:r>
        <w:rPr/>
        <w:t>        </w:t>
      </w:r>
      <w:r>
        <w:rPr>
          <w:rFonts w:ascii="times" w:hAnsi="times"/>
          <w:sz w:val="20"/>
        </w:rPr>
        <w:t xml:space="preserve">The following description of debt securities sets forth the material terms and provisions of the debt securities to which any prospectus supplement may relate. Our debt securities would be issued under an indenture between us and a trustee. The debt securities we may offer may be convertible into Common Units or other securities. The indenture, a form of which is included as an exhibit to the registration statement of which this prospectus is a part, will be executed at the time we issue any debt securities. Any supplemental indentures will be filed with the SEC on a Form 6-K or by a post-effective amendment to the registration statement of which this prospectus is a part. </w:t>
      </w:r>
    </w:p>
    <w:p>
      <w:pPr>
        <w:pStyle w:val="TextBody"/>
        <w:rPr/>
      </w:pPr>
      <w:r>
        <w:rPr/>
        <w:t>        </w:t>
      </w:r>
      <w:r>
        <w:rPr>
          <w:rFonts w:ascii="times" w:hAnsi="times"/>
          <w:sz w:val="20"/>
        </w:rPr>
        <w:t xml:space="preserve">The particular terms of the debt securities offered by any prospectus supplement, and the extent to which the general provisions described below may apply to the offered debt securities, will be described in the applicable prospectus supplement. The indenture will be qualified under the Trust Indenture Act of 1939, as amended (the "Trust Indenture Act"). The terms of the debt securities will include those stated in the indenture and those made part of the indenture by reference to the Trust Indenture Act. </w:t>
      </w:r>
    </w:p>
    <w:p>
      <w:pPr>
        <w:pStyle w:val="TextBody"/>
        <w:rPr/>
      </w:pPr>
      <w:r>
        <w:rPr/>
        <w:t>        </w:t>
      </w:r>
      <w:r>
        <w:rPr>
          <w:rFonts w:ascii="times" w:hAnsi="times"/>
          <w:sz w:val="20"/>
        </w:rPr>
        <w:t xml:space="preserve">Because the following summaries of the material terms and provisions of the indenture and the related debt securities are not complete, you should refer to the form of the indenture and the debt securities for complete information on some of the terms and provisions of the indenture, including definitions of some of the terms used below, and the debt securities. </w:t>
      </w:r>
    </w:p>
    <w:p>
      <w:pPr>
        <w:pStyle w:val="TextBody"/>
        <w:ind w:left="200" w:right="0" w:hanging="200"/>
        <w:rPr>
          <w:rFonts w:ascii="times" w:hAnsi="times"/>
          <w:b/>
          <w:sz w:val="20"/>
        </w:rPr>
      </w:pPr>
      <w:bookmarkStart w:id="272" w:name="toc_ee43504_13"/>
      <w:bookmarkStart w:id="273" w:name="ee43504_general_1"/>
      <w:bookmarkEnd w:id="272"/>
      <w:bookmarkEnd w:id="273"/>
      <w:r>
        <w:rPr>
          <w:rFonts w:ascii="times" w:hAnsi="times"/>
          <w:b/>
          <w:sz w:val="20"/>
        </w:rPr>
        <w:t xml:space="preserve">General </w:t>
      </w:r>
    </w:p>
    <w:p>
      <w:pPr>
        <w:pStyle w:val="TextBody"/>
        <w:rPr/>
      </w:pPr>
      <w:r>
        <w:rPr/>
        <w:t>        </w:t>
      </w:r>
      <w:r>
        <w:rPr>
          <w:rFonts w:ascii="times" w:hAnsi="times"/>
          <w:sz w:val="20"/>
        </w:rPr>
        <w:t xml:space="preserve">The provisions of the indenture do not limit the aggregate principal amount of debt securities which may be issued thereunder. Unless otherwise provided in a prospectus supplement, the debt securities will be our direct, unsecured and unsubordinated general obligations and will have the same rank in liquidation as all of our other unsecured and unsubordinated debt. The debt securities may be convertible into Common Units or other securities if specified in the applicable prospectus supplement. </w:t>
      </w:r>
    </w:p>
    <w:p>
      <w:pPr>
        <w:pStyle w:val="TextBody"/>
        <w:ind w:left="200" w:right="0" w:hanging="200"/>
        <w:rPr>
          <w:rFonts w:ascii="times" w:hAnsi="times"/>
          <w:b/>
          <w:sz w:val="20"/>
        </w:rPr>
      </w:pPr>
      <w:bookmarkStart w:id="274" w:name="toc_ee43504_14"/>
      <w:bookmarkStart w:id="275" w:name="ee43504_payments"/>
      <w:bookmarkEnd w:id="274"/>
      <w:bookmarkEnd w:id="275"/>
      <w:r>
        <w:rPr>
          <w:rFonts w:ascii="times" w:hAnsi="times"/>
          <w:b/>
          <w:sz w:val="20"/>
        </w:rPr>
        <w:t xml:space="preserve">Payments </w:t>
      </w:r>
    </w:p>
    <w:p>
      <w:pPr>
        <w:pStyle w:val="TextBody"/>
        <w:rPr/>
      </w:pPr>
      <w:r>
        <w:rPr/>
        <w:t>        </w:t>
      </w:r>
      <w:r>
        <w:rPr>
          <w:rFonts w:ascii="times" w:hAnsi="times"/>
          <w:sz w:val="20"/>
        </w:rPr>
        <w:t xml:space="preserve">We may issue debt securities from time to time in one or more series. The provisions of the indenture allow us to "reopen" a previous issue of a series of debt securities and issue additional debt securities of that series. The debt securities may be denominated and payable in U.S. dollars or other currencies. We may also issue debt securities from time to time with the principal amount or interest payable on any relevant payment date to be determined by reference to one or more currency exchange rates, securities or baskets of securities, commodity prices or indices. Holders of these types of debt securities will receive payments of principal or interest that depend upon the value of the applicable currency, security or basket of securities, commodity or index on the relevant payment dates. </w:t>
      </w:r>
    </w:p>
    <w:p>
      <w:pPr>
        <w:pStyle w:val="TextBody"/>
        <w:rPr/>
      </w:pPr>
      <w:r>
        <w:rPr/>
        <w:t>        </w:t>
      </w:r>
      <w:r>
        <w:rPr>
          <w:rFonts w:ascii="times" w:hAnsi="times"/>
          <w:sz w:val="20"/>
        </w:rPr>
        <w:t xml:space="preserve">Debt securities may bear interest at a fixed rate, which may be zero, a floating rate, or a rate which varies during the lifetime of the debt security. Debt securities bearing no interest or interest at a rate that at the time of issuance is below the prevailing market rate may be sold at a discount below their stated principal amount. </w:t>
      </w:r>
    </w:p>
    <w:p>
      <w:pPr>
        <w:pStyle w:val="TextBody"/>
        <w:jc w:val="center"/>
        <w:rPr>
          <w:rFonts w:ascii="times" w:hAnsi="times"/>
          <w:sz w:val="20"/>
        </w:rPr>
      </w:pPr>
      <w:r>
        <w:rPr>
          <w:rFonts w:ascii="times" w:hAnsi="times"/>
          <w:sz w:val="20"/>
        </w:rPr>
        <w:t>16</w:t>
      </w:r>
    </w:p>
    <w:p>
      <w:pPr>
        <w:pStyle w:val="HorizontalLine"/>
        <w:pBdr>
          <w:bottom w:val="single" w:sz="20" w:space="0" w:color="808080"/>
        </w:pBdr>
        <w:rPr/>
      </w:pPr>
      <w:r>
        <w:rPr/>
      </w:r>
      <w:r>
        <w:br w:type="page"/>
      </w:r>
    </w:p>
    <w:p>
      <w:pPr>
        <w:pStyle w:val="TextBody"/>
        <w:rPr/>
      </w:pPr>
      <w:hyperlink w:anchor="dg43504a_main_toc">
        <w:bookmarkStart w:id="276" w:name="page_ee43504_1_17"/>
        <w:bookmarkEnd w:id="276"/>
        <w:r>
          <w:rPr>
            <w:rStyle w:val="InternetLink"/>
            <w:rFonts w:ascii="times" w:hAnsi="times"/>
            <w:sz w:val="20"/>
          </w:rPr>
          <w:t>Table of Contents</w:t>
        </w:r>
      </w:hyperlink>
    </w:p>
    <w:p>
      <w:pPr>
        <w:pStyle w:val="TextBody"/>
        <w:ind w:left="200" w:right="0" w:hanging="200"/>
        <w:rPr>
          <w:rFonts w:ascii="times" w:hAnsi="times"/>
          <w:b/>
          <w:sz w:val="20"/>
        </w:rPr>
      </w:pPr>
      <w:bookmarkStart w:id="277" w:name="toc_ee43504_15"/>
      <w:bookmarkStart w:id="278" w:name="ee43504_terms_specified_in_the__ee402309"/>
      <w:bookmarkEnd w:id="277"/>
      <w:bookmarkEnd w:id="278"/>
      <w:r>
        <w:rPr>
          <w:rFonts w:ascii="times" w:hAnsi="times"/>
          <w:b/>
          <w:sz w:val="20"/>
        </w:rPr>
        <w:t xml:space="preserve">Terms Specified in the Applicable Prospectus Supplement </w:t>
      </w:r>
    </w:p>
    <w:p>
      <w:pPr>
        <w:pStyle w:val="TextBody"/>
        <w:rPr/>
      </w:pPr>
      <w:r>
        <w:rPr/>
        <w:t>        </w:t>
      </w:r>
      <w:r>
        <w:rPr>
          <w:rFonts w:ascii="times" w:hAnsi="times"/>
          <w:sz w:val="20"/>
        </w:rPr>
        <w:t>The applicable prospectus supplement will contain, where applicable, the following terms of, and other information relating to, any offered debt securities:</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the specific designation;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any limit on the aggregate principal amount of the debt securities, their purchase price and denomination;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the currency in which the debt securities are denominated and/or in which principal, premium, if any, and/or interest, if any, is payable;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the date of maturity;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the interest rate or rates or the method by which the calculation agent will determine the interest rate or rates, if any;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the interest payment dates, if any;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the place or places for payment of the principal of and any premium and/or interest on the debt securities;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any repayment, redemption, prepayment or sinking fund provisions, including any redemption notice provisions;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whether we will issue the debt securities in registered form or bearer form or both and, if we are offering debt securities in bearer form, any restrictions applicable to the exchange of one form for another and to the offer, sale and delivery of those debt securities in bearer form;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whether we will issue the debt securities in definitive form and under what terms and conditions;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the terms on which holders of the debt securities may convert or exchange these securities into or for Common Units or other securities, any specific terms relating to the adjustment of the conversion or exchange feature and the period during which the holders may make the conversion or exchange;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information as to the methods for determining the amount of principal or interest payable on any date and/or the currencies, securities or baskets of securities, commodities or indices to which the amount payable on that date is linked;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any agents for the debt securities, including trustees, depositaries, authenticating or paying agents, transfer agents or registrars;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whether and under what circumstances we will pay additional amounts on debt securities for any tax, assessment or governmental charge withheld or deducted and, if so, whether we will have the option to redeem those debt securities rather than pay the additional amounts;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any material United States federal income tax or other income tax consequences, including, but not limited to: </w:t>
      </w:r>
    </w:p>
    <w:p>
      <w:pPr>
        <w:pStyle w:val="ListHeading"/>
        <w:numPr>
          <w:ilvl w:val="0"/>
          <w:numId w:val="0"/>
        </w:numPr>
        <w:spacing w:before="0" w:after="0"/>
        <w:ind w:left="1274" w:right="0" w:hanging="0"/>
        <w:rPr>
          <w:rFonts w:ascii="times" w:hAnsi="times"/>
          <w:sz w:val="20"/>
        </w:rPr>
      </w:pPr>
      <w:r>
        <w:rPr>
          <w:rFonts w:ascii="times" w:hAnsi="times"/>
          <w:sz w:val="20"/>
        </w:rPr>
        <w:t></w:t>
      </w:r>
    </w:p>
    <w:p>
      <w:pPr>
        <w:pStyle w:val="ListContents"/>
        <w:numPr>
          <w:ilvl w:val="0"/>
          <w:numId w:val="0"/>
        </w:numPr>
        <w:spacing w:before="0" w:after="283"/>
        <w:ind w:left="1841" w:right="0" w:hanging="0"/>
        <w:rPr>
          <w:rFonts w:ascii="times" w:hAnsi="times"/>
          <w:sz w:val="20"/>
        </w:rPr>
      </w:pPr>
      <w:r>
        <w:rPr>
          <w:rFonts w:ascii="times" w:hAnsi="times"/>
          <w:sz w:val="20"/>
        </w:rPr>
        <w:t xml:space="preserve">tax considerations applicable to any discounted debt securities or to debt securities issued at par that are treated as having been issued at a discount for United States federal income tax purposes; and </w:t>
      </w:r>
    </w:p>
    <w:p>
      <w:pPr>
        <w:pStyle w:val="ListHeading"/>
        <w:numPr>
          <w:ilvl w:val="0"/>
          <w:numId w:val="0"/>
        </w:numPr>
        <w:spacing w:before="0" w:after="0"/>
        <w:ind w:left="1274" w:right="0" w:hanging="0"/>
        <w:rPr>
          <w:rFonts w:ascii="times" w:hAnsi="times"/>
          <w:sz w:val="20"/>
        </w:rPr>
      </w:pPr>
      <w:r>
        <w:rPr>
          <w:rFonts w:ascii="times" w:hAnsi="times"/>
          <w:sz w:val="20"/>
        </w:rPr>
        <w:t></w:t>
      </w:r>
    </w:p>
    <w:p>
      <w:pPr>
        <w:pStyle w:val="ListContents"/>
        <w:numPr>
          <w:ilvl w:val="0"/>
          <w:numId w:val="0"/>
        </w:numPr>
        <w:spacing w:before="0" w:after="283"/>
        <w:ind w:left="1841" w:right="0" w:hanging="0"/>
        <w:rPr>
          <w:rFonts w:ascii="times" w:hAnsi="times"/>
          <w:sz w:val="20"/>
        </w:rPr>
      </w:pPr>
      <w:r>
        <w:rPr>
          <w:rFonts w:ascii="times" w:hAnsi="times"/>
          <w:sz w:val="20"/>
        </w:rPr>
        <w:t xml:space="preserve">tax considerations applicable to any debt securities denominated and payable in non-United States currencies;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whether certain payments on the debt securities will be guaranteed under a financial insurance guarantee policy and the terms of that guarantee; </w:t>
      </w:r>
    </w:p>
    <w:p>
      <w:pPr>
        <w:pStyle w:val="TextBody"/>
        <w:jc w:val="center"/>
        <w:rPr>
          <w:rFonts w:ascii="times" w:hAnsi="times"/>
          <w:sz w:val="20"/>
        </w:rPr>
      </w:pPr>
      <w:r>
        <w:rPr>
          <w:rFonts w:ascii="times" w:hAnsi="times"/>
          <w:sz w:val="20"/>
        </w:rPr>
        <w:t>17</w:t>
      </w:r>
    </w:p>
    <w:p>
      <w:pPr>
        <w:pStyle w:val="HorizontalLine"/>
        <w:pBdr>
          <w:bottom w:val="single" w:sz="20" w:space="0" w:color="808080"/>
        </w:pBdr>
        <w:rPr/>
      </w:pPr>
      <w:r>
        <w:rPr/>
      </w:r>
      <w:r>
        <w:br w:type="page"/>
      </w:r>
    </w:p>
    <w:p>
      <w:pPr>
        <w:pStyle w:val="TextBody"/>
        <w:rPr/>
      </w:pPr>
      <w:hyperlink w:anchor="dg43504a_main_toc">
        <w:bookmarkStart w:id="279" w:name="page_ee43504_1_18"/>
        <w:bookmarkEnd w:id="279"/>
        <w:r>
          <w:rPr>
            <w:rStyle w:val="InternetLink"/>
            <w:rFonts w:ascii="times" w:hAnsi="times"/>
            <w:sz w:val="20"/>
          </w:rPr>
          <w:t>Table of Contents</w:t>
        </w:r>
      </w:hyperlink>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whether the debt securities will be secured;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any applicable selling restrictions; and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any other specific terms of the debt securities, including any modifications to or additional events of default, covenants or modified or eliminated acceleration rights, and any terms required by or advisable under applicable laws or regulations. </w:t>
      </w:r>
    </w:p>
    <w:p>
      <w:pPr>
        <w:pStyle w:val="TextBody"/>
        <w:rPr/>
      </w:pPr>
      <w:r>
        <w:rPr/>
        <w:t>        </w:t>
      </w:r>
      <w:r>
        <w:rPr>
          <w:rFonts w:ascii="times" w:hAnsi="times"/>
          <w:sz w:val="20"/>
        </w:rPr>
        <w:t xml:space="preserve">Some of the debt securities may be issued as original issue discount securities. Original issue discount securities bear no interest or bear interest at below-market rates and may be sold at a discount below their stated principal amount. The applicable prospectus supplement will contain information relating to income tax, accounting, and other special considerations applicable to original issue discount securities. </w:t>
      </w:r>
    </w:p>
    <w:p>
      <w:pPr>
        <w:pStyle w:val="TextBody"/>
        <w:ind w:left="200" w:right="0" w:hanging="200"/>
        <w:rPr>
          <w:rFonts w:ascii="times" w:hAnsi="times"/>
          <w:b/>
          <w:sz w:val="20"/>
        </w:rPr>
      </w:pPr>
      <w:bookmarkStart w:id="280" w:name="toc_ee43504_16"/>
      <w:bookmarkStart w:id="281" w:name="ee43504_registration_and_transfer_of_deb"/>
      <w:bookmarkEnd w:id="280"/>
      <w:bookmarkEnd w:id="281"/>
      <w:r>
        <w:rPr>
          <w:rFonts w:ascii="times" w:hAnsi="times"/>
          <w:b/>
          <w:sz w:val="20"/>
        </w:rPr>
        <w:t xml:space="preserve">Registration and Transfer of Debt Securities </w:t>
      </w:r>
    </w:p>
    <w:p>
      <w:pPr>
        <w:pStyle w:val="TextBody"/>
        <w:rPr/>
      </w:pPr>
      <w:r>
        <w:rPr/>
        <w:t>        </w:t>
      </w:r>
      <w:r>
        <w:rPr>
          <w:rFonts w:ascii="times" w:hAnsi="times"/>
          <w:sz w:val="20"/>
        </w:rPr>
        <w:t xml:space="preserve">Holders may present debt securities for exchange, and holders of registered debt securities may present these securities for transfer, in the manner, at the places and subject to the restrictions stated in the debt securities and described in the applicable prospectus supplement. We will provide these services without charge except for any tax or other governmental charge payable in connection with these services and subject to any limitations or requirements provided in the indenture or the supplemental indenture or issuer order under which that series of debt securities is issued. Holders may transfer debt securities in bearer form and/or the related coupons, if any, by delivery to the transferee. If any of the securities are held in global form, the procedures for transfer of interests in those securities will depend upon the procedures of the depositary for those global securities. </w:t>
      </w:r>
    </w:p>
    <w:p>
      <w:pPr>
        <w:pStyle w:val="TextBody"/>
        <w:ind w:left="200" w:right="0" w:hanging="200"/>
        <w:rPr>
          <w:rFonts w:ascii="times" w:hAnsi="times"/>
          <w:b/>
          <w:sz w:val="20"/>
        </w:rPr>
      </w:pPr>
      <w:bookmarkStart w:id="282" w:name="toc_ee43504_17"/>
      <w:bookmarkStart w:id="283" w:name="ee43504_events_of_default"/>
      <w:bookmarkEnd w:id="282"/>
      <w:bookmarkEnd w:id="283"/>
      <w:r>
        <w:rPr>
          <w:rFonts w:ascii="times" w:hAnsi="times"/>
          <w:b/>
          <w:sz w:val="20"/>
        </w:rPr>
        <w:t xml:space="preserve">Events of Default </w:t>
      </w:r>
    </w:p>
    <w:p>
      <w:pPr>
        <w:pStyle w:val="TextBody"/>
        <w:rPr/>
      </w:pPr>
      <w:r>
        <w:rPr/>
        <w:t>        </w:t>
      </w:r>
      <w:r>
        <w:rPr>
          <w:rFonts w:ascii="times" w:hAnsi="times"/>
          <w:sz w:val="20"/>
        </w:rPr>
        <w:t xml:space="preserve">The indenture provides holders of debt securities with remedies if we fail to perform specific obligations, such as making payments on the debt securities, or if we become bankrupt. Holders should review these provisions and understand which actions trigger an event of default and which actions do not. The indenture permits the issuance of debt securities in one or more series, and, in many cases, whether an event of default has occurred is determined on a series-by-series basis. </w:t>
      </w:r>
    </w:p>
    <w:p>
      <w:pPr>
        <w:pStyle w:val="TextBody"/>
        <w:rPr/>
      </w:pPr>
      <w:r>
        <w:rPr/>
        <w:t>        </w:t>
      </w:r>
      <w:r>
        <w:rPr>
          <w:rFonts w:ascii="times" w:hAnsi="times"/>
          <w:sz w:val="20"/>
        </w:rPr>
        <w:t>An event of default is defined under the indenture, with respect to any series of debt securities issued under the indenture, as any one or more of the following events, subject to modification in a supplemental indenture, each of which we refer to in this prospectus as an event of default, having occurred and be continuing:</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default is made for more than 30 days in the payment of interest, premium or principal in respect of the securities;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we fail to perform or observe any of our other obligations under the securities and this failure has continued for the period of 60 days next following the service on us of notice requiring the same to be remedied;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our bankruptcy, insolvency or reorganization under any applicable bankruptcy, insolvency or insolvency related reorganization law;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an order is made or an effective resolution is passed for the winding up or liquidation of us; or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any other event of default provided in the supplemental indenture or resolution of the board of directors, if any, under which that series of debt securities is issued. </w:t>
      </w:r>
    </w:p>
    <w:p>
      <w:pPr>
        <w:pStyle w:val="TextBody"/>
        <w:jc w:val="center"/>
        <w:rPr>
          <w:rFonts w:ascii="times" w:hAnsi="times"/>
          <w:sz w:val="20"/>
        </w:rPr>
      </w:pPr>
      <w:r>
        <w:rPr>
          <w:rFonts w:ascii="times" w:hAnsi="times"/>
          <w:sz w:val="20"/>
        </w:rPr>
        <w:t>18</w:t>
      </w:r>
    </w:p>
    <w:p>
      <w:pPr>
        <w:pStyle w:val="HorizontalLine"/>
        <w:pBdr>
          <w:bottom w:val="single" w:sz="20" w:space="0" w:color="808080"/>
        </w:pBdr>
        <w:rPr/>
      </w:pPr>
      <w:r>
        <w:rPr/>
      </w:r>
      <w:r>
        <w:br w:type="page"/>
      </w:r>
    </w:p>
    <w:p>
      <w:pPr>
        <w:pStyle w:val="TextBody"/>
        <w:rPr/>
      </w:pPr>
      <w:hyperlink w:anchor="dg43504a_main_toc">
        <w:bookmarkStart w:id="284" w:name="page_ee43504_1_19"/>
        <w:bookmarkEnd w:id="284"/>
        <w:r>
          <w:rPr>
            <w:rStyle w:val="InternetLink"/>
            <w:rFonts w:ascii="times" w:hAnsi="times"/>
            <w:sz w:val="20"/>
          </w:rPr>
          <w:t>Table of Contents</w:t>
        </w:r>
      </w:hyperlink>
    </w:p>
    <w:p>
      <w:pPr>
        <w:pStyle w:val="TextBody"/>
        <w:ind w:left="200" w:right="0" w:hanging="200"/>
        <w:rPr>
          <w:rFonts w:ascii="times" w:hAnsi="times"/>
          <w:b/>
          <w:sz w:val="20"/>
        </w:rPr>
      </w:pPr>
      <w:bookmarkStart w:id="285" w:name="toc_ee43504_18"/>
      <w:bookmarkStart w:id="286" w:name="ee43504_acceleration_of_debt_s__ee402284"/>
      <w:bookmarkEnd w:id="285"/>
      <w:bookmarkEnd w:id="286"/>
      <w:r>
        <w:rPr>
          <w:rFonts w:ascii="times" w:hAnsi="times"/>
          <w:b/>
          <w:sz w:val="20"/>
        </w:rPr>
        <w:t xml:space="preserve">Acceleration of Debt Securities Upon an Event of Default </w:t>
      </w:r>
    </w:p>
    <w:p>
      <w:pPr>
        <w:pStyle w:val="TextBody"/>
        <w:rPr/>
      </w:pPr>
      <w:r>
        <w:rPr/>
        <w:t>        </w:t>
      </w:r>
      <w:r>
        <w:rPr>
          <w:rFonts w:ascii="times" w:hAnsi="times"/>
          <w:sz w:val="20"/>
        </w:rPr>
        <w:t>The indenture provides that, unless otherwise set forth in a supplemental indenture:</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if an event of default occurs due to the default in payment of principal of, or any premium or interest on, any series of debt securities issued under the indenture, or due to the default in the performance or breach of any other covenant or warranty of us applicable to that series of debt securities but not applicable to all outstanding debt securities issued under the indenture occurs and is continuing, either the trustee or the holders of not less than 25% in aggregate principal amount of the outstanding debt securities of each affected series, voting as one class, by notice in writing to us may declare the principal of and accrued interest on the debt securities of such affected series (but not any other debt securities issued under the indenture) to be due and payable immediately;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if an event of default occurs due to specified events of bankruptcy, insolvency or reorganization of us, the principal of all debt securities and interest accrued on the debt securities to be due and payable immediately; and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if an event of default due to a default in the performance of any other of the covenants or agreements in the indenture applicable to all outstanding debt securities issued under the indenture occurs and is continuing, either the trustee or the holders of not less than 25% in aggregate principal amount of all outstanding debt securities issued under the indenture for which any applicable supplemental indenture does not prevent acceleration under the relevant circumstances, voting as one class, by notice in writing to us may declare the principal of all debt securities and interest accrued on the debt securities to be due and payable immediately. </w:t>
      </w:r>
    </w:p>
    <w:p>
      <w:pPr>
        <w:pStyle w:val="TextBody"/>
        <w:ind w:left="200" w:right="0" w:hanging="200"/>
        <w:rPr>
          <w:rFonts w:ascii="times" w:hAnsi="times"/>
          <w:b/>
          <w:sz w:val="20"/>
        </w:rPr>
      </w:pPr>
      <w:bookmarkStart w:id="287" w:name="toc_ee43504_19"/>
      <w:bookmarkStart w:id="288" w:name="ee43504_annulment_of_acceleration_and_wa"/>
      <w:bookmarkEnd w:id="287"/>
      <w:bookmarkEnd w:id="288"/>
      <w:r>
        <w:rPr>
          <w:rFonts w:ascii="times" w:hAnsi="times"/>
          <w:b/>
          <w:sz w:val="20"/>
        </w:rPr>
        <w:t xml:space="preserve">Annulment of Acceleration and Waiver of Defaults </w:t>
      </w:r>
    </w:p>
    <w:p>
      <w:pPr>
        <w:pStyle w:val="TextBody"/>
        <w:rPr/>
      </w:pPr>
      <w:r>
        <w:rPr/>
        <w:t>        </w:t>
      </w:r>
      <w:r>
        <w:rPr>
          <w:rFonts w:ascii="times" w:hAnsi="times"/>
          <w:sz w:val="20"/>
        </w:rPr>
        <w:t xml:space="preserve">In some circumstances, if any and all events of default under the indenture, other than the non-payment of the principal of the securities that has become due as a result of an acceleration, have been cured, waived or otherwise remedied, then the holders of a majority in aggregate principal amount of all series of outstanding debt securities affected, voting as one class, may annul past declarations of acceleration or waive past defaults of the debt securities. </w:t>
      </w:r>
    </w:p>
    <w:p>
      <w:pPr>
        <w:pStyle w:val="TextBody"/>
        <w:ind w:left="200" w:right="0" w:hanging="200"/>
        <w:rPr>
          <w:rFonts w:ascii="times" w:hAnsi="times"/>
          <w:b/>
          <w:sz w:val="20"/>
        </w:rPr>
      </w:pPr>
      <w:bookmarkStart w:id="289" w:name="toc_ee43504_20"/>
      <w:bookmarkStart w:id="290" w:name="ee43504_indemnification_of_tru__ee402441"/>
      <w:bookmarkEnd w:id="289"/>
      <w:bookmarkEnd w:id="290"/>
      <w:r>
        <w:rPr>
          <w:rFonts w:ascii="times" w:hAnsi="times"/>
          <w:b/>
          <w:sz w:val="20"/>
        </w:rPr>
        <w:t xml:space="preserve">Indemnification of Trustee for Actions Taken on Your Behalf </w:t>
      </w:r>
    </w:p>
    <w:p>
      <w:pPr>
        <w:pStyle w:val="TextBody"/>
        <w:rPr/>
      </w:pPr>
      <w:r>
        <w:rPr/>
        <w:t>        </w:t>
      </w:r>
      <w:r>
        <w:rPr>
          <w:rFonts w:ascii="times" w:hAnsi="times"/>
          <w:sz w:val="20"/>
        </w:rPr>
        <w:t xml:space="preserve">The indenture provides that the trustee shall not be liable with respect to any action taken or omitted to be taken by it in good faith in accordance with the direction of the holders of debt securities issued under the indenture relating to the time, method and place of conducting any proceeding for any remedy available to the trustee, or exercising any trust or power conferred upon the trustee. In addition, the indenture contains a provision entitling the trustee, subject to the duty of the trustee to act with the required standard of care during a default, to be indemnified to its satisfaction by the holders of debt securities issued under the indenture before proceeding to exercise any right or power at the request of holders. Subject to these provisions and specified other limitations, the holders of a majority in aggregate principal amount of each series of outstanding debt securities of each affected series, voting as one class, may direct the time, method and place of conducting any proceeding for any remedy available to the trustee, or exercising any trust or power conferred on the trustee. </w:t>
      </w:r>
    </w:p>
    <w:p>
      <w:pPr>
        <w:pStyle w:val="TextBody"/>
        <w:ind w:left="200" w:right="0" w:hanging="200"/>
        <w:rPr>
          <w:rFonts w:ascii="times" w:hAnsi="times"/>
          <w:b/>
          <w:sz w:val="20"/>
        </w:rPr>
      </w:pPr>
      <w:bookmarkStart w:id="291" w:name="toc_ee43504_21"/>
      <w:bookmarkStart w:id="292" w:name="ee43504_limitation_on_actions_by_you_as_"/>
      <w:bookmarkEnd w:id="291"/>
      <w:bookmarkEnd w:id="292"/>
      <w:r>
        <w:rPr>
          <w:rFonts w:ascii="times" w:hAnsi="times"/>
          <w:b/>
          <w:sz w:val="20"/>
        </w:rPr>
        <w:t xml:space="preserve">Limitation on Actions by You as an Individual Holder </w:t>
      </w:r>
    </w:p>
    <w:p>
      <w:pPr>
        <w:pStyle w:val="TextBody"/>
        <w:rPr/>
      </w:pPr>
      <w:r>
        <w:rPr/>
        <w:t>        </w:t>
      </w:r>
      <w:r>
        <w:rPr>
          <w:rFonts w:ascii="times" w:hAnsi="times"/>
          <w:sz w:val="20"/>
        </w:rPr>
        <w:t>The indenture provides that no individual holder of debt securities may institute any action against us under the indenture, except actions for payment of overdue principal and interest, unless the following actions have occurred:</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the holder must have previously given written notice to the trustee of the continuing default; </w:t>
      </w:r>
    </w:p>
    <w:p>
      <w:pPr>
        <w:pStyle w:val="TextBody"/>
        <w:jc w:val="center"/>
        <w:rPr>
          <w:rFonts w:ascii="times" w:hAnsi="times"/>
          <w:sz w:val="20"/>
        </w:rPr>
      </w:pPr>
      <w:r>
        <w:rPr>
          <w:rFonts w:ascii="times" w:hAnsi="times"/>
          <w:sz w:val="20"/>
        </w:rPr>
        <w:t>19</w:t>
      </w:r>
    </w:p>
    <w:p>
      <w:pPr>
        <w:pStyle w:val="HorizontalLine"/>
        <w:pBdr>
          <w:bottom w:val="single" w:sz="20" w:space="0" w:color="808080"/>
        </w:pBdr>
        <w:rPr/>
      </w:pPr>
      <w:r>
        <w:rPr/>
      </w:r>
      <w:r>
        <w:br w:type="page"/>
      </w:r>
    </w:p>
    <w:p>
      <w:pPr>
        <w:pStyle w:val="TextBody"/>
        <w:rPr/>
      </w:pPr>
      <w:hyperlink w:anchor="dg43504a_main_toc">
        <w:bookmarkStart w:id="293" w:name="page_ee43504_1_20"/>
        <w:bookmarkEnd w:id="293"/>
        <w:r>
          <w:rPr>
            <w:rStyle w:val="InternetLink"/>
            <w:rFonts w:ascii="times" w:hAnsi="times"/>
            <w:sz w:val="20"/>
          </w:rPr>
          <w:t>Table of Contents</w:t>
        </w:r>
      </w:hyperlink>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the holders of not less than 25% in aggregate principal amount of the outstanding debt securities of each affected series, treated as one class, must have: </w:t>
      </w:r>
    </w:p>
    <w:p>
      <w:pPr>
        <w:pStyle w:val="ListHeading"/>
        <w:numPr>
          <w:ilvl w:val="0"/>
          <w:numId w:val="0"/>
        </w:numPr>
        <w:spacing w:before="0" w:after="0"/>
        <w:ind w:left="1274" w:right="0" w:hanging="0"/>
        <w:rPr>
          <w:rFonts w:ascii="times" w:hAnsi="times"/>
          <w:sz w:val="20"/>
        </w:rPr>
      </w:pPr>
      <w:r>
        <w:rPr>
          <w:rFonts w:ascii="times" w:hAnsi="times"/>
          <w:sz w:val="20"/>
        </w:rPr>
        <w:t></w:t>
      </w:r>
    </w:p>
    <w:p>
      <w:pPr>
        <w:pStyle w:val="ListContents"/>
        <w:numPr>
          <w:ilvl w:val="0"/>
          <w:numId w:val="0"/>
        </w:numPr>
        <w:spacing w:before="0" w:after="283"/>
        <w:ind w:left="1841" w:right="0" w:hanging="0"/>
        <w:rPr>
          <w:rFonts w:ascii="times" w:hAnsi="times"/>
          <w:sz w:val="20"/>
        </w:rPr>
      </w:pPr>
      <w:r>
        <w:rPr>
          <w:rFonts w:ascii="times" w:hAnsi="times"/>
          <w:sz w:val="20"/>
        </w:rPr>
        <w:t xml:space="preserve">requested the trustee to institute that action; and </w:t>
      </w:r>
    </w:p>
    <w:p>
      <w:pPr>
        <w:pStyle w:val="ListHeading"/>
        <w:numPr>
          <w:ilvl w:val="0"/>
          <w:numId w:val="0"/>
        </w:numPr>
        <w:spacing w:before="0" w:after="0"/>
        <w:ind w:left="1274" w:right="0" w:hanging="0"/>
        <w:rPr>
          <w:rFonts w:ascii="times" w:hAnsi="times"/>
          <w:sz w:val="20"/>
        </w:rPr>
      </w:pPr>
      <w:r>
        <w:rPr>
          <w:rFonts w:ascii="times" w:hAnsi="times"/>
          <w:sz w:val="20"/>
        </w:rPr>
        <w:t></w:t>
      </w:r>
    </w:p>
    <w:p>
      <w:pPr>
        <w:pStyle w:val="ListContents"/>
        <w:numPr>
          <w:ilvl w:val="0"/>
          <w:numId w:val="0"/>
        </w:numPr>
        <w:spacing w:before="0" w:after="283"/>
        <w:ind w:left="1841" w:right="0" w:hanging="0"/>
        <w:rPr>
          <w:rFonts w:ascii="times" w:hAnsi="times"/>
          <w:sz w:val="20"/>
        </w:rPr>
      </w:pPr>
      <w:r>
        <w:rPr>
          <w:rFonts w:ascii="times" w:hAnsi="times"/>
          <w:sz w:val="20"/>
        </w:rPr>
        <w:t xml:space="preserve">offered the trustee indemnity satisfactory to it;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the trustee must have failed to institute that action within 60 days after receipt of the request referred to above; and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the holders of a majority in principal amount of the outstanding debt securities of each affected series, voting as one class, must not have given directions to the trustee inconsistent with those of the holders referred to above. </w:t>
      </w:r>
    </w:p>
    <w:p>
      <w:pPr>
        <w:pStyle w:val="TextBody"/>
        <w:rPr/>
      </w:pPr>
      <w:r>
        <w:rPr/>
        <w:t>        </w:t>
      </w:r>
      <w:r>
        <w:rPr>
          <w:rFonts w:ascii="times" w:hAnsi="times"/>
          <w:sz w:val="20"/>
        </w:rPr>
        <w:t xml:space="preserve">The indenture contains a covenant that we will file annually with the trustee a certificate of no default or a certificate specifying any default that exists. </w:t>
      </w:r>
    </w:p>
    <w:p>
      <w:pPr>
        <w:pStyle w:val="TextBody"/>
        <w:ind w:left="200" w:right="0" w:hanging="200"/>
        <w:rPr>
          <w:rFonts w:ascii="times" w:hAnsi="times"/>
          <w:b/>
          <w:sz w:val="20"/>
        </w:rPr>
      </w:pPr>
      <w:bookmarkStart w:id="294" w:name="toc_ee43504_22"/>
      <w:bookmarkStart w:id="295" w:name="ee43504_discharge,_defeasance_and_covena"/>
      <w:bookmarkEnd w:id="294"/>
      <w:bookmarkEnd w:id="295"/>
      <w:r>
        <w:rPr>
          <w:rFonts w:ascii="times" w:hAnsi="times"/>
          <w:b/>
          <w:sz w:val="20"/>
        </w:rPr>
        <w:t xml:space="preserve">Discharge, Defeasance and Covenant Defeasance </w:t>
      </w:r>
    </w:p>
    <w:p>
      <w:pPr>
        <w:pStyle w:val="TextBody"/>
        <w:rPr/>
      </w:pPr>
      <w:r>
        <w:rPr/>
        <w:t>        </w:t>
      </w:r>
      <w:r>
        <w:rPr>
          <w:rFonts w:ascii="times" w:hAnsi="times"/>
          <w:sz w:val="20"/>
        </w:rPr>
        <w:t xml:space="preserve">We have the ability to eliminate most or all of our obligations on any series of debt securities prior to maturity if we comply with the following provisions: </w:t>
      </w:r>
    </w:p>
    <w:p>
      <w:pPr>
        <w:pStyle w:val="TextBody"/>
        <w:rPr/>
      </w:pPr>
      <w:r>
        <w:rPr/>
        <w:t>        </w:t>
      </w:r>
      <w:r>
        <w:rPr>
          <w:rFonts w:ascii="times" w:hAnsi="times"/>
          <w:b/>
          <w:i/>
          <w:sz w:val="20"/>
        </w:rPr>
        <w:t>Discharge of Indenture.</w:t>
      </w:r>
      <w:r>
        <w:rPr>
          <w:rFonts w:ascii="times" w:hAnsi="times"/>
        </w:rPr>
        <w:t>    </w:t>
      </w:r>
      <w:r>
        <w:rPr>
          <w:rFonts w:ascii="times" w:hAnsi="times"/>
          <w:sz w:val="20"/>
        </w:rPr>
        <w:t>We may discharge all of our obligations, other than as to transfers and exchanges, under the indenture after we have:</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paid or caused to be paid the principal of and interest on all of the outstanding debt securities in accordance with their terms;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delivered to the trustee for cancellation all of the outstanding debt securities; or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irrevocably deposited with the trustee cash or, in the case of a series of debt securities payable only in U.S. dollars, U.S. government obligations in trust for the benefit of the holders of any series of debt securities issued under the indenture that have either become due and payable, or are by their terms due and payable, or are scheduled for redemption, within one year, in an amount certified to be sufficient to pay on each date that they become due and payable, the principal of and interest on, and any mandatory sinking fund payments for, those debt securities. However, the deposit of cash or U.S. government obligations for the benefit of holders of a series of debt securities that are due and payable, or are scheduled for redemption, within one year will discharge obligations under the indenture relating only to that series of debt securities. </w:t>
      </w:r>
    </w:p>
    <w:p>
      <w:pPr>
        <w:pStyle w:val="TextBody"/>
        <w:rPr/>
      </w:pPr>
      <w:r>
        <w:rPr/>
        <w:t>        </w:t>
      </w:r>
      <w:r>
        <w:rPr>
          <w:rFonts w:ascii="times" w:hAnsi="times"/>
          <w:b/>
          <w:i/>
          <w:sz w:val="20"/>
        </w:rPr>
        <w:t>Defeasance of a Series of Securities at Any Time.</w:t>
      </w:r>
      <w:r>
        <w:rPr>
          <w:rFonts w:ascii="times" w:hAnsi="times"/>
        </w:rPr>
        <w:t>    </w:t>
      </w:r>
      <w:r>
        <w:rPr>
          <w:rFonts w:ascii="times" w:hAnsi="times"/>
          <w:sz w:val="20"/>
        </w:rPr>
        <w:t xml:space="preserve">We may also discharge all of our obligations, other than as to transfers and exchanges, under any series of debt securities at any time, which we refer to as defeasance in this prospectus. We may be released with respect to any outstanding series of debt securities from the obligations imposed by any covenants and elect not to comply with those covenants without creating an event of default. Discharge under those procedures is called covenant defeasance. </w:t>
      </w:r>
    </w:p>
    <w:p>
      <w:pPr>
        <w:pStyle w:val="TextBody"/>
        <w:rPr/>
      </w:pPr>
      <w:r>
        <w:rPr/>
        <w:t>        </w:t>
      </w:r>
      <w:r>
        <w:rPr>
          <w:rFonts w:ascii="times" w:hAnsi="times"/>
          <w:sz w:val="20"/>
        </w:rPr>
        <w:t>Defeasance or covenant defeasance may be effected only if, among other things:</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we irrevocably deposit with the trustee cash or, in the case of debt securities payable only in U.S. dollars, U.S. government obligations, as trust funds in an amount certified to be sufficient to pay on each date that they become due and payable, the principal of and interest on, and any mandatory sinking fund payments for, all outstanding debt securities of the series being defeased; and </w:t>
      </w:r>
    </w:p>
    <w:p>
      <w:pPr>
        <w:pStyle w:val="TextBody"/>
        <w:jc w:val="center"/>
        <w:rPr>
          <w:rFonts w:ascii="times" w:hAnsi="times"/>
          <w:sz w:val="20"/>
        </w:rPr>
      </w:pPr>
      <w:r>
        <w:rPr>
          <w:rFonts w:ascii="times" w:hAnsi="times"/>
          <w:sz w:val="20"/>
        </w:rPr>
        <w:t>20</w:t>
      </w:r>
    </w:p>
    <w:p>
      <w:pPr>
        <w:pStyle w:val="HorizontalLine"/>
        <w:pBdr>
          <w:bottom w:val="single" w:sz="20" w:space="0" w:color="808080"/>
        </w:pBdr>
        <w:rPr/>
      </w:pPr>
      <w:r>
        <w:rPr/>
      </w:r>
      <w:r>
        <w:br w:type="page"/>
      </w:r>
    </w:p>
    <w:p>
      <w:pPr>
        <w:pStyle w:val="TextBody"/>
        <w:rPr/>
      </w:pPr>
      <w:hyperlink w:anchor="dg43504a_main_toc">
        <w:bookmarkStart w:id="296" w:name="page_ee43504_1_21"/>
        <w:bookmarkEnd w:id="296"/>
        <w:r>
          <w:rPr>
            <w:rStyle w:val="InternetLink"/>
            <w:rFonts w:ascii="times" w:hAnsi="times"/>
            <w:sz w:val="20"/>
          </w:rPr>
          <w:t>Table of Contents</w:t>
        </w:r>
      </w:hyperlink>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rPr>
      </w:pPr>
      <w:r>
        <w:rPr>
          <w:rFonts w:ascii="times" w:hAnsi="times"/>
          <w:sz w:val="20"/>
        </w:rPr>
        <w:t>we deliver to the trustee an opinion of counsel to the effect that:</w:t>
      </w:r>
      <w:r>
        <w:rPr>
          <w:rFonts w:ascii="times" w:hAnsi="times"/>
        </w:rPr>
        <w:t xml:space="preserve">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the holders of the series of debt securities being defeased will not recognize income, gain or loss for United States federal income tax purposes as a result of the defeasance or covenant defeasance;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the defeasance or covenant defeasance will not otherwise alter those holders' United States federal income tax treatment of principal and interest payments on the series of debt securities being defeased; and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in the case of a defeasance, this opinion must be based on a ruling of the Internal Revenue Service or a change in United States federal income tax law occurring after the date of this prospectus, since that result would not occur under current tax law. </w:t>
      </w:r>
    </w:p>
    <w:p>
      <w:pPr>
        <w:pStyle w:val="TextBody"/>
        <w:ind w:left="200" w:right="0" w:hanging="200"/>
        <w:rPr>
          <w:rFonts w:ascii="times" w:hAnsi="times"/>
          <w:b/>
          <w:sz w:val="20"/>
        </w:rPr>
      </w:pPr>
      <w:bookmarkStart w:id="297" w:name="toc_ee43504_23"/>
      <w:bookmarkStart w:id="298" w:name="ee43504_modification_of_the_indenture"/>
      <w:bookmarkEnd w:id="297"/>
      <w:bookmarkEnd w:id="298"/>
      <w:r>
        <w:rPr>
          <w:rFonts w:ascii="times" w:hAnsi="times"/>
          <w:b/>
          <w:sz w:val="20"/>
        </w:rPr>
        <w:t xml:space="preserve">Modification of the Indenture </w:t>
      </w:r>
    </w:p>
    <w:p>
      <w:pPr>
        <w:pStyle w:val="TextBody"/>
        <w:rPr/>
      </w:pPr>
      <w:r>
        <w:rPr/>
        <w:t>        </w:t>
      </w:r>
      <w:r>
        <w:rPr>
          <w:rFonts w:ascii="times" w:hAnsi="times"/>
          <w:b/>
          <w:i/>
          <w:sz w:val="20"/>
        </w:rPr>
        <w:t>Modification without Consent of Holders.</w:t>
      </w:r>
      <w:r>
        <w:rPr>
          <w:rFonts w:ascii="times" w:hAnsi="times"/>
        </w:rPr>
        <w:t>    </w:t>
      </w:r>
      <w:r>
        <w:rPr>
          <w:rFonts w:ascii="times" w:hAnsi="times"/>
          <w:sz w:val="20"/>
        </w:rPr>
        <w:t>We and the trustee may enter into supplemental indentures without the consent of the holders of debt securities issued under the indenture to:</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secure any debt securities;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evidence the assumption by a successor corporation of our obligations;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add covenants for the protection of the holders of debt securities;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cure any ambiguity or correct any inconsistency;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establish the forms or terms of debt securities of any series;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evidence the acceptance of appointment by a successor trustee; or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make such other provisions in regard to matters or questions arising under the indenture or under any supplemental indenture as the board of directors may deem necessary or desirable and which shall not adversely affect the rights of the holders of debt securities in any material respect. </w:t>
      </w:r>
    </w:p>
    <w:p>
      <w:pPr>
        <w:pStyle w:val="TextBody"/>
        <w:rPr/>
      </w:pPr>
      <w:r>
        <w:rPr/>
        <w:t>        </w:t>
      </w:r>
      <w:r>
        <w:rPr>
          <w:rFonts w:ascii="times" w:hAnsi="times"/>
          <w:b/>
          <w:i/>
          <w:sz w:val="20"/>
        </w:rPr>
        <w:t>Modification with Consent of Holders.</w:t>
      </w:r>
      <w:r>
        <w:rPr>
          <w:rFonts w:ascii="times" w:hAnsi="times"/>
        </w:rPr>
        <w:t>    </w:t>
      </w:r>
      <w:r>
        <w:rPr>
          <w:rFonts w:ascii="times" w:hAnsi="times"/>
          <w:sz w:val="20"/>
        </w:rPr>
        <w:t>We and the trustee, with the consent of the holders of not less than a majority in aggregate principal amount of each affected series of outstanding debt securities, voting as one class, may add any provisions to, or change in any manner or eliminate any of the provisions of, the indenture or modify in any manner the rights of the holders of those debt securities. However, we and the trustee may not make any of the following changes to any outstanding debt security without the consent of each holder that would be affected by the change:</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extend the final maturity of the security;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reduce the principal amount;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reduce the rate or extend the time of payment of interest;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reduce any amount payable on redemption;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change the currency in which the principal, including any amount of original issue discount, premium, or interest on the security is payable;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modify or amend the provisions for conversion of any currency into another currency;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reduce the amount of any original issue discount security payable upon acceleration or provable in bankruptcy; </w:t>
      </w:r>
    </w:p>
    <w:p>
      <w:pPr>
        <w:pStyle w:val="TextBody"/>
        <w:jc w:val="center"/>
        <w:rPr>
          <w:rFonts w:ascii="times" w:hAnsi="times"/>
          <w:sz w:val="20"/>
        </w:rPr>
      </w:pPr>
      <w:r>
        <w:rPr>
          <w:rFonts w:ascii="times" w:hAnsi="times"/>
          <w:sz w:val="20"/>
        </w:rPr>
        <w:t>21</w:t>
      </w:r>
    </w:p>
    <w:p>
      <w:pPr>
        <w:pStyle w:val="HorizontalLine"/>
        <w:pBdr>
          <w:bottom w:val="single" w:sz="20" w:space="0" w:color="808080"/>
        </w:pBdr>
        <w:rPr/>
      </w:pPr>
      <w:r>
        <w:rPr/>
      </w:r>
      <w:r>
        <w:br w:type="page"/>
      </w:r>
    </w:p>
    <w:p>
      <w:pPr>
        <w:pStyle w:val="TextBody"/>
        <w:rPr/>
      </w:pPr>
      <w:hyperlink w:anchor="dg43504a_main_toc">
        <w:bookmarkStart w:id="299" w:name="page_ee43504_1_22"/>
        <w:bookmarkEnd w:id="299"/>
        <w:r>
          <w:rPr>
            <w:rStyle w:val="InternetLink"/>
            <w:rFonts w:ascii="times" w:hAnsi="times"/>
            <w:sz w:val="20"/>
          </w:rPr>
          <w:t>Table of Contents</w:t>
        </w:r>
      </w:hyperlink>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alter the terms on which holders of the debt securities may convert or exchange debt securities for Common Units or other securities, other than in accordance with the antidilution provisions or other similar adjustment provisions included in the terms of the debt securities;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impair the right of any holder to institute suit for the enforcement of any payment on any debt security when due; or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reduce the percentage of debt securities the consent of whose holders is required for modification of the indenture. </w:t>
      </w:r>
    </w:p>
    <w:p>
      <w:pPr>
        <w:pStyle w:val="TextBody"/>
        <w:ind w:left="200" w:right="0" w:hanging="200"/>
        <w:rPr>
          <w:rFonts w:ascii="times" w:hAnsi="times"/>
          <w:b/>
          <w:sz w:val="20"/>
        </w:rPr>
      </w:pPr>
      <w:bookmarkStart w:id="300" w:name="toc_ee43504_24"/>
      <w:bookmarkStart w:id="301" w:name="ee43504_form_of_debt_security"/>
      <w:bookmarkEnd w:id="300"/>
      <w:bookmarkEnd w:id="301"/>
      <w:r>
        <w:rPr>
          <w:rFonts w:ascii="times" w:hAnsi="times"/>
          <w:b/>
          <w:sz w:val="20"/>
        </w:rPr>
        <w:t xml:space="preserve">Form of Debt Security </w:t>
      </w:r>
    </w:p>
    <w:p>
      <w:pPr>
        <w:pStyle w:val="TextBody"/>
        <w:rPr/>
      </w:pPr>
      <w:r>
        <w:rPr/>
        <w:t>        </w:t>
      </w:r>
      <w:r>
        <w:rPr>
          <w:rFonts w:ascii="times" w:hAnsi="times"/>
          <w:sz w:val="20"/>
        </w:rPr>
        <w:t>Each debt security will be represented either by a certificate issued in definitive form to a particular investor or by one or more global securities representing the entire issuance of securities. Both certificated securities in definitive form and global securities may be issued either:</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in registered form, where our obligation runs to the holder of the security named on the face of the security; or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in bearer form, where our obligation runs to the bearer of the security. </w:t>
      </w:r>
    </w:p>
    <w:p>
      <w:pPr>
        <w:pStyle w:val="TextBody"/>
        <w:rPr/>
      </w:pPr>
      <w:r>
        <w:rPr/>
        <w:t>        </w:t>
      </w:r>
      <w:r>
        <w:rPr>
          <w:rFonts w:ascii="times" w:hAnsi="times"/>
          <w:sz w:val="20"/>
        </w:rPr>
        <w:t xml:space="preserve">Definitive securities name you or your nominee as the owner of the security, other than definitive bearer securities, which name the bearer as owner, and in order to transfer or exchange these securities or to receive payments other than interest or other interim payments, you or your nominee must physically deliver the securities to the trustee, registrar, paying agent or other agent, as applicable. </w:t>
      </w:r>
    </w:p>
    <w:p>
      <w:pPr>
        <w:pStyle w:val="TextBody"/>
        <w:rPr/>
      </w:pPr>
      <w:r>
        <w:rPr/>
        <w:t>        </w:t>
      </w:r>
      <w:r>
        <w:rPr>
          <w:rFonts w:ascii="times" w:hAnsi="times"/>
          <w:sz w:val="20"/>
        </w:rPr>
        <w:t xml:space="preserve">Global securities name a depositary or its nominee as the owner of the debt securities represented by these global securities, other than global bearer securities, which name the bearer as owner. The depositary maintains a computerized system that will reflect each investor's beneficial ownership of the securities through an account maintained by the investor with its broker/dealer, bank, trust company or other representative, as we explain more fully below. </w:t>
      </w:r>
    </w:p>
    <w:p>
      <w:pPr>
        <w:pStyle w:val="TextBody"/>
        <w:ind w:left="200" w:right="0" w:hanging="200"/>
        <w:rPr>
          <w:rFonts w:ascii="times" w:hAnsi="times"/>
          <w:b/>
          <w:sz w:val="20"/>
        </w:rPr>
      </w:pPr>
      <w:bookmarkStart w:id="302" w:name="toc_ee43504_25"/>
      <w:bookmarkStart w:id="303" w:name="ee43504_global_securities"/>
      <w:bookmarkEnd w:id="302"/>
      <w:bookmarkEnd w:id="303"/>
      <w:r>
        <w:rPr>
          <w:rFonts w:ascii="times" w:hAnsi="times"/>
          <w:b/>
          <w:sz w:val="20"/>
        </w:rPr>
        <w:t xml:space="preserve">Global Securities </w:t>
      </w:r>
    </w:p>
    <w:p>
      <w:pPr>
        <w:pStyle w:val="TextBody"/>
        <w:rPr/>
      </w:pPr>
      <w:r>
        <w:rPr/>
        <w:t>        </w:t>
      </w:r>
      <w:r>
        <w:rPr>
          <w:rFonts w:ascii="times" w:hAnsi="times"/>
          <w:b/>
          <w:i/>
          <w:sz w:val="20"/>
        </w:rPr>
        <w:t>Registered Global Securities.</w:t>
      </w:r>
      <w:r>
        <w:rPr>
          <w:rFonts w:ascii="times" w:hAnsi="times"/>
        </w:rPr>
        <w:t>    </w:t>
      </w:r>
      <w:r>
        <w:rPr>
          <w:rFonts w:ascii="times" w:hAnsi="times"/>
          <w:sz w:val="20"/>
        </w:rPr>
        <w:t xml:space="preserve">We may issue the debt securities in the form of one or more fully registered global securities that will be deposited with a depositary or its nominee identified in the applicable prospectus supplement and registered in the name of that depositary or nominee. In those cases, one or more registered global securities will be issued in a denomination or aggregate denominations equal to the portion of the aggregate principal or face amount of the securities to be represented by registered global securities. Unless and until it is exchanged in whole for securities in definitive registered form, a registered global security may not be transferred except as a whole by and among the depositary for the registered global security, the nominees of the depositary or any successors of the depositary or those nominees. If not described below, any specific terms of the depositary arrangement with respect to any securities to be represented by a registered global security will be described in the prospectus supplement relating to those securities. We anticipate that the following provisions will apply to all depositary arrangements: </w:t>
      </w:r>
    </w:p>
    <w:p>
      <w:pPr>
        <w:pStyle w:val="TextBody"/>
        <w:rPr/>
      </w:pPr>
      <w:r>
        <w:rPr/>
        <w:t>        </w:t>
      </w:r>
      <w:r>
        <w:rPr>
          <w:rFonts w:ascii="times" w:hAnsi="times"/>
          <w:sz w:val="20"/>
        </w:rPr>
        <w:t xml:space="preserve">Ownership of beneficial interests in a registered global security will be limited to persons, called participants, that have accounts with the depositary or persons that may hold interests through participants. Upon the issuance of a registered global security, the depositary will credit, on its book-entry registration and transfer system, the participants' accounts with the respective principal or face amounts of the securities beneficially owned by the participants. Any dealers, underwriters or selling agents participating in the distribution of the securities will designate the accounts to be credited. Ownership of beneficial interests in a registered global security will be shown on, and the transfer of ownership interests will be effected only through, records maintained by the depositary, with </w:t>
      </w:r>
    </w:p>
    <w:p>
      <w:pPr>
        <w:pStyle w:val="TextBody"/>
        <w:jc w:val="center"/>
        <w:rPr>
          <w:rFonts w:ascii="times" w:hAnsi="times"/>
          <w:sz w:val="20"/>
        </w:rPr>
      </w:pPr>
      <w:r>
        <w:rPr>
          <w:rFonts w:ascii="times" w:hAnsi="times"/>
          <w:sz w:val="20"/>
        </w:rPr>
        <w:t>22</w:t>
      </w:r>
    </w:p>
    <w:p>
      <w:pPr>
        <w:pStyle w:val="HorizontalLine"/>
        <w:pBdr>
          <w:bottom w:val="single" w:sz="20" w:space="0" w:color="808080"/>
        </w:pBdr>
        <w:rPr/>
      </w:pPr>
      <w:r>
        <w:rPr/>
      </w:r>
      <w:r>
        <w:br w:type="page"/>
      </w:r>
    </w:p>
    <w:p>
      <w:pPr>
        <w:pStyle w:val="TextBody"/>
        <w:rPr/>
      </w:pPr>
      <w:hyperlink w:anchor="dg43504a_main_toc">
        <w:bookmarkStart w:id="304" w:name="page_ee43504_1_23"/>
        <w:bookmarkEnd w:id="304"/>
        <w:r>
          <w:rPr>
            <w:rStyle w:val="InternetLink"/>
            <w:rFonts w:ascii="times" w:hAnsi="times"/>
            <w:sz w:val="20"/>
          </w:rPr>
          <w:t>Table of Contents</w:t>
        </w:r>
      </w:hyperlink>
    </w:p>
    <w:p>
      <w:pPr>
        <w:pStyle w:val="TextBody"/>
        <w:rPr>
          <w:rFonts w:ascii="times" w:hAnsi="times"/>
          <w:sz w:val="20"/>
        </w:rPr>
      </w:pPr>
      <w:r>
        <w:rPr>
          <w:rFonts w:ascii="times" w:hAnsi="times"/>
          <w:sz w:val="20"/>
        </w:rPr>
        <w:t xml:space="preserve">respect to interests of participants, and on the records of participants, with respect to interests of persons holding through participants. The laws of some jurisdictions may require that some purchasers of securities take physical delivery of these securities in definitive form. These laws may impair your ability to own, transfer or pledge beneficial interests in registered global securities. So long as the depositary, or its nominee, is the registered owner of a registered global security, that depositary or its nominee, as the case may be, will be considered the sole owner or holder of the securities represented by the registered global security for all purposes under the indenture. </w:t>
      </w:r>
    </w:p>
    <w:p>
      <w:pPr>
        <w:pStyle w:val="TextBody"/>
        <w:rPr/>
      </w:pPr>
      <w:r>
        <w:rPr/>
        <w:t>        </w:t>
      </w:r>
      <w:r>
        <w:rPr>
          <w:rFonts w:ascii="times" w:hAnsi="times"/>
          <w:sz w:val="20"/>
        </w:rPr>
        <w:t xml:space="preserve">Except as described below, owners of beneficial interests in a registered global security will not be entitled to have the securities represented by the registered global security registered in their names, will not receive or be entitled to receive physical delivery of the securities in definitive form and will not be considered the owners or holders of the securities under the indenture. Accordingly, each person owning a beneficial interest in a registered global security must rely on the procedures of the depositary for that registered global security and, if that person is not a participant, on the procedures of the participant through which the person owns its interest, to exercise any rights of a holder under the indenture. We understand that under existing industry practices, if we request any action of holders or if an owner of a beneficial interest in a registered global security desires to give or take any action that a holder is entitled to give or take under the indenture, the depositary for the registered global security would authorize the participants holding the relevant beneficial interests to give or take that action, and the participants would authorize beneficial owners owning through them to give or take that action or would otherwise act upon the instructions of beneficial owners holding through them. </w:t>
      </w:r>
    </w:p>
    <w:p>
      <w:pPr>
        <w:pStyle w:val="TextBody"/>
        <w:rPr/>
      </w:pPr>
      <w:r>
        <w:rPr/>
        <w:t>        </w:t>
      </w:r>
      <w:r>
        <w:rPr>
          <w:rFonts w:ascii="times" w:hAnsi="times"/>
          <w:sz w:val="20"/>
        </w:rPr>
        <w:t xml:space="preserve">Principal, premium, if any, and interest payments on debt securities represented by a registered global security registered in the name of a depositary or its nominee will be made to the depositary or its nominee, as the case may be, as the registered owner of the registered global security. None of us, the trustee or any other agent of us or agent of the trustee will have any responsibility or liability for any aspect of the records relating to payments made on account of beneficial ownership interests in the registered global security or for maintaining, supervising or reviewing any records relating to those beneficial ownership interests. We expect that the depositary for any of the securities represented by a registered global security, upon receipt of any payment of principal, premium, interest or other distribution of underlying securities or other property to holders on that registered global security, will immediately credit participants' accounts in amounts proportionate to their respective beneficial interests in that registered global security as shown on the records of the depositary. We also expect that payments by participants to owners of beneficial interests in a registered global security held through participants will be governed by standing customer instructions and customary practices, as is now the case with the securities held for the accounts of customers in bearer form or registered in "street name", and will be the responsibility of those participants. </w:t>
      </w:r>
    </w:p>
    <w:p>
      <w:pPr>
        <w:pStyle w:val="TextBody"/>
        <w:rPr/>
      </w:pPr>
      <w:r>
        <w:rPr/>
        <w:t>        </w:t>
      </w:r>
      <w:r>
        <w:rPr>
          <w:rFonts w:ascii="times" w:hAnsi="times"/>
          <w:sz w:val="20"/>
        </w:rPr>
        <w:t xml:space="preserve">If the depositary for any of these securities represented by a registered global security is at any time unwilling or unable to continue as depositary or ceases to be a clearing agency registered under the Exchange Act, and a successor depositary registered as a clearing agency under the Exchange Act is not appointed by us within 90 days, we will issue securities in definitive form in exchange for the registered global security that had been held by the depositary. In addition, we may, at any time and in our sole discretion, decide not to have any of the securities represented by one or more registered global securities. If we make that decision, we will issue securities in definitive form in exchange for all of the registered global security or securities representing those securities. Any securities issued in definitive form in exchange for a registered global security will be registered in the name or names that the depositary gives to the relevant trustee or other relevant agent of ours or theirs. It is expected that the depositary's instructions will be based upon directions received by the depositary from participants with respect to ownership of beneficial interests in the registered global security that had been held by the depositary. </w:t>
      </w:r>
    </w:p>
    <w:p>
      <w:pPr>
        <w:pStyle w:val="TextBody"/>
        <w:jc w:val="center"/>
        <w:rPr>
          <w:rFonts w:ascii="times" w:hAnsi="times"/>
          <w:sz w:val="20"/>
        </w:rPr>
      </w:pPr>
      <w:r>
        <w:rPr>
          <w:rFonts w:ascii="times" w:hAnsi="times"/>
          <w:sz w:val="20"/>
        </w:rPr>
        <w:t>23</w:t>
      </w:r>
    </w:p>
    <w:p>
      <w:pPr>
        <w:pStyle w:val="HorizontalLine"/>
        <w:pBdr>
          <w:bottom w:val="single" w:sz="20" w:space="0" w:color="808080"/>
        </w:pBdr>
        <w:rPr/>
      </w:pPr>
      <w:r>
        <w:rPr/>
      </w:r>
      <w:r>
        <w:br w:type="page"/>
      </w:r>
    </w:p>
    <w:p>
      <w:pPr>
        <w:pStyle w:val="TextBody"/>
        <w:rPr/>
      </w:pPr>
      <w:hyperlink w:anchor="dg43504a_main_toc">
        <w:bookmarkStart w:id="305" w:name="page_ee43504_1_24"/>
        <w:bookmarkEnd w:id="305"/>
        <w:r>
          <w:rPr>
            <w:rStyle w:val="InternetLink"/>
            <w:rFonts w:ascii="times" w:hAnsi="times"/>
            <w:sz w:val="20"/>
          </w:rPr>
          <w:t>Table of Contents</w:t>
        </w:r>
      </w:hyperlink>
    </w:p>
    <w:p>
      <w:pPr>
        <w:pStyle w:val="TextBody"/>
        <w:rPr/>
      </w:pPr>
      <w:r>
        <w:rPr/>
        <w:t>        </w:t>
      </w:r>
      <w:r>
        <w:rPr>
          <w:rFonts w:ascii="times" w:hAnsi="times"/>
          <w:b/>
          <w:i/>
          <w:sz w:val="20"/>
        </w:rPr>
        <w:t>Bearer Global Securities.</w:t>
      </w:r>
      <w:r>
        <w:rPr>
          <w:rFonts w:ascii="times" w:hAnsi="times"/>
        </w:rPr>
        <w:t>    </w:t>
      </w:r>
      <w:r>
        <w:rPr>
          <w:rFonts w:ascii="times" w:hAnsi="times"/>
          <w:sz w:val="20"/>
        </w:rPr>
        <w:t xml:space="preserve">The securities may also be issued in the form of one or more bearer global securities that will be deposited with a common depositary for the Euroclear System and Clearstream Banking, </w:t>
      </w:r>
      <w:r>
        <w:rPr>
          <w:rFonts w:ascii="times" w:hAnsi="times"/>
          <w:i/>
          <w:sz w:val="20"/>
        </w:rPr>
        <w:t>société anonyme</w:t>
      </w:r>
      <w:r>
        <w:rPr>
          <w:rFonts w:ascii="times" w:hAnsi="times"/>
        </w:rPr>
        <w:t xml:space="preserve"> </w:t>
      </w:r>
      <w:r>
        <w:rPr>
          <w:rFonts w:ascii="times" w:hAnsi="times"/>
          <w:sz w:val="20"/>
        </w:rPr>
        <w:t xml:space="preserve">or with a nominee for the depositary identified in the prospectus supplement relating to those securities. The specific terms and procedures, including the specific terms of the depositary arrangement, with respect to any securities to be represented by a bearer global security will be described in the prospectus supplement relating to those securities. </w:t>
      </w:r>
    </w:p>
    <w:p>
      <w:pPr>
        <w:pStyle w:val="TextBody"/>
        <w:ind w:left="200" w:right="0" w:hanging="200"/>
        <w:rPr>
          <w:rFonts w:ascii="times" w:hAnsi="times"/>
          <w:b/>
          <w:sz w:val="20"/>
        </w:rPr>
      </w:pPr>
      <w:bookmarkStart w:id="306" w:name="toc_ee43504_26"/>
      <w:bookmarkStart w:id="307" w:name="ee43504_new_york_law_to_govern"/>
      <w:bookmarkEnd w:id="306"/>
      <w:bookmarkEnd w:id="307"/>
      <w:r>
        <w:rPr>
          <w:rFonts w:ascii="times" w:hAnsi="times"/>
          <w:b/>
          <w:sz w:val="20"/>
        </w:rPr>
        <w:t xml:space="preserve">New York Law to Govern </w:t>
      </w:r>
    </w:p>
    <w:p>
      <w:pPr>
        <w:pStyle w:val="TextBody"/>
        <w:rPr/>
      </w:pPr>
      <w:r>
        <w:rPr/>
        <w:t>        </w:t>
      </w:r>
      <w:r>
        <w:rPr>
          <w:rFonts w:ascii="times" w:hAnsi="times"/>
          <w:sz w:val="20"/>
        </w:rPr>
        <w:t xml:space="preserve">The indenture and the debt securities will be governed by the laws of the State of New York. </w:t>
      </w:r>
    </w:p>
    <w:p>
      <w:pPr>
        <w:pStyle w:val="TextBody"/>
        <w:jc w:val="center"/>
        <w:rPr>
          <w:rFonts w:ascii="times" w:hAnsi="times"/>
        </w:rPr>
      </w:pPr>
      <w:bookmarkStart w:id="308" w:name="toc_ee43504_27"/>
      <w:bookmarkStart w:id="309" w:name="ee43504_description_of_warrants"/>
      <w:bookmarkEnd w:id="308"/>
      <w:bookmarkEnd w:id="309"/>
      <w:r>
        <w:rPr>
          <w:rFonts w:ascii="times" w:hAnsi="times"/>
          <w:sz w:val="20"/>
        </w:rPr>
        <w:br/>
      </w:r>
      <w:r>
        <w:rPr>
          <w:rFonts w:ascii="times" w:hAnsi="times"/>
          <w:b/>
          <w:sz w:val="20"/>
        </w:rPr>
        <w:t xml:space="preserve">DESCRIPTION OF WARRANTS </w:t>
      </w:r>
    </w:p>
    <w:p>
      <w:pPr>
        <w:pStyle w:val="TextBody"/>
        <w:rPr/>
      </w:pPr>
      <w:r>
        <w:rPr/>
        <w:t>        </w:t>
      </w:r>
      <w:r>
        <w:rPr>
          <w:rFonts w:ascii="times" w:hAnsi="times"/>
          <w:sz w:val="20"/>
        </w:rPr>
        <w:t xml:space="preserve">We may issue Warrants to purchase our equity securities or securities of third parties or other rights, including rights to receive payment in cash or securities based on the value, rate or price of one or more specified commodities, currencies, securities or indices, or any combination of the foregoing. Warrants may be issued independently or together with any other securities and may be attached to, or separate from, such securities. A series of Warrants may be issued under a separate warrant agreement to be entered into between us and a warrant agent. The terms of any Warrants to be issued and a description of the material provisions of any applicable warrant agreement will be set forth in the applicable prospectus supplement. </w:t>
      </w:r>
    </w:p>
    <w:p>
      <w:pPr>
        <w:pStyle w:val="TextBody"/>
        <w:rPr/>
      </w:pPr>
      <w:r>
        <w:rPr/>
        <w:t>        </w:t>
      </w:r>
      <w:r>
        <w:rPr>
          <w:rFonts w:ascii="times" w:hAnsi="times"/>
          <w:sz w:val="20"/>
        </w:rPr>
        <w:t>The applicable prospectus supplement will describe the following terms of any warrants in respect of which this prospectus is being delivered:</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the title of such Warrants;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the aggregate number of such Warrants;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the price or prices at which such Warrants will be issued;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the currency or currencies, in which the price of such Warrants will be payable;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the securities or other rights, including rights to receive payment in cash or securities based on the value, rate or price of one or more specified commodities, currencies, securities or indices, or any combination of the foregoing, purchasable upon exercise of such Warrants;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the price at which and the currency or currencies, in which the securities or other rights purchasable upon exercise of such Warrants may be purchased;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the date on which the right to exercise such Warrants shall commence and the date on which such right shall expire;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the amount of Warrants outstanding;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if applicable, the minimum or maximum amount of such Warrants which may be exercised at any one time;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if applicable, the designation and terms of the securities with which such Warrants are issued and the number of such Warrants issued with each such security;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if applicable, the date on and after which such Warrants and the related securities will be separately transferable;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information with respect to book-entry procedures, if any;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if applicable, a discussion of any material United States Federal income tax considerations; and </w:t>
      </w:r>
    </w:p>
    <w:p>
      <w:pPr>
        <w:pStyle w:val="TextBody"/>
        <w:jc w:val="center"/>
        <w:rPr>
          <w:rFonts w:ascii="times" w:hAnsi="times"/>
          <w:sz w:val="20"/>
        </w:rPr>
      </w:pPr>
      <w:r>
        <w:rPr>
          <w:rFonts w:ascii="times" w:hAnsi="times"/>
          <w:sz w:val="20"/>
        </w:rPr>
        <w:t>24</w:t>
      </w:r>
    </w:p>
    <w:p>
      <w:pPr>
        <w:pStyle w:val="HorizontalLine"/>
        <w:pBdr>
          <w:bottom w:val="single" w:sz="20" w:space="0" w:color="808080"/>
        </w:pBdr>
        <w:rPr/>
      </w:pPr>
      <w:r>
        <w:rPr/>
      </w:r>
      <w:r>
        <w:br w:type="page"/>
      </w:r>
    </w:p>
    <w:p>
      <w:pPr>
        <w:pStyle w:val="TextBody"/>
        <w:rPr/>
      </w:pPr>
      <w:hyperlink w:anchor="dg43504a_main_toc">
        <w:bookmarkStart w:id="310" w:name="page_ee43504_1_25"/>
        <w:bookmarkEnd w:id="310"/>
        <w:r>
          <w:rPr>
            <w:rStyle w:val="InternetLink"/>
            <w:rFonts w:ascii="times" w:hAnsi="times"/>
            <w:sz w:val="20"/>
          </w:rPr>
          <w:t>Table of Contents</w:t>
        </w:r>
      </w:hyperlink>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any other terms of such Warrants, including terms, procedures and limitations relating to the exchange and exercise of such warrants. </w:t>
      </w:r>
    </w:p>
    <w:p>
      <w:pPr>
        <w:pStyle w:val="TextBody"/>
        <w:rPr/>
      </w:pPr>
      <w:r>
        <w:rPr/>
        <w:t>        </w:t>
      </w:r>
      <w:r>
        <w:rPr>
          <w:rFonts w:ascii="times" w:hAnsi="times"/>
          <w:sz w:val="20"/>
        </w:rPr>
        <w:t xml:space="preserve">The description in the applicable prospectus supplement of any Warrants we offer will not necessarily be complete and will be qualified in its entirety by reference to the applicable warrant certificate or warrant agreement, which will be filed with the SEC if we offer Warrants. For more information on how you can obtain copies of any warrant certificate or warrant agreement if we offer Warrants, see "Where You Can Find Additional Information" beginning on page 9 of this prospectus. We urge you to read the applicable warrant certificate, the applicable warrant agreement and any applicable prospectus supplement in their entirety. </w:t>
      </w:r>
    </w:p>
    <w:p>
      <w:pPr>
        <w:pStyle w:val="TextBody"/>
        <w:jc w:val="center"/>
        <w:rPr>
          <w:rFonts w:ascii="times" w:hAnsi="times"/>
        </w:rPr>
      </w:pPr>
      <w:bookmarkStart w:id="311" w:name="toc_ee43504_28"/>
      <w:bookmarkStart w:id="312" w:name="ee43504_description_of_rights"/>
      <w:bookmarkEnd w:id="311"/>
      <w:bookmarkEnd w:id="312"/>
      <w:r>
        <w:rPr>
          <w:rFonts w:ascii="times" w:hAnsi="times"/>
          <w:sz w:val="20"/>
        </w:rPr>
        <w:br/>
      </w:r>
      <w:r>
        <w:rPr>
          <w:rFonts w:ascii="times" w:hAnsi="times"/>
          <w:b/>
          <w:sz w:val="20"/>
        </w:rPr>
        <w:t xml:space="preserve">DESCRIPTION OF RIGHTS </w:t>
      </w:r>
    </w:p>
    <w:p>
      <w:pPr>
        <w:pStyle w:val="TextBody"/>
        <w:rPr/>
      </w:pPr>
      <w:r>
        <w:rPr/>
        <w:t>        </w:t>
      </w:r>
      <w:r>
        <w:rPr>
          <w:rFonts w:ascii="times" w:hAnsi="times"/>
          <w:sz w:val="20"/>
        </w:rPr>
        <w:t xml:space="preserve">We may issue Rights to purchase our equity securities. These Rights may be issued independently or together with any other security offered by this prospectus and may or may not be transferable by the shareholder receiving the Rights in the rights offering. In connection with any Rights offering, we may enter into a standby underwriting agreement with one or more underwriters pursuant to which the underwriter will purchase any securities that remain unsubscribed for upon completion of the rights offering. </w:t>
      </w:r>
    </w:p>
    <w:p>
      <w:pPr>
        <w:pStyle w:val="TextBody"/>
        <w:rPr/>
      </w:pPr>
      <w:r>
        <w:rPr/>
        <w:t>        </w:t>
      </w:r>
      <w:r>
        <w:rPr>
          <w:rFonts w:ascii="times" w:hAnsi="times"/>
          <w:sz w:val="20"/>
        </w:rPr>
        <w:t>The applicable prospectus supplement relating to any rights will describe the terms of the offered rights, including, where applicable, the following:</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the exercise price for the Rights;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the number of Rights issued to each shareholder;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the extent to which the Rights are transferable;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any other terms of the Rights, including terms, procedures and limitations relating to the exchange and exercise of the Rights;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the date on which the Right to exercise the Rights will commence and the date on which the Right will expire;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the amount of Rights outstanding;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the extent to which the Rights include an over-subscription privilege with respect to unsubscribed securities; and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the material terms of any standby underwriting arrangement entered into by us in connection with the Rights offering. </w:t>
      </w:r>
    </w:p>
    <w:p>
      <w:pPr>
        <w:pStyle w:val="TextBody"/>
        <w:rPr/>
      </w:pPr>
      <w:r>
        <w:rPr/>
        <w:t>        </w:t>
      </w:r>
      <w:r>
        <w:rPr>
          <w:rFonts w:ascii="times" w:hAnsi="times"/>
          <w:sz w:val="20"/>
        </w:rPr>
        <w:t xml:space="preserve">The description in the applicable prospectus supplement of any Rights we offer will not necessarily be complete and will be qualified in its entirety by reference to the applicable rights certificate or rights agreement, which will be filed with the SEC if we offer rights. For more information on how you can obtain copies of any rights certificate or rights agreement if we offer Rights, see "Where You Can Find Additional Information" beginning on page 9 of this prospectus. We urge you to read the applicable rights certificate, the applicable rights agreement and any applicable prospectus supplement in their entirety. </w:t>
      </w:r>
    </w:p>
    <w:p>
      <w:pPr>
        <w:pStyle w:val="TextBody"/>
        <w:jc w:val="center"/>
        <w:rPr>
          <w:rFonts w:ascii="times" w:hAnsi="times"/>
        </w:rPr>
      </w:pPr>
      <w:bookmarkStart w:id="313" w:name="toc_ee43504_29"/>
      <w:bookmarkStart w:id="314" w:name="ee43504_description_of_the_combination_u"/>
      <w:bookmarkEnd w:id="313"/>
      <w:bookmarkEnd w:id="314"/>
      <w:r>
        <w:rPr>
          <w:rFonts w:ascii="times" w:hAnsi="times"/>
          <w:sz w:val="20"/>
        </w:rPr>
        <w:br/>
      </w:r>
      <w:r>
        <w:rPr>
          <w:rFonts w:ascii="times" w:hAnsi="times"/>
          <w:b/>
          <w:sz w:val="20"/>
        </w:rPr>
        <w:t xml:space="preserve">DESCRIPTION OF THE COMBINATION UNITS </w:t>
      </w:r>
    </w:p>
    <w:p>
      <w:pPr>
        <w:pStyle w:val="TextBody"/>
        <w:rPr/>
      </w:pPr>
      <w:r>
        <w:rPr/>
        <w:t>        </w:t>
      </w:r>
      <w:r>
        <w:rPr>
          <w:rFonts w:ascii="times" w:hAnsi="times"/>
          <w:sz w:val="20"/>
        </w:rPr>
        <w:t xml:space="preserve">We may issue Combination Units consisting of any combination of Common Units, Preference Units, Other Units, debt securities, Warrants and Rights. Each Combination Unit will be issued so that the holder of the Combination Unit is also the holder of each security included in the Combination Unit. Thus, the holder of a Combination Unit will have the rights and obligations of a holder of each </w:t>
      </w:r>
    </w:p>
    <w:p>
      <w:pPr>
        <w:pStyle w:val="TextBody"/>
        <w:jc w:val="center"/>
        <w:rPr>
          <w:rFonts w:ascii="times" w:hAnsi="times"/>
          <w:sz w:val="20"/>
        </w:rPr>
      </w:pPr>
      <w:r>
        <w:rPr>
          <w:rFonts w:ascii="times" w:hAnsi="times"/>
          <w:sz w:val="20"/>
        </w:rPr>
        <w:t>25</w:t>
      </w:r>
    </w:p>
    <w:p>
      <w:pPr>
        <w:pStyle w:val="HorizontalLine"/>
        <w:pBdr>
          <w:bottom w:val="single" w:sz="20" w:space="0" w:color="808080"/>
        </w:pBdr>
        <w:rPr/>
      </w:pPr>
      <w:r>
        <w:rPr/>
      </w:r>
      <w:r>
        <w:br w:type="page"/>
      </w:r>
    </w:p>
    <w:p>
      <w:pPr>
        <w:pStyle w:val="TextBody"/>
        <w:rPr/>
      </w:pPr>
      <w:hyperlink w:anchor="dg43504a_main_toc">
        <w:bookmarkStart w:id="315" w:name="page_ee43504_1_26"/>
        <w:bookmarkEnd w:id="315"/>
        <w:r>
          <w:rPr>
            <w:rStyle w:val="InternetLink"/>
            <w:rFonts w:ascii="times" w:hAnsi="times"/>
            <w:sz w:val="20"/>
          </w:rPr>
          <w:t>Table of Contents</w:t>
        </w:r>
      </w:hyperlink>
    </w:p>
    <w:p>
      <w:pPr>
        <w:pStyle w:val="TextBody"/>
        <w:rPr>
          <w:rFonts w:ascii="times" w:hAnsi="times"/>
          <w:sz w:val="20"/>
        </w:rPr>
      </w:pPr>
      <w:r>
        <w:rPr>
          <w:rFonts w:ascii="times" w:hAnsi="times"/>
          <w:sz w:val="20"/>
        </w:rPr>
        <w:t xml:space="preserve">included security. The unit agreement under which a Combination Unit is issued may provide that the securities included in the unit may not be held or transferred separately, at any time, or at any time before a specified date. </w:t>
      </w:r>
    </w:p>
    <w:p>
      <w:pPr>
        <w:pStyle w:val="TextBody"/>
        <w:rPr/>
      </w:pPr>
      <w:r>
        <w:rPr/>
        <w:t>        </w:t>
      </w:r>
      <w:r>
        <w:rPr>
          <w:rFonts w:ascii="times" w:hAnsi="times"/>
          <w:sz w:val="20"/>
        </w:rPr>
        <w:t>The applicable prospectus supplement relating to any series of units will describe the terms of the Combination Units, including, where applicable, the following:</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the designation and terms of the Combination Units and of the securities comprising the Combination Units, including whether and under what circumstances those securities may be held or transferred separately;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any provisions of the governing unit agreement; and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any provisions for the issuance, payment, settlement, transfer, or exchange of the Combination Units or of the securities comprising the Combination Units. </w:t>
      </w:r>
    </w:p>
    <w:p>
      <w:pPr>
        <w:pStyle w:val="TextBody"/>
        <w:rPr/>
      </w:pPr>
      <w:r>
        <w:rPr/>
        <w:t>        </w:t>
      </w:r>
      <w:r>
        <w:rPr>
          <w:rFonts w:ascii="times" w:hAnsi="times"/>
          <w:sz w:val="20"/>
        </w:rPr>
        <w:t xml:space="preserve">The description in the applicable prospectus supplement of any Combination Units we offer will not necessarily be complete and will be qualified in its entirety by reference to the applicable unit certificate or unit agreement, which will be filed with the SEC if we offer Combination Units. For more information on how you can obtain copies of any unit certificate or unit agreement if we offer Combination Units, see "Where You Can Find Additional Information" beginning on page 9 of this prospectus. We urge you to read the applicable unit certificate, the applicable unit agreement and any applicable prospectus supplement in their entirety. </w:t>
      </w:r>
    </w:p>
    <w:p>
      <w:pPr>
        <w:pStyle w:val="TextBody"/>
        <w:jc w:val="center"/>
        <w:rPr>
          <w:rFonts w:ascii="times" w:hAnsi="times"/>
          <w:sz w:val="20"/>
        </w:rPr>
      </w:pPr>
      <w:r>
        <w:rPr>
          <w:rFonts w:ascii="times" w:hAnsi="times"/>
          <w:sz w:val="20"/>
        </w:rPr>
        <w:t>26</w:t>
      </w:r>
    </w:p>
    <w:p>
      <w:pPr>
        <w:pStyle w:val="HorizontalLine"/>
        <w:pBdr>
          <w:bottom w:val="single" w:sz="20" w:space="0" w:color="808080"/>
        </w:pBdr>
        <w:rPr/>
      </w:pPr>
      <w:r>
        <w:rPr/>
      </w:r>
      <w:r>
        <w:br w:type="page"/>
      </w:r>
    </w:p>
    <w:p>
      <w:pPr>
        <w:pStyle w:val="TextBody"/>
        <w:rPr/>
      </w:pPr>
      <w:hyperlink w:anchor="dg43504a_main_toc">
        <w:bookmarkStart w:id="316" w:name="page_eg43504_1_27"/>
        <w:bookmarkEnd w:id="316"/>
        <w:r>
          <w:rPr>
            <w:rStyle w:val="InternetLink"/>
            <w:rFonts w:ascii="times" w:hAnsi="times"/>
            <w:sz w:val="20"/>
          </w:rPr>
          <w:t>Table of Contents</w:t>
        </w:r>
      </w:hyperlink>
      <w:r>
        <w:rPr>
          <w:rFonts w:ascii="times" w:hAnsi="times"/>
          <w:sz w:val="20"/>
        </w:rPr>
        <w:t xml:space="preserve"> </w:t>
      </w:r>
    </w:p>
    <w:p>
      <w:pPr>
        <w:pStyle w:val="TextBody"/>
        <w:jc w:val="center"/>
        <w:rPr>
          <w:rFonts w:ascii="times" w:hAnsi="times"/>
        </w:rPr>
      </w:pPr>
      <w:bookmarkStart w:id="317" w:name="toc_eg43504_1"/>
      <w:bookmarkStart w:id="318" w:name="eg43504_summary_of_our_partnership_agree"/>
      <w:bookmarkEnd w:id="317"/>
      <w:bookmarkEnd w:id="318"/>
      <w:r>
        <w:rPr>
          <w:rFonts w:ascii="times" w:hAnsi="times"/>
          <w:sz w:val="20"/>
        </w:rPr>
        <w:br/>
      </w:r>
      <w:r>
        <w:rPr>
          <w:rFonts w:ascii="times" w:hAnsi="times"/>
          <w:b/>
          <w:sz w:val="20"/>
        </w:rPr>
        <w:t xml:space="preserve">SUMMARY OF OUR PARTNERSHIP AGREEMENT </w:t>
      </w:r>
    </w:p>
    <w:p>
      <w:pPr>
        <w:pStyle w:val="TextBody"/>
        <w:rPr/>
      </w:pPr>
      <w:r>
        <w:rPr/>
        <w:t>        </w:t>
      </w:r>
      <w:r>
        <w:rPr>
          <w:rFonts w:ascii="times" w:hAnsi="times"/>
          <w:sz w:val="20"/>
        </w:rPr>
        <w:t xml:space="preserve">The following is a summary of the material provisions of our partnership agreement, which is qualified in its entirety by the terms and conditions of the partnership agreement, which is incorporated herein by reference. This summary should be read together with any subsequent amendments of the partnership agreement or reports filed for the purpose of updating the description of the important provisions of our partnership agreement and the rights and privileges of our unitholders. We will provide prospective investors with a copy of the partnership agreement upon written request at no charge. Please read "Where You Can Find More Information." </w:t>
      </w:r>
    </w:p>
    <w:p>
      <w:pPr>
        <w:pStyle w:val="TextBody"/>
        <w:ind w:left="200" w:right="0" w:hanging="200"/>
        <w:rPr>
          <w:rFonts w:ascii="times" w:hAnsi="times"/>
          <w:b/>
          <w:sz w:val="20"/>
        </w:rPr>
      </w:pPr>
      <w:bookmarkStart w:id="319" w:name="toc_eg43504_2"/>
      <w:bookmarkStart w:id="320" w:name="eg43504_organization_and_duration"/>
      <w:bookmarkEnd w:id="319"/>
      <w:bookmarkEnd w:id="320"/>
      <w:r>
        <w:rPr>
          <w:rFonts w:ascii="times" w:hAnsi="times"/>
          <w:b/>
          <w:sz w:val="20"/>
        </w:rPr>
        <w:t xml:space="preserve">Organization and Duration </w:t>
      </w:r>
    </w:p>
    <w:p>
      <w:pPr>
        <w:pStyle w:val="TextBody"/>
        <w:rPr/>
      </w:pPr>
      <w:r>
        <w:rPr/>
        <w:t>        </w:t>
      </w:r>
      <w:r>
        <w:rPr>
          <w:rFonts w:ascii="times" w:hAnsi="times"/>
          <w:sz w:val="20"/>
        </w:rPr>
        <w:t xml:space="preserve">We were organized on January 23, 2014 and have perpetual existence. </w:t>
      </w:r>
    </w:p>
    <w:p>
      <w:pPr>
        <w:pStyle w:val="TextBody"/>
        <w:ind w:left="200" w:right="0" w:hanging="200"/>
        <w:rPr>
          <w:rFonts w:ascii="times" w:hAnsi="times"/>
          <w:b/>
          <w:sz w:val="20"/>
        </w:rPr>
      </w:pPr>
      <w:bookmarkStart w:id="321" w:name="toc_eg43504_3"/>
      <w:bookmarkStart w:id="322" w:name="eg43504_purpose"/>
      <w:bookmarkEnd w:id="321"/>
      <w:bookmarkEnd w:id="322"/>
      <w:r>
        <w:rPr>
          <w:rFonts w:ascii="times" w:hAnsi="times"/>
          <w:b/>
          <w:sz w:val="20"/>
        </w:rPr>
        <w:t xml:space="preserve">Purpose </w:t>
      </w:r>
    </w:p>
    <w:p>
      <w:pPr>
        <w:pStyle w:val="TextBody"/>
        <w:rPr/>
      </w:pPr>
      <w:r>
        <w:rPr/>
        <w:t>        </w:t>
      </w:r>
      <w:r>
        <w:rPr>
          <w:rFonts w:ascii="times" w:hAnsi="times"/>
          <w:sz w:val="20"/>
        </w:rPr>
        <w:t xml:space="preserve">Our purpose under the partnership agreement is to engage in any business activities that may lawfully be engaged in by a limited partnership pursuant to the Marshall Islands Act. </w:t>
      </w:r>
    </w:p>
    <w:p>
      <w:pPr>
        <w:pStyle w:val="TextBody"/>
        <w:rPr/>
      </w:pPr>
      <w:r>
        <w:rPr/>
        <w:t>        </w:t>
      </w:r>
      <w:r>
        <w:rPr>
          <w:rFonts w:ascii="times" w:hAnsi="times"/>
          <w:sz w:val="20"/>
        </w:rPr>
        <w:t xml:space="preserve">Although our board of directors has the ability to cause us or our subsidiaries to engage in activities other than the provision of marine transportation services, it has no current plans to do so and may decline to do so free of any fiduciary duty or obligation whatsoever to us or the limited partners, including any duty to act in good faith or in the best interests of us or the limited partners. Our general partner has delegated to our board of directors the authority to oversee and direct our operations, management and policies on an exclusive basis. </w:t>
      </w:r>
    </w:p>
    <w:p>
      <w:pPr>
        <w:pStyle w:val="TextBody"/>
        <w:ind w:left="200" w:right="0" w:hanging="200"/>
        <w:rPr>
          <w:rFonts w:ascii="times" w:hAnsi="times"/>
          <w:b/>
          <w:sz w:val="20"/>
        </w:rPr>
      </w:pPr>
      <w:bookmarkStart w:id="323" w:name="toc_eg43504_4"/>
      <w:bookmarkStart w:id="324" w:name="eg43504_cash_distributions"/>
      <w:bookmarkEnd w:id="323"/>
      <w:bookmarkEnd w:id="324"/>
      <w:r>
        <w:rPr>
          <w:rFonts w:ascii="times" w:hAnsi="times"/>
          <w:b/>
          <w:sz w:val="20"/>
        </w:rPr>
        <w:t xml:space="preserve">Cash Distributions </w:t>
      </w:r>
    </w:p>
    <w:p>
      <w:pPr>
        <w:pStyle w:val="TextBody"/>
        <w:rPr/>
      </w:pPr>
      <w:r>
        <w:rPr/>
        <w:t>        </w:t>
      </w:r>
      <w:r>
        <w:rPr>
          <w:rFonts w:ascii="times" w:hAnsi="times"/>
          <w:sz w:val="20"/>
        </w:rPr>
        <w:t xml:space="preserve">Our partnership agreement specifies the manner in which we will make cash distributions to holders of our Common Units and other partnership interests, including to the holders of Preference Units, as well as to our general partner in respect of its general partner interest. Please see "Our Cash Distribution Policy and Restrictions on Distributions" on page 43 of this prospectus for further information. </w:t>
      </w:r>
    </w:p>
    <w:p>
      <w:pPr>
        <w:pStyle w:val="TextBody"/>
        <w:ind w:left="200" w:right="0" w:hanging="200"/>
        <w:rPr>
          <w:rFonts w:ascii="times" w:hAnsi="times"/>
          <w:b/>
          <w:sz w:val="20"/>
        </w:rPr>
      </w:pPr>
      <w:bookmarkStart w:id="325" w:name="toc_eg43504_5"/>
      <w:bookmarkStart w:id="326" w:name="eg43504_capital_contributions"/>
      <w:bookmarkEnd w:id="325"/>
      <w:bookmarkEnd w:id="326"/>
      <w:r>
        <w:rPr>
          <w:rFonts w:ascii="times" w:hAnsi="times"/>
          <w:b/>
          <w:sz w:val="20"/>
        </w:rPr>
        <w:t xml:space="preserve">Capital Contributions </w:t>
      </w:r>
    </w:p>
    <w:p>
      <w:pPr>
        <w:pStyle w:val="TextBody"/>
        <w:rPr/>
      </w:pPr>
      <w:r>
        <w:rPr/>
        <w:t>        </w:t>
      </w:r>
      <w:r>
        <w:rPr>
          <w:rFonts w:ascii="times" w:hAnsi="times"/>
          <w:sz w:val="20"/>
        </w:rPr>
        <w:t xml:space="preserve">No holder of Common Units, Class B Units or Preference Units is obligated to make additional capital contributions, except as described below under "Limited Liability". </w:t>
      </w:r>
    </w:p>
    <w:p>
      <w:pPr>
        <w:pStyle w:val="TextBody"/>
        <w:ind w:left="200" w:right="0" w:hanging="200"/>
        <w:rPr>
          <w:rFonts w:ascii="times" w:hAnsi="times"/>
          <w:b/>
          <w:sz w:val="20"/>
        </w:rPr>
      </w:pPr>
      <w:bookmarkStart w:id="327" w:name="toc_eg43504_6"/>
      <w:bookmarkStart w:id="328" w:name="eg43504_voting_rights"/>
      <w:bookmarkEnd w:id="327"/>
      <w:bookmarkEnd w:id="328"/>
      <w:r>
        <w:rPr>
          <w:rFonts w:ascii="times" w:hAnsi="times"/>
          <w:b/>
          <w:sz w:val="20"/>
        </w:rPr>
        <w:t xml:space="preserve">Voting Rights </w:t>
      </w:r>
    </w:p>
    <w:p>
      <w:pPr>
        <w:pStyle w:val="TextBody"/>
        <w:rPr/>
      </w:pPr>
      <w:r>
        <w:rPr/>
        <w:t>        </w:t>
      </w:r>
      <w:r>
        <w:rPr>
          <w:rFonts w:ascii="times" w:hAnsi="times"/>
          <w:sz w:val="20"/>
        </w:rPr>
        <w:t xml:space="preserve">The following is a summary of the unitholder vote required for approval of the matters specified below. Matters that require the approval of a "Unit Majority" require the approval of a majority of the Common Units voting as a single class (excluding Class B Units prior to their conversion into Common Units). In voting their Common Units, our general partner and its affiliates will have no fiduciary duty or obligation whatsoever to us or the limited partners, including any duty to act in good faith or in the best interests of us or the limited partners. </w:t>
      </w:r>
    </w:p>
    <w:p>
      <w:pPr>
        <w:pStyle w:val="TextBody"/>
        <w:rPr/>
      </w:pPr>
      <w:r>
        <w:rPr/>
        <w:t>        </w:t>
      </w:r>
      <w:r>
        <w:rPr>
          <w:rFonts w:ascii="times" w:hAnsi="times"/>
          <w:sz w:val="20"/>
        </w:rPr>
        <w:t xml:space="preserve">Each outstanding Common Unit is entitled to one vote on matters subject to a vote of the holders of Common Units ("Common Unitholders"). However, to preserve our ability to claim an exemption from U.S. federal income tax under Section 883 of the Code, if at any time any person or group owns beneficially more than 4.9% of any class or series of units then outstanding, any units beneficially owned by that person or group in excess of 4.9% may not be voted on any matter and will not be considered to be outstanding when sending notices of a meeting of limited partners, calculating required votes (except for purposes of nominating a person for election to our board of directors), </w:t>
      </w:r>
    </w:p>
    <w:p>
      <w:pPr>
        <w:pStyle w:val="TextBody"/>
        <w:jc w:val="center"/>
        <w:rPr>
          <w:rFonts w:ascii="times" w:hAnsi="times"/>
          <w:sz w:val="20"/>
        </w:rPr>
      </w:pPr>
      <w:r>
        <w:rPr>
          <w:rFonts w:ascii="times" w:hAnsi="times"/>
          <w:sz w:val="20"/>
        </w:rPr>
        <w:t>27</w:t>
      </w:r>
    </w:p>
    <w:p>
      <w:pPr>
        <w:pStyle w:val="HorizontalLine"/>
        <w:pBdr>
          <w:bottom w:val="single" w:sz="20" w:space="0" w:color="808080"/>
        </w:pBdr>
        <w:rPr/>
      </w:pPr>
      <w:r>
        <w:rPr/>
      </w:r>
      <w:r>
        <w:br w:type="page"/>
      </w:r>
    </w:p>
    <w:p>
      <w:pPr>
        <w:pStyle w:val="TextBody"/>
        <w:rPr/>
      </w:pPr>
      <w:hyperlink w:anchor="dg43504a_main_toc">
        <w:bookmarkStart w:id="329" w:name="page_eg43504_1_28"/>
        <w:bookmarkEnd w:id="329"/>
        <w:r>
          <w:rPr>
            <w:rStyle w:val="InternetLink"/>
            <w:rFonts w:ascii="times" w:hAnsi="times"/>
            <w:sz w:val="20"/>
          </w:rPr>
          <w:t>Table of Contents</w:t>
        </w:r>
      </w:hyperlink>
    </w:p>
    <w:p>
      <w:pPr>
        <w:pStyle w:val="TextBody"/>
        <w:rPr>
          <w:rFonts w:ascii="times" w:hAnsi="times"/>
          <w:sz w:val="20"/>
        </w:rPr>
      </w:pPr>
      <w:r>
        <w:rPr>
          <w:rFonts w:ascii="times" w:hAnsi="times"/>
          <w:sz w:val="20"/>
        </w:rPr>
        <w:t xml:space="preserve">determining the presence of a quorum or for other similar purposes under our partnership agreement, unless otherwise required by law. Effectively, this means that the voting rights of any such unitholders in excess of 4.9% will be redistributed pro rata among the other unitholders holding less than 4.9% of the voting power of all classes of units entitled to vote. Our general partner, its affiliates and persons who acquired Common Units with the prior approval of our board of directors will not be subject to this 4.9% limitation except with respect to voting their Common Units in the election of the elected directors. This loss of voting rights does not apply to the Preference Units. </w:t>
      </w:r>
    </w:p>
    <w:p>
      <w:pPr>
        <w:pStyle w:val="TextBody"/>
        <w:rPr/>
      </w:pPr>
      <w:r>
        <w:rPr/>
        <w:t>        </w:t>
      </w:r>
      <w:r>
        <w:rPr>
          <w:rFonts w:ascii="times" w:hAnsi="times"/>
          <w:sz w:val="20"/>
        </w:rPr>
        <w:t xml:space="preserve">Holders of Class B Units and Preference Units generally have no voting rights. However, the consent of the holders of at least two-thirds of the outstanding Series A Preference Units, Series B Preference Units or Series C Preference Units (as applicable), voting as a separate class, is required prior to any amendment to the partnership agreement that would have a material adverse effect on the existing terms of the Series A Preference Units, Series B Preference Units or Series C Preference Units, as applicable. In addition, unless we receive the affirmative vote or consent of the holders of at least two-thirds of the outstanding Preference Units, voting as a class together with holders of any other Parity Securities, we may not (i) issue any Parity Securities if the cumulative distributions on Preference Units are in arrears or (ii) create or issue any Senior Securities (as defined in the partnership agreement). Distributions payable on the Preference Units will be considered to be in arrears for any quarterly period for which full cumulative distributions through the most recent distribution payment date have not been paid on all outstanding Preference Units. In addition, in certain limited instances, the holders of Preference Units will be entitled to elect one director to our board of directors, at which point our general partner would similarly be entitled, at its election, to appoint one additional director to serve for only as long a period of time as the director elected by the holders of Preference Units. </w:t>
      </w:r>
    </w:p>
    <w:p>
      <w:pPr>
        <w:pStyle w:val="TextBody"/>
        <w:rPr/>
      </w:pPr>
      <w:r>
        <w:rPr/>
        <w:t>        </w:t>
      </w:r>
      <w:r>
        <w:rPr>
          <w:rFonts w:ascii="times" w:hAnsi="times"/>
          <w:sz w:val="20"/>
        </w:rPr>
        <w:t xml:space="preserve">We hold a meeting of the limited partners every year to elect one or more members of our board of directors and to vote on any other matters that are properly brought before the meeting. Our general partner has appointed three of our five directors and the Common Unitholders elected the remaining two directors. Four of our directors meet the independence standards of the NYSE, two of which also qualify as independent of GasLog under our partnership agreement, so as to be eligible for membership on our conflicts committee. If our general partner exercises its right to transfer the power to elect a majority of our directors to the Common Unitholders, an additional director will thereafter be elected by our Common Unitholders. Our general partner may exercise this right in order to permit </w:t>
      </w:r>
    </w:p>
    <w:p>
      <w:pPr>
        <w:pStyle w:val="TextBody"/>
        <w:jc w:val="center"/>
        <w:rPr>
          <w:rFonts w:ascii="times" w:hAnsi="times"/>
          <w:sz w:val="20"/>
        </w:rPr>
      </w:pPr>
      <w:r>
        <w:rPr>
          <w:rFonts w:ascii="times" w:hAnsi="times"/>
          <w:sz w:val="20"/>
        </w:rPr>
        <w:t>28</w:t>
      </w:r>
    </w:p>
    <w:p>
      <w:pPr>
        <w:pStyle w:val="HorizontalLine"/>
        <w:pBdr>
          <w:bottom w:val="single" w:sz="20" w:space="0" w:color="808080"/>
        </w:pBdr>
        <w:rPr/>
      </w:pPr>
      <w:r>
        <w:rPr/>
      </w:r>
      <w:r>
        <w:br w:type="page"/>
      </w:r>
    </w:p>
    <w:p>
      <w:pPr>
        <w:pStyle w:val="TextBody"/>
        <w:rPr/>
      </w:pPr>
      <w:hyperlink w:anchor="dg43504a_main_toc">
        <w:bookmarkStart w:id="330" w:name="page_eg43504_1_29"/>
        <w:bookmarkEnd w:id="330"/>
        <w:r>
          <w:rPr>
            <w:rStyle w:val="InternetLink"/>
            <w:rFonts w:ascii="times" w:hAnsi="times"/>
            <w:sz w:val="20"/>
          </w:rPr>
          <w:t>Table of Contents</w:t>
        </w:r>
      </w:hyperlink>
    </w:p>
    <w:p>
      <w:pPr>
        <w:pStyle w:val="TextBody"/>
        <w:rPr>
          <w:rFonts w:ascii="times" w:hAnsi="times"/>
          <w:sz w:val="20"/>
        </w:rPr>
      </w:pPr>
      <w:r>
        <w:rPr>
          <w:rFonts w:ascii="times" w:hAnsi="times"/>
          <w:sz w:val="20"/>
        </w:rPr>
        <w:t xml:space="preserve">us to claim, or continue to claim, an exemption from U.S. federal income tax under Section 883 of the U.S. Internal Revenue Code of 1986, as amended, or the "Code". </w:t>
      </w:r>
    </w:p>
    <w:tbl>
      <w:tblPr>
        <w:tblW w:w="5000" w:type="pct"/>
        <w:jc w:val="center"/>
        <w:tblInd w:w="0" w:type="dxa"/>
        <w:tblCellMar>
          <w:top w:w="0" w:type="dxa"/>
          <w:left w:w="0" w:type="dxa"/>
          <w:bottom w:w="0" w:type="dxa"/>
          <w:right w:w="0" w:type="dxa"/>
        </w:tblCellMar>
      </w:tblPr>
      <w:tblGrid>
        <w:gridCol w:w="1391"/>
        <w:gridCol w:w="79"/>
        <w:gridCol w:w="8735"/>
      </w:tblGrid>
      <w:tr>
        <w:trPr/>
        <w:tc>
          <w:tcPr>
            <w:tcW w:w="1391" w:type="dxa"/>
            <w:tcBorders/>
            <w:shd w:fill="auto" w:val="clear"/>
            <w:vAlign w:val="center"/>
          </w:tcPr>
          <w:p>
            <w:pPr>
              <w:pStyle w:val="TableContents"/>
              <w:spacing w:before="0" w:after="283"/>
              <w:rPr>
                <w:sz w:val="4"/>
                <w:szCs w:val="4"/>
              </w:rPr>
            </w:pPr>
            <w:r>
              <w:rPr>
                <w:sz w:val="4"/>
                <w:szCs w:val="4"/>
              </w:rPr>
            </w:r>
          </w:p>
        </w:tc>
        <w:tc>
          <w:tcPr>
            <w:tcW w:w="79" w:type="dxa"/>
            <w:tcBorders/>
            <w:shd w:fill="auto" w:val="clear"/>
            <w:vAlign w:val="center"/>
          </w:tcPr>
          <w:p>
            <w:pPr>
              <w:pStyle w:val="TableContents"/>
              <w:spacing w:before="0" w:after="283"/>
              <w:rPr>
                <w:sz w:val="4"/>
                <w:szCs w:val="4"/>
              </w:rPr>
            </w:pPr>
            <w:r>
              <w:rPr>
                <w:sz w:val="4"/>
                <w:szCs w:val="4"/>
              </w:rPr>
            </w:r>
          </w:p>
        </w:tc>
        <w:tc>
          <w:tcPr>
            <w:tcW w:w="8735" w:type="dxa"/>
            <w:tcBorders/>
            <w:shd w:fill="auto" w:val="clear"/>
            <w:vAlign w:val="center"/>
          </w:tcPr>
          <w:p>
            <w:pPr>
              <w:pStyle w:val="TableContents"/>
              <w:spacing w:before="0" w:after="283"/>
              <w:rPr>
                <w:sz w:val="4"/>
                <w:szCs w:val="4"/>
              </w:rPr>
            </w:pPr>
            <w:r>
              <w:rPr>
                <w:sz w:val="4"/>
                <w:szCs w:val="4"/>
              </w:rPr>
            </w:r>
          </w:p>
        </w:tc>
      </w:tr>
      <w:tr>
        <w:trPr/>
        <w:tc>
          <w:tcPr>
            <w:tcW w:w="1391" w:type="dxa"/>
            <w:tcBorders/>
            <w:shd w:fill="auto" w:val="clear"/>
            <w:vAlign w:val="bottom"/>
          </w:tcPr>
          <w:p>
            <w:pPr>
              <w:pStyle w:val="TableHeading"/>
              <w:spacing w:before="0" w:after="0"/>
              <w:jc w:val="left"/>
              <w:rPr>
                <w:rFonts w:ascii="times" w:hAnsi="times"/>
                <w:b/>
                <w:sz w:val="14"/>
                <w:bdr w:val="single" w:sz="8" w:space="1" w:color="000000"/>
              </w:rPr>
            </w:pPr>
            <w:r>
              <w:rPr>
                <w:rFonts w:ascii="times" w:hAnsi="times"/>
                <w:b/>
                <w:sz w:val="14"/>
                <w:bdr w:val="single" w:sz="8" w:space="1" w:color="000000"/>
              </w:rPr>
              <w:t xml:space="preserve">Action </w:t>
            </w:r>
          </w:p>
        </w:tc>
        <w:tc>
          <w:tcPr>
            <w:tcW w:w="79" w:type="dxa"/>
            <w:tcBorders/>
            <w:shd w:fill="auto" w:val="clear"/>
            <w:vAlign w:val="bottom"/>
          </w:tcPr>
          <w:p>
            <w:pPr>
              <w:pStyle w:val="TableHeading"/>
              <w:suppressLineNumbers/>
              <w:spacing w:before="0" w:after="283"/>
              <w:jc w:val="center"/>
              <w:rPr/>
            </w:pPr>
            <w:r>
              <w:rPr/>
              <w:t> </w:t>
            </w:r>
          </w:p>
        </w:tc>
        <w:tc>
          <w:tcPr>
            <w:tcW w:w="8735" w:type="dxa"/>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Unitholder Approval Required and Voting Rights </w:t>
            </w:r>
          </w:p>
        </w:tc>
      </w:tr>
      <w:tr>
        <w:trPr/>
        <w:tc>
          <w:tcPr>
            <w:tcW w:w="1391" w:type="dxa"/>
            <w:tcBorders/>
            <w:shd w:fill="auto" w:val="clear"/>
          </w:tcPr>
          <w:p>
            <w:pPr>
              <w:pStyle w:val="TableContents"/>
              <w:spacing w:before="0" w:after="283"/>
              <w:ind w:left="200" w:right="0" w:hanging="200"/>
              <w:rPr>
                <w:rFonts w:ascii="times" w:hAnsi="times"/>
                <w:sz w:val="20"/>
              </w:rPr>
            </w:pPr>
            <w:r>
              <w:rPr>
                <w:rFonts w:ascii="times" w:hAnsi="times"/>
                <w:sz w:val="20"/>
              </w:rPr>
              <w:t>Issuance of additional Common Units or other limited partner interests</w:t>
            </w:r>
          </w:p>
        </w:tc>
        <w:tc>
          <w:tcPr>
            <w:tcW w:w="79" w:type="dxa"/>
            <w:tcBorders/>
            <w:shd w:fill="auto" w:val="clear"/>
          </w:tcPr>
          <w:p>
            <w:pPr>
              <w:pStyle w:val="TableContents"/>
              <w:spacing w:before="0" w:after="283"/>
              <w:rPr/>
            </w:pPr>
            <w:r>
              <w:rPr/>
              <w:t> </w:t>
            </w:r>
          </w:p>
        </w:tc>
        <w:tc>
          <w:tcPr>
            <w:tcW w:w="8735" w:type="dxa"/>
            <w:tcBorders/>
            <w:shd w:fill="auto" w:val="clear"/>
          </w:tcPr>
          <w:p>
            <w:pPr>
              <w:pStyle w:val="TableContents"/>
              <w:spacing w:before="0" w:after="283"/>
              <w:rPr>
                <w:rFonts w:ascii="times" w:hAnsi="times"/>
                <w:sz w:val="20"/>
              </w:rPr>
            </w:pPr>
            <w:r>
              <w:rPr>
                <w:rFonts w:ascii="times" w:hAnsi="times"/>
                <w:sz w:val="20"/>
              </w:rPr>
              <w:t>No approval rights; general partner approval required for all issuances not reasonably expected to be accretive within twelve months of issuance or which would otherwise have a material adverse impact on the general partner or its interest in our partnership.</w:t>
            </w:r>
          </w:p>
        </w:tc>
      </w:tr>
      <w:tr>
        <w:trPr/>
        <w:tc>
          <w:tcPr>
            <w:tcW w:w="1391" w:type="dxa"/>
            <w:tcBorders/>
            <w:shd w:fill="auto" w:val="clear"/>
          </w:tcPr>
          <w:p>
            <w:pPr>
              <w:pStyle w:val="TableContents"/>
              <w:spacing w:before="240" w:after="283"/>
              <w:ind w:left="200" w:right="0" w:hanging="200"/>
              <w:rPr>
                <w:rFonts w:ascii="times" w:hAnsi="times"/>
                <w:sz w:val="20"/>
              </w:rPr>
            </w:pPr>
            <w:r>
              <w:rPr>
                <w:rFonts w:ascii="times" w:hAnsi="times"/>
                <w:sz w:val="20"/>
              </w:rPr>
              <w:t>Amendment of the partnership agreement</w:t>
            </w:r>
          </w:p>
        </w:tc>
        <w:tc>
          <w:tcPr>
            <w:tcW w:w="79" w:type="dxa"/>
            <w:tcBorders/>
            <w:shd w:fill="auto" w:val="clear"/>
          </w:tcPr>
          <w:p>
            <w:pPr>
              <w:pStyle w:val="TableContents"/>
              <w:spacing w:before="0" w:after="283"/>
              <w:rPr/>
            </w:pPr>
            <w:r>
              <w:rPr/>
              <w:t> </w:t>
            </w:r>
          </w:p>
        </w:tc>
        <w:tc>
          <w:tcPr>
            <w:tcW w:w="8735" w:type="dxa"/>
            <w:tcBorders/>
            <w:shd w:fill="auto" w:val="clear"/>
          </w:tcPr>
          <w:p>
            <w:pPr>
              <w:pStyle w:val="TableContents"/>
              <w:spacing w:before="240" w:after="283"/>
              <w:ind w:left="0" w:right="0" w:hanging="0"/>
              <w:rPr>
                <w:rFonts w:ascii="times" w:hAnsi="times"/>
                <w:sz w:val="20"/>
              </w:rPr>
            </w:pPr>
            <w:r>
              <w:rPr>
                <w:rFonts w:ascii="times" w:hAnsi="times"/>
                <w:sz w:val="20"/>
              </w:rPr>
              <w:t>Certain amendments may be made by our board of directors without the approval of the unitholders. Other amendments generally require the approval of a Unit Majority. See "Amendment of the Partnership Agreement".</w:t>
            </w:r>
          </w:p>
        </w:tc>
      </w:tr>
      <w:tr>
        <w:trPr/>
        <w:tc>
          <w:tcPr>
            <w:tcW w:w="1391" w:type="dxa"/>
            <w:tcBorders/>
            <w:shd w:fill="auto" w:val="clear"/>
          </w:tcPr>
          <w:p>
            <w:pPr>
              <w:pStyle w:val="TableContents"/>
              <w:spacing w:before="240" w:after="283"/>
              <w:ind w:left="200" w:right="0" w:hanging="200"/>
              <w:rPr>
                <w:rFonts w:ascii="times" w:hAnsi="times"/>
                <w:sz w:val="20"/>
              </w:rPr>
            </w:pPr>
            <w:r>
              <w:rPr>
                <w:rFonts w:ascii="times" w:hAnsi="times"/>
                <w:sz w:val="20"/>
              </w:rPr>
              <w:t>Merger of our partnership or the sale of all or substantially all of our assets</w:t>
            </w:r>
          </w:p>
        </w:tc>
        <w:tc>
          <w:tcPr>
            <w:tcW w:w="79" w:type="dxa"/>
            <w:tcBorders/>
            <w:shd w:fill="auto" w:val="clear"/>
          </w:tcPr>
          <w:p>
            <w:pPr>
              <w:pStyle w:val="TableContents"/>
              <w:spacing w:before="0" w:after="283"/>
              <w:rPr/>
            </w:pPr>
            <w:r>
              <w:rPr/>
              <w:t> </w:t>
            </w:r>
          </w:p>
        </w:tc>
        <w:tc>
          <w:tcPr>
            <w:tcW w:w="8735" w:type="dxa"/>
            <w:tcBorders/>
            <w:shd w:fill="auto" w:val="clear"/>
          </w:tcPr>
          <w:p>
            <w:pPr>
              <w:pStyle w:val="TableContents"/>
              <w:spacing w:before="240" w:after="283"/>
              <w:ind w:left="0" w:right="0" w:hanging="0"/>
              <w:rPr>
                <w:rFonts w:ascii="times" w:hAnsi="times"/>
                <w:sz w:val="20"/>
              </w:rPr>
            </w:pPr>
            <w:r>
              <w:rPr>
                <w:rFonts w:ascii="times" w:hAnsi="times"/>
                <w:sz w:val="20"/>
              </w:rPr>
              <w:t>Unit Majority and approval of our general partner and our board of directors. See "Merger, Sale, Conversion or Other Disposition of Assets".</w:t>
            </w:r>
          </w:p>
        </w:tc>
      </w:tr>
      <w:tr>
        <w:trPr/>
        <w:tc>
          <w:tcPr>
            <w:tcW w:w="1391" w:type="dxa"/>
            <w:tcBorders/>
            <w:shd w:fill="auto" w:val="clear"/>
          </w:tcPr>
          <w:p>
            <w:pPr>
              <w:pStyle w:val="TableContents"/>
              <w:spacing w:before="240" w:after="283"/>
              <w:ind w:left="200" w:right="0" w:hanging="200"/>
              <w:rPr>
                <w:rFonts w:ascii="times" w:hAnsi="times"/>
                <w:sz w:val="20"/>
              </w:rPr>
            </w:pPr>
            <w:r>
              <w:rPr>
                <w:rFonts w:ascii="times" w:hAnsi="times"/>
                <w:sz w:val="20"/>
              </w:rPr>
              <w:t>Dissolution of our partnership</w:t>
            </w:r>
          </w:p>
        </w:tc>
        <w:tc>
          <w:tcPr>
            <w:tcW w:w="79" w:type="dxa"/>
            <w:tcBorders/>
            <w:shd w:fill="auto" w:val="clear"/>
          </w:tcPr>
          <w:p>
            <w:pPr>
              <w:pStyle w:val="TableContents"/>
              <w:spacing w:before="0" w:after="283"/>
              <w:rPr/>
            </w:pPr>
            <w:r>
              <w:rPr/>
              <w:t> </w:t>
            </w:r>
          </w:p>
        </w:tc>
        <w:tc>
          <w:tcPr>
            <w:tcW w:w="8735" w:type="dxa"/>
            <w:tcBorders/>
            <w:shd w:fill="auto" w:val="clear"/>
          </w:tcPr>
          <w:p>
            <w:pPr>
              <w:pStyle w:val="TableContents"/>
              <w:spacing w:before="240" w:after="283"/>
              <w:ind w:left="0" w:right="0" w:hanging="0"/>
              <w:rPr>
                <w:rFonts w:ascii="times" w:hAnsi="times"/>
                <w:sz w:val="20"/>
              </w:rPr>
            </w:pPr>
            <w:r>
              <w:rPr>
                <w:rFonts w:ascii="times" w:hAnsi="times"/>
                <w:sz w:val="20"/>
              </w:rPr>
              <w:t>Unit Majority and approval of our general partner and our board of directors. See "Termination and Dissolution".</w:t>
            </w:r>
          </w:p>
        </w:tc>
      </w:tr>
      <w:tr>
        <w:trPr/>
        <w:tc>
          <w:tcPr>
            <w:tcW w:w="1391" w:type="dxa"/>
            <w:tcBorders/>
            <w:shd w:fill="auto" w:val="clear"/>
          </w:tcPr>
          <w:p>
            <w:pPr>
              <w:pStyle w:val="TableContents"/>
              <w:spacing w:before="240" w:after="283"/>
              <w:ind w:left="200" w:right="0" w:hanging="200"/>
              <w:rPr>
                <w:rFonts w:ascii="times" w:hAnsi="times"/>
                <w:sz w:val="20"/>
              </w:rPr>
            </w:pPr>
            <w:r>
              <w:rPr>
                <w:rFonts w:ascii="times" w:hAnsi="times"/>
                <w:sz w:val="20"/>
              </w:rPr>
              <w:t>Reconstitution of our partnership upon dissolution</w:t>
            </w:r>
          </w:p>
        </w:tc>
        <w:tc>
          <w:tcPr>
            <w:tcW w:w="79" w:type="dxa"/>
            <w:tcBorders/>
            <w:shd w:fill="auto" w:val="clear"/>
          </w:tcPr>
          <w:p>
            <w:pPr>
              <w:pStyle w:val="TableContents"/>
              <w:spacing w:before="0" w:after="283"/>
              <w:rPr/>
            </w:pPr>
            <w:r>
              <w:rPr/>
              <w:t> </w:t>
            </w:r>
          </w:p>
        </w:tc>
        <w:tc>
          <w:tcPr>
            <w:tcW w:w="8735" w:type="dxa"/>
            <w:tcBorders/>
            <w:shd w:fill="auto" w:val="clear"/>
          </w:tcPr>
          <w:p>
            <w:pPr>
              <w:pStyle w:val="TableContents"/>
              <w:spacing w:before="240" w:after="283"/>
              <w:ind w:left="0" w:right="0" w:hanging="0"/>
              <w:rPr>
                <w:rFonts w:ascii="times" w:hAnsi="times"/>
                <w:sz w:val="20"/>
              </w:rPr>
            </w:pPr>
            <w:r>
              <w:rPr>
                <w:rFonts w:ascii="times" w:hAnsi="times"/>
                <w:sz w:val="20"/>
              </w:rPr>
              <w:t>Unit Majority. See "Termination and Dissolution".</w:t>
            </w:r>
          </w:p>
        </w:tc>
      </w:tr>
      <w:tr>
        <w:trPr/>
        <w:tc>
          <w:tcPr>
            <w:tcW w:w="1391" w:type="dxa"/>
            <w:tcBorders/>
            <w:shd w:fill="auto" w:val="clear"/>
          </w:tcPr>
          <w:p>
            <w:pPr>
              <w:pStyle w:val="TableContents"/>
              <w:spacing w:before="240" w:after="283"/>
              <w:ind w:left="200" w:right="0" w:hanging="200"/>
              <w:rPr>
                <w:rFonts w:ascii="times" w:hAnsi="times"/>
                <w:sz w:val="20"/>
              </w:rPr>
            </w:pPr>
            <w:r>
              <w:rPr>
                <w:rFonts w:ascii="times" w:hAnsi="times"/>
                <w:sz w:val="20"/>
              </w:rPr>
              <w:t>Withdrawal of our general partner</w:t>
            </w:r>
          </w:p>
        </w:tc>
        <w:tc>
          <w:tcPr>
            <w:tcW w:w="79" w:type="dxa"/>
            <w:tcBorders/>
            <w:shd w:fill="auto" w:val="clear"/>
          </w:tcPr>
          <w:p>
            <w:pPr>
              <w:pStyle w:val="TableContents"/>
              <w:spacing w:before="0" w:after="283"/>
              <w:rPr/>
            </w:pPr>
            <w:r>
              <w:rPr/>
              <w:t> </w:t>
            </w:r>
          </w:p>
        </w:tc>
        <w:tc>
          <w:tcPr>
            <w:tcW w:w="8735" w:type="dxa"/>
            <w:tcBorders/>
            <w:shd w:fill="auto" w:val="clear"/>
          </w:tcPr>
          <w:p>
            <w:pPr>
              <w:pStyle w:val="TableContents"/>
              <w:spacing w:before="240" w:after="283"/>
              <w:ind w:left="0" w:right="0" w:hanging="0"/>
              <w:rPr>
                <w:rFonts w:ascii="times" w:hAnsi="times"/>
                <w:sz w:val="20"/>
              </w:rPr>
            </w:pPr>
            <w:r>
              <w:rPr>
                <w:rFonts w:ascii="times" w:hAnsi="times"/>
                <w:sz w:val="20"/>
              </w:rPr>
              <w:t>Under most circumstances, the approval of a majority of the Common Units, excluding Common Units held by our general partner and its affiliates, is required for the withdrawal of our general partner prior to March 31, 2024 in a manner that would cause a dissolution of our partnership. See "Withdrawal or Removal of our General Partner".</w:t>
            </w:r>
          </w:p>
        </w:tc>
      </w:tr>
      <w:tr>
        <w:trPr/>
        <w:tc>
          <w:tcPr>
            <w:tcW w:w="1391" w:type="dxa"/>
            <w:tcBorders/>
            <w:shd w:fill="auto" w:val="clear"/>
          </w:tcPr>
          <w:p>
            <w:pPr>
              <w:pStyle w:val="TableContents"/>
              <w:spacing w:before="240" w:after="283"/>
              <w:ind w:left="200" w:right="0" w:hanging="200"/>
              <w:rPr>
                <w:rFonts w:ascii="times" w:hAnsi="times"/>
                <w:sz w:val="20"/>
              </w:rPr>
            </w:pPr>
            <w:r>
              <w:rPr>
                <w:rFonts w:ascii="times" w:hAnsi="times"/>
                <w:sz w:val="20"/>
              </w:rPr>
              <w:t>Removal of our general partner</w:t>
            </w:r>
          </w:p>
        </w:tc>
        <w:tc>
          <w:tcPr>
            <w:tcW w:w="79" w:type="dxa"/>
            <w:tcBorders/>
            <w:shd w:fill="auto" w:val="clear"/>
          </w:tcPr>
          <w:p>
            <w:pPr>
              <w:pStyle w:val="TableContents"/>
              <w:spacing w:before="0" w:after="283"/>
              <w:rPr/>
            </w:pPr>
            <w:r>
              <w:rPr/>
              <w:t> </w:t>
            </w:r>
          </w:p>
        </w:tc>
        <w:tc>
          <w:tcPr>
            <w:tcW w:w="8735" w:type="dxa"/>
            <w:tcBorders/>
            <w:shd w:fill="auto" w:val="clear"/>
          </w:tcPr>
          <w:p>
            <w:pPr>
              <w:pStyle w:val="TableContents"/>
              <w:spacing w:before="240" w:after="283"/>
              <w:ind w:left="0" w:right="0" w:hanging="0"/>
              <w:rPr>
                <w:rFonts w:ascii="times" w:hAnsi="times"/>
                <w:sz w:val="20"/>
              </w:rPr>
            </w:pPr>
            <w:r>
              <w:rPr>
                <w:rFonts w:ascii="times" w:hAnsi="times"/>
                <w:sz w:val="20"/>
              </w:rPr>
              <w:t>Not less than 66</w:t>
            </w:r>
            <w:r>
              <w:rPr>
                <w:rFonts w:ascii="times" w:hAnsi="times"/>
                <w:position w:val="7"/>
                <w:sz w:val="16"/>
                <w:sz w:val="20"/>
              </w:rPr>
              <w:t>2</w:t>
            </w:r>
            <w:r>
              <w:rPr>
                <w:rFonts w:ascii="times" w:hAnsi="times"/>
                <w:sz w:val="20"/>
              </w:rPr>
              <w:t>/</w:t>
            </w:r>
            <w:r>
              <w:rPr>
                <w:rFonts w:ascii="times" w:hAnsi="times"/>
                <w:sz w:val="14"/>
              </w:rPr>
              <w:t>3</w:t>
            </w:r>
            <w:r>
              <w:rPr>
                <w:rFonts w:ascii="times" w:hAnsi="times"/>
                <w:sz w:val="20"/>
              </w:rPr>
              <w:t>% of the outstanding Common Units, including Common Units held by our general partner and its affiliates, voting together as a single class. See "Withdrawal or Removal of our General Partner".</w:t>
            </w:r>
          </w:p>
        </w:tc>
      </w:tr>
      <w:tr>
        <w:trPr/>
        <w:tc>
          <w:tcPr>
            <w:tcW w:w="1391" w:type="dxa"/>
            <w:tcBorders/>
            <w:shd w:fill="auto" w:val="clear"/>
          </w:tcPr>
          <w:p>
            <w:pPr>
              <w:pStyle w:val="TableContents"/>
              <w:spacing w:before="240" w:after="283"/>
              <w:ind w:left="200" w:right="0" w:hanging="200"/>
              <w:rPr>
                <w:rFonts w:ascii="times" w:hAnsi="times"/>
                <w:sz w:val="20"/>
              </w:rPr>
            </w:pPr>
            <w:r>
              <w:rPr>
                <w:rFonts w:ascii="times" w:hAnsi="times"/>
                <w:sz w:val="20"/>
              </w:rPr>
              <w:t>Transfer of our general partner interest in us</w:t>
            </w:r>
          </w:p>
        </w:tc>
        <w:tc>
          <w:tcPr>
            <w:tcW w:w="79" w:type="dxa"/>
            <w:tcBorders/>
            <w:shd w:fill="auto" w:val="clear"/>
          </w:tcPr>
          <w:p>
            <w:pPr>
              <w:pStyle w:val="TableContents"/>
              <w:spacing w:before="0" w:after="283"/>
              <w:rPr/>
            </w:pPr>
            <w:r>
              <w:rPr/>
              <w:t> </w:t>
            </w:r>
          </w:p>
        </w:tc>
        <w:tc>
          <w:tcPr>
            <w:tcW w:w="8735" w:type="dxa"/>
            <w:tcBorders/>
            <w:shd w:fill="auto" w:val="clear"/>
          </w:tcPr>
          <w:p>
            <w:pPr>
              <w:pStyle w:val="TableContents"/>
              <w:spacing w:before="240" w:after="283"/>
              <w:ind w:left="0" w:right="0" w:hanging="0"/>
              <w:rPr>
                <w:rFonts w:ascii="times" w:hAnsi="times"/>
                <w:sz w:val="20"/>
              </w:rPr>
            </w:pPr>
            <w:r>
              <w:rPr>
                <w:rFonts w:ascii="times" w:hAnsi="times"/>
                <w:sz w:val="20"/>
              </w:rPr>
              <w:t>Our general partner may transfer all, but not less than all, of its general partner interest in us without a vote of our Common Unitholders or other limited partners to an affiliate or another person in connection with its merger or consolidation with or into, or sale of all or substantially all of its assets to, such person. The approval of a majority of the Common Units, excluding Common Units held by our general partner and its affiliates, is required in other circumstances for a transfer of the general partner interest to a third party prior to March 31, 2024. See "Transfer of General Partner Interest".</w:t>
            </w:r>
          </w:p>
        </w:tc>
      </w:tr>
      <w:tr>
        <w:trPr/>
        <w:tc>
          <w:tcPr>
            <w:tcW w:w="1391" w:type="dxa"/>
            <w:tcBorders/>
            <w:shd w:fill="auto" w:val="clear"/>
          </w:tcPr>
          <w:p>
            <w:pPr>
              <w:pStyle w:val="TableContents"/>
              <w:spacing w:before="240" w:after="283"/>
              <w:ind w:left="200" w:right="0" w:hanging="200"/>
              <w:rPr>
                <w:rFonts w:ascii="times" w:hAnsi="times"/>
                <w:sz w:val="20"/>
              </w:rPr>
            </w:pPr>
            <w:r>
              <w:rPr>
                <w:rFonts w:ascii="times" w:hAnsi="times"/>
                <w:sz w:val="20"/>
              </w:rPr>
              <w:t>Transfer of ownership interests in our general partner</w:t>
            </w:r>
          </w:p>
        </w:tc>
        <w:tc>
          <w:tcPr>
            <w:tcW w:w="79" w:type="dxa"/>
            <w:tcBorders/>
            <w:shd w:fill="auto" w:val="clear"/>
          </w:tcPr>
          <w:p>
            <w:pPr>
              <w:pStyle w:val="TableContents"/>
              <w:spacing w:before="0" w:after="283"/>
              <w:rPr/>
            </w:pPr>
            <w:r>
              <w:rPr/>
              <w:t> </w:t>
            </w:r>
          </w:p>
        </w:tc>
        <w:tc>
          <w:tcPr>
            <w:tcW w:w="8735" w:type="dxa"/>
            <w:tcBorders/>
            <w:shd w:fill="auto" w:val="clear"/>
          </w:tcPr>
          <w:p>
            <w:pPr>
              <w:pStyle w:val="TableContents"/>
              <w:spacing w:before="240" w:after="283"/>
              <w:ind w:left="0" w:right="0" w:hanging="0"/>
              <w:rPr>
                <w:rFonts w:ascii="times" w:hAnsi="times"/>
                <w:sz w:val="20"/>
              </w:rPr>
            </w:pPr>
            <w:r>
              <w:rPr>
                <w:rFonts w:ascii="times" w:hAnsi="times"/>
                <w:sz w:val="20"/>
              </w:rPr>
              <w:t>No approval required at any time. See "Transfer of Ownership Interests in General Partner".</w:t>
            </w:r>
          </w:p>
        </w:tc>
      </w:tr>
    </w:tbl>
    <w:p>
      <w:pPr>
        <w:pStyle w:val="TextBody"/>
        <w:jc w:val="center"/>
        <w:rPr>
          <w:rFonts w:ascii="times" w:hAnsi="times"/>
          <w:sz w:val="20"/>
        </w:rPr>
      </w:pPr>
      <w:r>
        <w:rPr>
          <w:rFonts w:ascii="times" w:hAnsi="times"/>
          <w:sz w:val="20"/>
        </w:rPr>
        <w:t>29</w:t>
      </w:r>
    </w:p>
    <w:p>
      <w:pPr>
        <w:pStyle w:val="HorizontalLine"/>
        <w:pBdr>
          <w:bottom w:val="single" w:sz="20" w:space="0" w:color="808080"/>
        </w:pBdr>
        <w:rPr/>
      </w:pPr>
      <w:r>
        <w:rPr/>
      </w:r>
      <w:r>
        <w:br w:type="page"/>
      </w:r>
    </w:p>
    <w:p>
      <w:pPr>
        <w:pStyle w:val="TextBody"/>
        <w:rPr/>
      </w:pPr>
      <w:hyperlink w:anchor="dg43504a_main_toc">
        <w:bookmarkStart w:id="331" w:name="page_eg43504_1_30"/>
        <w:bookmarkEnd w:id="331"/>
        <w:r>
          <w:rPr>
            <w:rStyle w:val="InternetLink"/>
            <w:rFonts w:ascii="times" w:hAnsi="times"/>
            <w:sz w:val="20"/>
          </w:rPr>
          <w:t>Table of Contents</w:t>
        </w:r>
      </w:hyperlink>
    </w:p>
    <w:p>
      <w:pPr>
        <w:pStyle w:val="TextBody"/>
        <w:ind w:left="200" w:right="0" w:hanging="200"/>
        <w:rPr>
          <w:rFonts w:ascii="times" w:hAnsi="times"/>
          <w:b/>
          <w:sz w:val="20"/>
        </w:rPr>
      </w:pPr>
      <w:bookmarkStart w:id="332" w:name="toc_eg43504_7"/>
      <w:bookmarkStart w:id="333" w:name="eg43504_applicable_law;_forum,_venue_and"/>
      <w:bookmarkEnd w:id="332"/>
      <w:bookmarkEnd w:id="333"/>
      <w:r>
        <w:rPr>
          <w:rFonts w:ascii="times" w:hAnsi="times"/>
          <w:b/>
          <w:sz w:val="20"/>
        </w:rPr>
        <w:t xml:space="preserve">Applicable Law; Forum, Venue and Jurisdiction </w:t>
      </w:r>
    </w:p>
    <w:p>
      <w:pPr>
        <w:pStyle w:val="TextBody"/>
        <w:rPr/>
      </w:pPr>
      <w:r>
        <w:rPr/>
        <w:t>        </w:t>
      </w:r>
      <w:r>
        <w:rPr>
          <w:rFonts w:ascii="times" w:hAnsi="times"/>
          <w:sz w:val="20"/>
        </w:rPr>
        <w:t>Our partnership agreement is governed by Marshall Islands law. Our partnership agreement requires that any claims, suits, actions or proceedings:</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arising out of or relating in any way to the partnership agreement (including any claims, suits or actions to interpret, apply or enforce the provisions of the partnership agreement or the duties, obligations or liabilities among limited partners or of limited partners to us, or the rights or powers of, or restrictions on, the limited partners or us);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brought in a derivative manner on our behalf;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asserting a claim of breach of a fiduciary duty owed by any director, officer or other employee of us or our general partner, or owed by our general partner, to us or the limited partners;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asserting a claim arising pursuant to any provision of the Marshall Islands Act; and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asserting a claim governed by the internal affairs doctrine; </w:t>
      </w:r>
    </w:p>
    <w:p>
      <w:pPr>
        <w:pStyle w:val="TextBody"/>
        <w:rPr>
          <w:rFonts w:ascii="times" w:hAnsi="times"/>
          <w:sz w:val="20"/>
        </w:rPr>
      </w:pPr>
      <w:r>
        <w:rPr>
          <w:rFonts w:ascii="times" w:hAnsi="times"/>
          <w:sz w:val="20"/>
        </w:rPr>
        <w:t xml:space="preserve">shall be exclusively brought in the Court of Chancery of the State of Delaware, unless otherwise provided for by Marshall Islands law, regardless of whether such claims, suits, actions or proceedings arise under laws relating to contract, tort, fraud or otherwise, are based on common law, statutory, equitable, legal or other grounds, or are derivative or direct claims. By purchasing a unit, a limited partner is irrevocably consenting to these limitations and provisions regarding claims, suits, actions or proceedings and submitting to the exclusive jurisdiction of the Court of Chancery of the State of Delaware, unless otherwise provided for by Marshall Islands law, in connection with any such claims, suits, actions or proceedings; however, a court could rule that such provisions are inapplicable or unenforceable. Any person or entity purchasing or otherwise acquiring any interest in our units shall be deemed to have notice of and to have consented to the provisions described above. This forum selection provision may limit our unitholders' ability to obtain a judicial forum that they find favorable for disputes with us or our directors, officers or other employees or unitholders. </w:t>
      </w:r>
    </w:p>
    <w:p>
      <w:pPr>
        <w:pStyle w:val="TextBody"/>
        <w:ind w:left="200" w:right="0" w:hanging="200"/>
        <w:rPr>
          <w:rFonts w:ascii="times" w:hAnsi="times"/>
          <w:b/>
          <w:sz w:val="20"/>
        </w:rPr>
      </w:pPr>
      <w:bookmarkStart w:id="334" w:name="toc_eg43504_8"/>
      <w:bookmarkStart w:id="335" w:name="eg43504_limited_liability"/>
      <w:bookmarkEnd w:id="334"/>
      <w:bookmarkEnd w:id="335"/>
      <w:r>
        <w:rPr>
          <w:rFonts w:ascii="times" w:hAnsi="times"/>
          <w:b/>
          <w:sz w:val="20"/>
        </w:rPr>
        <w:t xml:space="preserve">Limited Liability </w:t>
      </w:r>
    </w:p>
    <w:p>
      <w:pPr>
        <w:pStyle w:val="TextBody"/>
        <w:rPr/>
      </w:pPr>
      <w:r>
        <w:rPr/>
        <w:t>        </w:t>
      </w:r>
      <w:r>
        <w:rPr>
          <w:rFonts w:ascii="times" w:hAnsi="times"/>
          <w:sz w:val="20"/>
        </w:rPr>
        <w:t>Assuming that a limited partner does not participate in the control of our business within the meaning of the Marshall Islands Act and that he or she otherwise acts in conformity with the provisions of our partnership agreement, his or her liability under the Marshall Islands Act will be limited, subject to possible exceptions, to the amount of capital he or she is obligated to contribute to us for his or her units plus his or her share of any undistributed profits and assets. If it were determined, however, that the right, or exercise of the right, by the limited partners as a group:</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to remove or replace our general partner;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to elect two (or, following the general partner's exercise of its right to transfer the power to elect a majority of our directors to the Common Unitholders, three) of our five directors;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to approve some amendments to our partnership agreement; or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to take other action under our partnership agreement; </w:t>
      </w:r>
    </w:p>
    <w:p>
      <w:pPr>
        <w:pStyle w:val="TextBody"/>
        <w:rPr>
          <w:rFonts w:ascii="times" w:hAnsi="times"/>
          <w:sz w:val="20"/>
        </w:rPr>
      </w:pPr>
      <w:r>
        <w:rPr>
          <w:rFonts w:ascii="times" w:hAnsi="times"/>
          <w:sz w:val="20"/>
        </w:rPr>
        <w:t xml:space="preserve">constituted "participation in the control" of our business for the purposes of the Marshall Islands Act, then the limited partners could be held personally liable for our obligations under the laws of the Marshall Islands, to the same extent as our general partner. This liability would extend to persons who transact business with us who reasonably believe that the limited partner is a general partner. Neither our partnership agreement nor the Marshall Islands Act specifically provides for legal recourse against our general partner if a limited partner were to lose limited liability through any fault of our general </w:t>
      </w:r>
    </w:p>
    <w:p>
      <w:pPr>
        <w:pStyle w:val="TextBody"/>
        <w:jc w:val="center"/>
        <w:rPr>
          <w:rFonts w:ascii="times" w:hAnsi="times"/>
          <w:sz w:val="20"/>
        </w:rPr>
      </w:pPr>
      <w:r>
        <w:rPr>
          <w:rFonts w:ascii="times" w:hAnsi="times"/>
          <w:sz w:val="20"/>
        </w:rPr>
        <w:t>30</w:t>
      </w:r>
    </w:p>
    <w:p>
      <w:pPr>
        <w:pStyle w:val="HorizontalLine"/>
        <w:pBdr>
          <w:bottom w:val="single" w:sz="20" w:space="0" w:color="808080"/>
        </w:pBdr>
        <w:rPr/>
      </w:pPr>
      <w:r>
        <w:rPr/>
      </w:r>
      <w:r>
        <w:br w:type="page"/>
      </w:r>
    </w:p>
    <w:p>
      <w:pPr>
        <w:pStyle w:val="TextBody"/>
        <w:rPr/>
      </w:pPr>
      <w:hyperlink w:anchor="dg43504a_main_toc">
        <w:bookmarkStart w:id="336" w:name="page_eg43504_1_31"/>
        <w:bookmarkEnd w:id="336"/>
        <w:r>
          <w:rPr>
            <w:rStyle w:val="InternetLink"/>
            <w:rFonts w:ascii="times" w:hAnsi="times"/>
            <w:sz w:val="20"/>
          </w:rPr>
          <w:t>Table of Contents</w:t>
        </w:r>
      </w:hyperlink>
    </w:p>
    <w:p>
      <w:pPr>
        <w:pStyle w:val="TextBody"/>
        <w:rPr>
          <w:rFonts w:ascii="times" w:hAnsi="times"/>
          <w:sz w:val="20"/>
        </w:rPr>
      </w:pPr>
      <w:r>
        <w:rPr>
          <w:rFonts w:ascii="times" w:hAnsi="times"/>
          <w:sz w:val="20"/>
        </w:rPr>
        <w:t xml:space="preserve">partner. While this does not mean that a limited partner could not seek legal recourse, we know of no precedent for this type of a claim in Marshall Islands case law. </w:t>
      </w:r>
    </w:p>
    <w:p>
      <w:pPr>
        <w:pStyle w:val="TextBody"/>
        <w:rPr/>
      </w:pPr>
      <w:r>
        <w:rPr/>
        <w:t>        </w:t>
      </w:r>
      <w:r>
        <w:rPr>
          <w:rFonts w:ascii="times" w:hAnsi="times"/>
          <w:sz w:val="20"/>
        </w:rPr>
        <w:t xml:space="preserve">Under the Marshall Islands Act, a limited partnership may not make a distribution to a partner if, after the distribution, all liabilities of the limited partnership, other than liabilities to partners on account of their partnership interests and liabilities for which the recourse of creditors is limited to specific property of the partnership, would exceed the fair value of the assets of the limited partnership. For the purpose of determining the fair value of the assets of a limited partnership, the Marshall Islands Act provides that the fair value of property subject to liability for which recourse of creditors is limited shall be included in the assets of the limited partnership only to the extent that the fair value of that property exceeds the non-recourse liability. The Marshall Islands Act provides that a limited partner who receives a distribution and knew at the time of the distribution that the distribution was in violation of the Marshall Islands Act shall be liable to the limited partnership for the amount of the distribution for three years. Under the Marshall Islands Act, a purchaser of units who becomes a limited partner of a limited partnership is liable for the obligations of the transferor to make contributions to the partnership, except that the transferee is not obligated for liabilities unknown to him at the time he became a limited partner and that could not be ascertained from the partnership agreement. </w:t>
      </w:r>
    </w:p>
    <w:p>
      <w:pPr>
        <w:pStyle w:val="TextBody"/>
        <w:rPr/>
      </w:pPr>
      <w:r>
        <w:rPr/>
        <w:t>        </w:t>
      </w:r>
      <w:r>
        <w:rPr>
          <w:rFonts w:ascii="times" w:hAnsi="times"/>
          <w:sz w:val="20"/>
        </w:rPr>
        <w:t xml:space="preserve">Maintenance of our limited liability may require compliance with legal requirements in the jurisdictions in which our subsidiaries conduct business, which may include qualifying to do business in those jurisdictions. Limitations on the liability of limited partners for the obligations of a limited partnership or limited liability company have not been clearly established in many jurisdictions. If, by virtue of our membership interest in an operating subsidiary or otherwise, it was determined that we were conducting business in any jurisdiction without compliance with the applicable limited partnership or limited liability company statute, or that the right or exercise of the right by the limited partners as a group to remove or replace the general partner, to approve some amendments to the partnership agreement or to take other action under the partnership agreement constituted "participation in the control" of our business for purposes of the statutes of any relevant jurisdiction, then the limited partners could be held personally liable for our obligations under the law of that jurisdiction to the same extent as our general partner under the circumstances. We will operate in a manner that our board of directors considers reasonable and necessary or appropriate to preserve the limited liability of the limited partners. </w:t>
      </w:r>
    </w:p>
    <w:p>
      <w:pPr>
        <w:pStyle w:val="TextBody"/>
        <w:ind w:left="200" w:right="0" w:hanging="200"/>
        <w:rPr>
          <w:rFonts w:ascii="times" w:hAnsi="times"/>
          <w:b/>
          <w:sz w:val="20"/>
        </w:rPr>
      </w:pPr>
      <w:bookmarkStart w:id="337" w:name="toc_eg43504_9"/>
      <w:bookmarkStart w:id="338" w:name="eg43504_issuance_of_additional_interests"/>
      <w:bookmarkEnd w:id="337"/>
      <w:bookmarkEnd w:id="338"/>
      <w:r>
        <w:rPr>
          <w:rFonts w:ascii="times" w:hAnsi="times"/>
          <w:b/>
          <w:sz w:val="20"/>
        </w:rPr>
        <w:t xml:space="preserve">Issuance of Additional Interests </w:t>
      </w:r>
    </w:p>
    <w:p>
      <w:pPr>
        <w:pStyle w:val="TextBody"/>
        <w:rPr/>
      </w:pPr>
      <w:r>
        <w:rPr/>
        <w:t>        </w:t>
      </w:r>
      <w:r>
        <w:rPr>
          <w:rFonts w:ascii="times" w:hAnsi="times"/>
          <w:sz w:val="20"/>
        </w:rPr>
        <w:t xml:space="preserve">The partnership agreement authorizes us to issue an unlimited amount of additional partnership interests and rights to buy partnership interests for the consideration and on the terms and conditions determined by our board of directors without the approval of the unitholders, other than certain limited approval rights of the holders of the Preference Units. However, our general partner will be required to approve all issuances of additional partnership interests that are not reasonably expected to be accretive within twelve months of issuance or which would otherwise have a material adverse impact on the general partner or its interest in us. </w:t>
      </w:r>
    </w:p>
    <w:p>
      <w:pPr>
        <w:pStyle w:val="TextBody"/>
        <w:rPr/>
      </w:pPr>
      <w:r>
        <w:rPr/>
        <w:t>        </w:t>
      </w:r>
      <w:r>
        <w:rPr>
          <w:rFonts w:ascii="times" w:hAnsi="times"/>
          <w:sz w:val="20"/>
        </w:rPr>
        <w:t xml:space="preserve">We intend to fund acquisitions through borrowings and the issuance of additional Common Units or other equity securities and the issuance of debt securities. Holders of any additional Series A Preference Units we issue will be entitled to share equally with the then-existing holders of Series A Preference Units in our distributions, holders of any additional Series B Preference Units we issue will be entitled to share equally with the then-existing holders of Series B Preference Units in our distributions, holders of any additional Series C Preference Units we issue will be entitled to share equally with the then-existing holders of Series C Preference Units in our distributions and holders of any additional Common Units we issue will be entitled to share equally with the then-existing holders of Common Units in our distributions. Additionally, we may issue other equity securities that may </w:t>
      </w:r>
    </w:p>
    <w:p>
      <w:pPr>
        <w:pStyle w:val="TextBody"/>
        <w:jc w:val="center"/>
        <w:rPr>
          <w:rFonts w:ascii="times" w:hAnsi="times"/>
          <w:sz w:val="20"/>
        </w:rPr>
      </w:pPr>
      <w:r>
        <w:rPr>
          <w:rFonts w:ascii="times" w:hAnsi="times"/>
          <w:sz w:val="20"/>
        </w:rPr>
        <w:t>31</w:t>
      </w:r>
    </w:p>
    <w:p>
      <w:pPr>
        <w:pStyle w:val="HorizontalLine"/>
        <w:pBdr>
          <w:bottom w:val="single" w:sz="20" w:space="0" w:color="808080"/>
        </w:pBdr>
        <w:rPr/>
      </w:pPr>
      <w:r>
        <w:rPr/>
      </w:r>
      <w:r>
        <w:br w:type="page"/>
      </w:r>
    </w:p>
    <w:p>
      <w:pPr>
        <w:pStyle w:val="TextBody"/>
        <w:rPr/>
      </w:pPr>
      <w:hyperlink w:anchor="dg43504a_main_toc">
        <w:bookmarkStart w:id="339" w:name="page_eg43504_1_32"/>
        <w:bookmarkEnd w:id="339"/>
        <w:r>
          <w:rPr>
            <w:rStyle w:val="InternetLink"/>
            <w:rFonts w:ascii="times" w:hAnsi="times"/>
            <w:sz w:val="20"/>
          </w:rPr>
          <w:t>Table of Contents</w:t>
        </w:r>
      </w:hyperlink>
    </w:p>
    <w:p>
      <w:pPr>
        <w:pStyle w:val="TextBody"/>
        <w:rPr>
          <w:rFonts w:ascii="times" w:hAnsi="times"/>
          <w:sz w:val="20"/>
        </w:rPr>
      </w:pPr>
      <w:r>
        <w:rPr>
          <w:rFonts w:ascii="times" w:hAnsi="times"/>
          <w:sz w:val="20"/>
        </w:rPr>
        <w:t xml:space="preserve">dilute the value of the interests of the then-existing holders of Common Units or Preference Units in our net assets and such securities may have priority over Common Units or Preference Units for receipt of distributions. </w:t>
      </w:r>
    </w:p>
    <w:p>
      <w:pPr>
        <w:pStyle w:val="TextBody"/>
        <w:rPr/>
      </w:pPr>
      <w:r>
        <w:rPr/>
        <w:t>        </w:t>
      </w:r>
      <w:r>
        <w:rPr>
          <w:rFonts w:ascii="times" w:hAnsi="times"/>
          <w:sz w:val="20"/>
        </w:rPr>
        <w:t xml:space="preserve">In accordance with Marshall Islands law and the provisions of our partnership agreement, we may also issue additional partnership interests that, as determined by our board of directors, have special voting or other rights to which the Common Units or the Preference Units are not entitled. </w:t>
      </w:r>
    </w:p>
    <w:p>
      <w:pPr>
        <w:pStyle w:val="TextBody"/>
        <w:rPr/>
      </w:pPr>
      <w:r>
        <w:rPr/>
        <w:t>        </w:t>
      </w:r>
      <w:r>
        <w:rPr>
          <w:rFonts w:ascii="times" w:hAnsi="times"/>
          <w:sz w:val="20"/>
        </w:rPr>
        <w:t xml:space="preserve">Upon issuance of additional partnership interests (including our Common Units and Class B Units, but excluding the issuance of partnership interests upon conversion of outstanding partnership interests), our general partner will have the right, but not the obligation, to make additional capital contributions to the extent necessary to maintain its 2.0% general partner interest in us. Our general partner's interest in us will thus be reduced if we issue additional partnership interests in the future and our general partner does not elect to maintain its 2.0% general partner interest in us. Our general partner and its affiliates will have the right, which it may from time to time assign in whole or in part to any of its affiliates, to purchase Common Units, Class B Units, Preference Units or other equity securities whenever, and on the same terms that, we issue those securities to persons other than our general partner and its affiliates, to the extent necessary to maintain its and its affiliates' percentage interest, including its interest represented by the Common Units and Class B Units that existed immediately prior to each issuance. Other holders of Common Units or Class B Units will not have similar pre-emptive rights to acquire additional Common Units or other partnership interests. </w:t>
      </w:r>
    </w:p>
    <w:p>
      <w:pPr>
        <w:pStyle w:val="TextBody"/>
        <w:ind w:left="200" w:right="0" w:hanging="200"/>
        <w:rPr>
          <w:rFonts w:ascii="times" w:hAnsi="times"/>
          <w:b/>
          <w:sz w:val="20"/>
        </w:rPr>
      </w:pPr>
      <w:bookmarkStart w:id="340" w:name="toc_eg43504_10"/>
      <w:bookmarkStart w:id="341" w:name="eg43504_tax_status"/>
      <w:bookmarkEnd w:id="340"/>
      <w:bookmarkEnd w:id="341"/>
      <w:r>
        <w:rPr>
          <w:rFonts w:ascii="times" w:hAnsi="times"/>
          <w:b/>
          <w:sz w:val="20"/>
        </w:rPr>
        <w:t xml:space="preserve">Tax Status </w:t>
      </w:r>
    </w:p>
    <w:p>
      <w:pPr>
        <w:pStyle w:val="TextBody"/>
        <w:rPr/>
      </w:pPr>
      <w:r>
        <w:rPr/>
        <w:t>        </w:t>
      </w:r>
      <w:r>
        <w:rPr>
          <w:rFonts w:ascii="times" w:hAnsi="times"/>
          <w:sz w:val="20"/>
        </w:rPr>
        <w:t xml:space="preserve">The partnership agreement provides that the partnership will elect to be treated as a corporation for U.S. federal income tax purposes. </w:t>
      </w:r>
    </w:p>
    <w:p>
      <w:pPr>
        <w:pStyle w:val="TextBody"/>
        <w:ind w:left="200" w:right="0" w:hanging="200"/>
        <w:rPr>
          <w:rFonts w:ascii="times" w:hAnsi="times"/>
          <w:b/>
          <w:sz w:val="20"/>
        </w:rPr>
      </w:pPr>
      <w:bookmarkStart w:id="342" w:name="toc_eg43504_11"/>
      <w:bookmarkStart w:id="343" w:name="eg43504_amendment_of_the_partnership_agr"/>
      <w:bookmarkEnd w:id="342"/>
      <w:bookmarkEnd w:id="343"/>
      <w:r>
        <w:rPr>
          <w:rFonts w:ascii="times" w:hAnsi="times"/>
          <w:b/>
          <w:sz w:val="20"/>
        </w:rPr>
        <w:t xml:space="preserve">Amendment of the Partnership Agreement </w:t>
      </w:r>
    </w:p>
    <w:p>
      <w:pPr>
        <w:pStyle w:val="TextBody"/>
        <w:ind w:left="200" w:right="0" w:hanging="200"/>
        <w:rPr>
          <w:rFonts w:ascii="times" w:hAnsi="times"/>
          <w:b/>
          <w:i/>
          <w:sz w:val="20"/>
        </w:rPr>
      </w:pPr>
      <w:r>
        <w:rPr>
          <w:rFonts w:ascii="times" w:hAnsi="times"/>
          <w:b/>
          <w:i/>
          <w:sz w:val="20"/>
        </w:rPr>
        <w:t xml:space="preserve">General </w:t>
      </w:r>
    </w:p>
    <w:p>
      <w:pPr>
        <w:pStyle w:val="TextBody"/>
        <w:rPr/>
      </w:pPr>
      <w:r>
        <w:rPr/>
        <w:t>        </w:t>
      </w:r>
      <w:r>
        <w:rPr>
          <w:rFonts w:ascii="times" w:hAnsi="times"/>
          <w:sz w:val="20"/>
        </w:rPr>
        <w:t xml:space="preserve">Amendments to our partnership agreement may be proposed only by or with the consent of our board of directors. However, our board of directors will have no duty or obligation to propose any amendment and may decline to do so free of any fiduciary duty or obligation whatsoever to us or the limited partners, including any duty to act in good faith or in the best interests of us or the limited partners. In order to adopt a proposed amendment, other than the amendments discussed below, approval of our board of directors is required, as well as written approval of the holders of the number of Common Units required to approve the amendment or call a meeting of the limited partners to consider and vote upon the proposed amendment. In addition, holders of Preference Units must approve certain amendments as described under "Voting Rights." Except as we describe below, an amendment must be approved by a Unit Majority. </w:t>
      </w:r>
    </w:p>
    <w:p>
      <w:pPr>
        <w:pStyle w:val="TextBody"/>
        <w:ind w:left="200" w:right="0" w:hanging="200"/>
        <w:rPr>
          <w:rFonts w:ascii="times" w:hAnsi="times"/>
          <w:b/>
          <w:i/>
          <w:sz w:val="20"/>
        </w:rPr>
      </w:pPr>
      <w:r>
        <w:rPr>
          <w:rFonts w:ascii="times" w:hAnsi="times"/>
          <w:b/>
          <w:i/>
          <w:sz w:val="20"/>
        </w:rPr>
        <w:t xml:space="preserve">Prohibited Amendments </w:t>
      </w:r>
    </w:p>
    <w:p>
      <w:pPr>
        <w:pStyle w:val="TextBody"/>
        <w:rPr/>
      </w:pPr>
      <w:r>
        <w:rPr/>
        <w:t>        </w:t>
      </w:r>
      <w:r>
        <w:rPr>
          <w:rFonts w:ascii="times" w:hAnsi="times"/>
          <w:sz w:val="20"/>
        </w:rPr>
        <w:t xml:space="preserve">No amendment may be made that would: </w:t>
      </w:r>
    </w:p>
    <w:p>
      <w:pPr>
        <w:pStyle w:val="ListHeading"/>
        <w:numPr>
          <w:ilvl w:val="0"/>
          <w:numId w:val="0"/>
        </w:numPr>
        <w:spacing w:before="0" w:after="0"/>
        <w:ind w:left="707" w:right="0" w:hanging="0"/>
        <w:rPr>
          <w:rFonts w:ascii="times" w:hAnsi="times"/>
          <w:sz w:val="20"/>
        </w:rPr>
      </w:pPr>
      <w:r>
        <w:rPr>
          <w:rFonts w:ascii="times" w:hAnsi="times"/>
          <w:sz w:val="20"/>
        </w:rPr>
        <w:t>(1)</w:t>
      </w:r>
    </w:p>
    <w:p>
      <w:pPr>
        <w:pStyle w:val="ListContents"/>
        <w:numPr>
          <w:ilvl w:val="0"/>
          <w:numId w:val="0"/>
        </w:numPr>
        <w:spacing w:before="0" w:after="283"/>
        <w:ind w:left="1274" w:right="0" w:hanging="0"/>
        <w:rPr>
          <w:rFonts w:ascii="times" w:hAnsi="times"/>
          <w:sz w:val="20"/>
        </w:rPr>
      </w:pPr>
      <w:r>
        <w:rPr>
          <w:rFonts w:ascii="times" w:hAnsi="times"/>
          <w:sz w:val="20"/>
        </w:rPr>
        <w:t xml:space="preserve">increase the obligations of any limited partner without its consent, unless approved by at least a majority of the type or class of limited partner interests so affected; </w:t>
      </w:r>
    </w:p>
    <w:p>
      <w:pPr>
        <w:pStyle w:val="ListHeading"/>
        <w:numPr>
          <w:ilvl w:val="0"/>
          <w:numId w:val="0"/>
        </w:numPr>
        <w:spacing w:before="0" w:after="0"/>
        <w:ind w:left="707" w:right="0" w:hanging="0"/>
        <w:rPr>
          <w:rFonts w:ascii="times" w:hAnsi="times"/>
          <w:sz w:val="20"/>
        </w:rPr>
      </w:pPr>
      <w:r>
        <w:rPr>
          <w:rFonts w:ascii="times" w:hAnsi="times"/>
          <w:sz w:val="20"/>
        </w:rPr>
        <w:t>(2)</w:t>
      </w:r>
    </w:p>
    <w:p>
      <w:pPr>
        <w:pStyle w:val="ListContents"/>
        <w:numPr>
          <w:ilvl w:val="0"/>
          <w:numId w:val="0"/>
        </w:numPr>
        <w:spacing w:before="0" w:after="283"/>
        <w:ind w:left="1274" w:right="0" w:hanging="0"/>
        <w:rPr>
          <w:rFonts w:ascii="times" w:hAnsi="times"/>
          <w:sz w:val="20"/>
        </w:rPr>
      </w:pPr>
      <w:r>
        <w:rPr>
          <w:rFonts w:ascii="times" w:hAnsi="times"/>
          <w:sz w:val="20"/>
        </w:rPr>
        <w:t xml:space="preserve">increase the obligations of, restrict in any way any action by or rights of, or reduce in any way the amounts distributable, reimbursable or otherwise payable by us to our general partner or any of its affiliates without the consent of the general partner, which may be given or withheld at its option; </w:t>
      </w:r>
    </w:p>
    <w:p>
      <w:pPr>
        <w:pStyle w:val="ListHeading"/>
        <w:numPr>
          <w:ilvl w:val="0"/>
          <w:numId w:val="0"/>
        </w:numPr>
        <w:spacing w:before="0" w:after="0"/>
        <w:ind w:left="707" w:right="0" w:hanging="0"/>
        <w:rPr>
          <w:rFonts w:ascii="times" w:hAnsi="times"/>
          <w:sz w:val="20"/>
        </w:rPr>
      </w:pPr>
      <w:r>
        <w:rPr>
          <w:rFonts w:ascii="times" w:hAnsi="times"/>
          <w:sz w:val="20"/>
        </w:rPr>
        <w:t>(3)</w:t>
      </w:r>
    </w:p>
    <w:p>
      <w:pPr>
        <w:pStyle w:val="ListContents"/>
        <w:numPr>
          <w:ilvl w:val="0"/>
          <w:numId w:val="0"/>
        </w:numPr>
        <w:spacing w:before="0" w:after="283"/>
        <w:ind w:left="1274" w:right="0" w:hanging="0"/>
        <w:rPr>
          <w:rFonts w:ascii="times" w:hAnsi="times"/>
          <w:sz w:val="20"/>
        </w:rPr>
      </w:pPr>
      <w:r>
        <w:rPr>
          <w:rFonts w:ascii="times" w:hAnsi="times"/>
          <w:sz w:val="20"/>
        </w:rPr>
        <w:t xml:space="preserve">change the term of our partnership; </w:t>
      </w:r>
    </w:p>
    <w:p>
      <w:pPr>
        <w:pStyle w:val="TextBody"/>
        <w:jc w:val="center"/>
        <w:rPr>
          <w:rFonts w:ascii="times" w:hAnsi="times"/>
          <w:sz w:val="20"/>
        </w:rPr>
      </w:pPr>
      <w:r>
        <w:rPr>
          <w:rFonts w:ascii="times" w:hAnsi="times"/>
          <w:sz w:val="20"/>
        </w:rPr>
        <w:t>32</w:t>
      </w:r>
    </w:p>
    <w:p>
      <w:pPr>
        <w:pStyle w:val="HorizontalLine"/>
        <w:pBdr>
          <w:bottom w:val="single" w:sz="20" w:space="0" w:color="808080"/>
        </w:pBdr>
        <w:rPr/>
      </w:pPr>
      <w:r>
        <w:rPr/>
      </w:r>
      <w:r>
        <w:br w:type="page"/>
      </w:r>
    </w:p>
    <w:p>
      <w:pPr>
        <w:pStyle w:val="TextBody"/>
        <w:rPr/>
      </w:pPr>
      <w:hyperlink w:anchor="dg43504a_main_toc">
        <w:bookmarkStart w:id="344" w:name="page_eg43504_1_33"/>
        <w:bookmarkEnd w:id="344"/>
        <w:r>
          <w:rPr>
            <w:rStyle w:val="InternetLink"/>
            <w:rFonts w:ascii="times" w:hAnsi="times"/>
            <w:sz w:val="20"/>
          </w:rPr>
          <w:t>Table of Contents</w:t>
        </w:r>
      </w:hyperlink>
    </w:p>
    <w:p>
      <w:pPr>
        <w:pStyle w:val="ListHeading"/>
        <w:numPr>
          <w:ilvl w:val="0"/>
          <w:numId w:val="0"/>
        </w:numPr>
        <w:spacing w:before="0" w:after="0"/>
        <w:ind w:left="707" w:right="0" w:hanging="0"/>
        <w:rPr>
          <w:rFonts w:ascii="times" w:hAnsi="times"/>
          <w:sz w:val="20"/>
        </w:rPr>
      </w:pPr>
      <w:r>
        <w:rPr>
          <w:rFonts w:ascii="times" w:hAnsi="times"/>
          <w:sz w:val="20"/>
        </w:rPr>
        <w:t>(4)</w:t>
      </w:r>
    </w:p>
    <w:p>
      <w:pPr>
        <w:pStyle w:val="ListContents"/>
        <w:numPr>
          <w:ilvl w:val="0"/>
          <w:numId w:val="0"/>
        </w:numPr>
        <w:spacing w:before="0" w:after="283"/>
        <w:ind w:left="1274" w:right="0" w:hanging="0"/>
        <w:rPr>
          <w:rFonts w:ascii="times" w:hAnsi="times"/>
          <w:sz w:val="20"/>
        </w:rPr>
      </w:pPr>
      <w:r>
        <w:rPr>
          <w:rFonts w:ascii="times" w:hAnsi="times"/>
          <w:sz w:val="20"/>
        </w:rPr>
        <w:t xml:space="preserve">provide that our partnership is not dissolved upon an election to dissolve our partnership by our general partner and our board of directors that is approved by the holders of a Unit Majority; or </w:t>
      </w:r>
    </w:p>
    <w:p>
      <w:pPr>
        <w:pStyle w:val="ListHeading"/>
        <w:numPr>
          <w:ilvl w:val="0"/>
          <w:numId w:val="0"/>
        </w:numPr>
        <w:spacing w:before="0" w:after="0"/>
        <w:ind w:left="707" w:right="0" w:hanging="0"/>
        <w:rPr>
          <w:rFonts w:ascii="times" w:hAnsi="times"/>
          <w:sz w:val="20"/>
        </w:rPr>
      </w:pPr>
      <w:r>
        <w:rPr>
          <w:rFonts w:ascii="times" w:hAnsi="times"/>
          <w:sz w:val="20"/>
        </w:rPr>
        <w:t>(5)</w:t>
      </w:r>
    </w:p>
    <w:p>
      <w:pPr>
        <w:pStyle w:val="ListContents"/>
        <w:numPr>
          <w:ilvl w:val="0"/>
          <w:numId w:val="0"/>
        </w:numPr>
        <w:spacing w:before="0" w:after="283"/>
        <w:ind w:left="1274" w:right="0" w:hanging="0"/>
        <w:rPr>
          <w:rFonts w:ascii="times" w:hAnsi="times"/>
          <w:sz w:val="20"/>
        </w:rPr>
      </w:pPr>
      <w:r>
        <w:rPr>
          <w:rFonts w:ascii="times" w:hAnsi="times"/>
          <w:sz w:val="20"/>
        </w:rPr>
        <w:t xml:space="preserve">give any person the right to dissolve our partnership other than the right of our general partner and our board of directors to dissolve our partnership with the approval of the holders of a Unit Majority. </w:t>
      </w:r>
    </w:p>
    <w:p>
      <w:pPr>
        <w:pStyle w:val="TextBody"/>
        <w:rPr/>
      </w:pPr>
      <w:r>
        <w:rPr/>
        <w:t>        </w:t>
      </w:r>
      <w:r>
        <w:rPr>
          <w:rFonts w:ascii="times" w:hAnsi="times"/>
          <w:sz w:val="20"/>
        </w:rPr>
        <w:t xml:space="preserve">The provision of our partnership agreement preventing the amendments having the effects described in clauses (1) through (5) above can be amended upon the approval of the holders of at least 90% of the outstanding units voting together as a single class (including units owned by our general partner and its affiliates). </w:t>
      </w:r>
    </w:p>
    <w:p>
      <w:pPr>
        <w:pStyle w:val="TextBody"/>
        <w:ind w:left="200" w:right="0" w:hanging="200"/>
        <w:rPr>
          <w:rFonts w:ascii="times" w:hAnsi="times"/>
          <w:b/>
          <w:i/>
          <w:sz w:val="20"/>
        </w:rPr>
      </w:pPr>
      <w:r>
        <w:rPr>
          <w:rFonts w:ascii="times" w:hAnsi="times"/>
          <w:b/>
          <w:i/>
          <w:sz w:val="20"/>
        </w:rPr>
        <w:t xml:space="preserve">No Unitholder Approval </w:t>
      </w:r>
    </w:p>
    <w:p>
      <w:pPr>
        <w:pStyle w:val="TextBody"/>
        <w:rPr/>
      </w:pPr>
      <w:r>
        <w:rPr/>
        <w:t>        </w:t>
      </w:r>
      <w:r>
        <w:rPr>
          <w:rFonts w:ascii="times" w:hAnsi="times"/>
          <w:sz w:val="20"/>
        </w:rPr>
        <w:t xml:space="preserve">Our board of directors may generally make amendments to our partnership agreement without the approval of any limited partner to reflect: </w:t>
      </w:r>
    </w:p>
    <w:p>
      <w:pPr>
        <w:pStyle w:val="ListHeading"/>
        <w:numPr>
          <w:ilvl w:val="0"/>
          <w:numId w:val="0"/>
        </w:numPr>
        <w:spacing w:before="0" w:after="0"/>
        <w:ind w:left="707" w:right="0" w:hanging="0"/>
        <w:rPr>
          <w:rFonts w:ascii="times" w:hAnsi="times"/>
          <w:sz w:val="20"/>
        </w:rPr>
      </w:pPr>
      <w:r>
        <w:rPr>
          <w:rFonts w:ascii="times" w:hAnsi="times"/>
          <w:sz w:val="20"/>
        </w:rPr>
        <w:t>(1)</w:t>
      </w:r>
    </w:p>
    <w:p>
      <w:pPr>
        <w:pStyle w:val="ListContents"/>
        <w:numPr>
          <w:ilvl w:val="0"/>
          <w:numId w:val="0"/>
        </w:numPr>
        <w:spacing w:before="0" w:after="283"/>
        <w:ind w:left="1274" w:right="0" w:hanging="0"/>
        <w:rPr>
          <w:rFonts w:ascii="times" w:hAnsi="times"/>
          <w:sz w:val="20"/>
        </w:rPr>
      </w:pPr>
      <w:r>
        <w:rPr>
          <w:rFonts w:ascii="times" w:hAnsi="times"/>
          <w:sz w:val="20"/>
        </w:rPr>
        <w:t xml:space="preserve">a change in our name, the location of our principal place of business, our registered agent or our registered office; </w:t>
      </w:r>
    </w:p>
    <w:p>
      <w:pPr>
        <w:pStyle w:val="ListHeading"/>
        <w:numPr>
          <w:ilvl w:val="0"/>
          <w:numId w:val="0"/>
        </w:numPr>
        <w:spacing w:before="0" w:after="0"/>
        <w:ind w:left="707" w:right="0" w:hanging="0"/>
        <w:rPr>
          <w:rFonts w:ascii="times" w:hAnsi="times"/>
          <w:sz w:val="20"/>
        </w:rPr>
      </w:pPr>
      <w:r>
        <w:rPr>
          <w:rFonts w:ascii="times" w:hAnsi="times"/>
          <w:sz w:val="20"/>
        </w:rPr>
        <w:t>(2)</w:t>
      </w:r>
    </w:p>
    <w:p>
      <w:pPr>
        <w:pStyle w:val="ListContents"/>
        <w:numPr>
          <w:ilvl w:val="0"/>
          <w:numId w:val="0"/>
        </w:numPr>
        <w:spacing w:before="0" w:after="283"/>
        <w:ind w:left="1274" w:right="0" w:hanging="0"/>
        <w:rPr>
          <w:rFonts w:ascii="times" w:hAnsi="times"/>
          <w:sz w:val="20"/>
        </w:rPr>
      </w:pPr>
      <w:r>
        <w:rPr>
          <w:rFonts w:ascii="times" w:hAnsi="times"/>
          <w:sz w:val="20"/>
        </w:rPr>
        <w:t xml:space="preserve">the admission, substitution, withdrawal or removal of partners in accordance with our partnership agreement; </w:t>
      </w:r>
    </w:p>
    <w:p>
      <w:pPr>
        <w:pStyle w:val="ListHeading"/>
        <w:numPr>
          <w:ilvl w:val="0"/>
          <w:numId w:val="0"/>
        </w:numPr>
        <w:spacing w:before="0" w:after="0"/>
        <w:ind w:left="707" w:right="0" w:hanging="0"/>
        <w:rPr>
          <w:rFonts w:ascii="times" w:hAnsi="times"/>
          <w:sz w:val="20"/>
        </w:rPr>
      </w:pPr>
      <w:r>
        <w:rPr>
          <w:rFonts w:ascii="times" w:hAnsi="times"/>
          <w:sz w:val="20"/>
        </w:rPr>
        <w:t>(3)</w:t>
      </w:r>
    </w:p>
    <w:p>
      <w:pPr>
        <w:pStyle w:val="ListContents"/>
        <w:numPr>
          <w:ilvl w:val="0"/>
          <w:numId w:val="0"/>
        </w:numPr>
        <w:spacing w:before="0" w:after="283"/>
        <w:ind w:left="1274" w:right="0" w:hanging="0"/>
        <w:rPr>
          <w:rFonts w:ascii="times" w:hAnsi="times"/>
          <w:sz w:val="20"/>
        </w:rPr>
      </w:pPr>
      <w:r>
        <w:rPr>
          <w:rFonts w:ascii="times" w:hAnsi="times"/>
          <w:sz w:val="20"/>
        </w:rPr>
        <w:t xml:space="preserve">a change that our board of directors determines to be necessary or appropriate for us to qualify or to continue our qualification as a limited partnership or a partnership in which the limited partners have limited liability under the Marshall Islands Act; </w:t>
      </w:r>
    </w:p>
    <w:p>
      <w:pPr>
        <w:pStyle w:val="ListHeading"/>
        <w:numPr>
          <w:ilvl w:val="0"/>
          <w:numId w:val="0"/>
        </w:numPr>
        <w:spacing w:before="0" w:after="0"/>
        <w:ind w:left="707" w:right="0" w:hanging="0"/>
        <w:rPr>
          <w:rFonts w:ascii="times" w:hAnsi="times"/>
          <w:sz w:val="20"/>
        </w:rPr>
      </w:pPr>
      <w:r>
        <w:rPr>
          <w:rFonts w:ascii="times" w:hAnsi="times"/>
          <w:sz w:val="20"/>
        </w:rPr>
        <w:t>(4)</w:t>
      </w:r>
    </w:p>
    <w:p>
      <w:pPr>
        <w:pStyle w:val="ListContents"/>
        <w:numPr>
          <w:ilvl w:val="0"/>
          <w:numId w:val="0"/>
        </w:numPr>
        <w:spacing w:before="0" w:after="283"/>
        <w:ind w:left="1274" w:right="0" w:hanging="0"/>
        <w:rPr>
          <w:rFonts w:ascii="times" w:hAnsi="times"/>
          <w:sz w:val="20"/>
        </w:rPr>
      </w:pPr>
      <w:r>
        <w:rPr>
          <w:rFonts w:ascii="times" w:hAnsi="times"/>
          <w:sz w:val="20"/>
        </w:rPr>
        <w:t xml:space="preserve">an amendment that is necessary, upon the advice of our counsel, to prevent us or our officers or directors or our general partner or their or its agents or trustees from in any manner being subjected to the provisions of the U.S. Investment Company Act of 1940, the U.S. Investment Advisors Act of 1940, or plan asset regulations adopted under the U.S. Employee Retirement Income Security Act of 1974 whether or not substantially similar to plan asset regulations currently applied or proposed; </w:t>
      </w:r>
    </w:p>
    <w:p>
      <w:pPr>
        <w:pStyle w:val="ListHeading"/>
        <w:numPr>
          <w:ilvl w:val="0"/>
          <w:numId w:val="0"/>
        </w:numPr>
        <w:spacing w:before="0" w:after="0"/>
        <w:ind w:left="707" w:right="0" w:hanging="0"/>
        <w:rPr>
          <w:rFonts w:ascii="times" w:hAnsi="times"/>
          <w:sz w:val="20"/>
        </w:rPr>
      </w:pPr>
      <w:r>
        <w:rPr>
          <w:rFonts w:ascii="times" w:hAnsi="times"/>
          <w:sz w:val="20"/>
        </w:rPr>
        <w:t>(5)</w:t>
      </w:r>
    </w:p>
    <w:p>
      <w:pPr>
        <w:pStyle w:val="ListContents"/>
        <w:numPr>
          <w:ilvl w:val="0"/>
          <w:numId w:val="0"/>
        </w:numPr>
        <w:spacing w:before="0" w:after="283"/>
        <w:ind w:left="1274" w:right="0" w:hanging="0"/>
        <w:rPr>
          <w:rFonts w:ascii="times" w:hAnsi="times"/>
          <w:sz w:val="20"/>
        </w:rPr>
      </w:pPr>
      <w:r>
        <w:rPr>
          <w:rFonts w:ascii="times" w:hAnsi="times"/>
          <w:sz w:val="20"/>
        </w:rPr>
        <w:t xml:space="preserve">an amendment that our board of directors determines to be necessary or appropriate for the authorization of additional partnership interests or rights to acquire partnership interests, including any amendment that our board of directors determines is necessary or appropriate in connection with any amendment expressly permitted in the partnership agreement to be made by our board of directors acting alone; </w:t>
      </w:r>
    </w:p>
    <w:p>
      <w:pPr>
        <w:pStyle w:val="ListHeading"/>
        <w:numPr>
          <w:ilvl w:val="0"/>
          <w:numId w:val="0"/>
        </w:numPr>
        <w:spacing w:before="0" w:after="0"/>
        <w:ind w:left="707" w:right="0" w:hanging="0"/>
        <w:rPr>
          <w:rFonts w:ascii="times" w:hAnsi="times"/>
          <w:sz w:val="20"/>
        </w:rPr>
      </w:pPr>
      <w:r>
        <w:rPr>
          <w:rFonts w:ascii="times" w:hAnsi="times"/>
          <w:sz w:val="20"/>
        </w:rPr>
        <w:t>(6)</w:t>
      </w:r>
    </w:p>
    <w:p>
      <w:pPr>
        <w:pStyle w:val="ListContents"/>
        <w:numPr>
          <w:ilvl w:val="0"/>
          <w:numId w:val="0"/>
        </w:numPr>
        <w:spacing w:before="0" w:after="283"/>
        <w:ind w:left="1274" w:right="0" w:hanging="0"/>
        <w:rPr>
          <w:rFonts w:ascii="times" w:hAnsi="times"/>
          <w:sz w:val="20"/>
        </w:rPr>
      </w:pPr>
      <w:r>
        <w:rPr>
          <w:rFonts w:ascii="times" w:hAnsi="times"/>
          <w:sz w:val="20"/>
        </w:rPr>
        <w:t xml:space="preserve">an amendment effected, necessitated or contemplated by a merger agreement that has been approved under the terms of the partnership agreement; </w:t>
      </w:r>
    </w:p>
    <w:p>
      <w:pPr>
        <w:pStyle w:val="ListHeading"/>
        <w:numPr>
          <w:ilvl w:val="0"/>
          <w:numId w:val="0"/>
        </w:numPr>
        <w:spacing w:before="0" w:after="0"/>
        <w:ind w:left="707" w:right="0" w:hanging="0"/>
        <w:rPr>
          <w:rFonts w:ascii="times" w:hAnsi="times"/>
          <w:sz w:val="20"/>
        </w:rPr>
      </w:pPr>
      <w:r>
        <w:rPr>
          <w:rFonts w:ascii="times" w:hAnsi="times"/>
          <w:sz w:val="20"/>
        </w:rPr>
        <w:t>(7)</w:t>
      </w:r>
    </w:p>
    <w:p>
      <w:pPr>
        <w:pStyle w:val="ListContents"/>
        <w:numPr>
          <w:ilvl w:val="0"/>
          <w:numId w:val="0"/>
        </w:numPr>
        <w:spacing w:before="0" w:after="283"/>
        <w:ind w:left="1274" w:right="0" w:hanging="0"/>
        <w:rPr>
          <w:rFonts w:ascii="times" w:hAnsi="times"/>
          <w:sz w:val="20"/>
        </w:rPr>
      </w:pPr>
      <w:r>
        <w:rPr>
          <w:rFonts w:ascii="times" w:hAnsi="times"/>
          <w:sz w:val="20"/>
        </w:rPr>
        <w:t xml:space="preserve">any amendment that our board of directors determines to be necessary or appropriate for the formation by us of, or our investment in, any corporation, partnership or other entity, as otherwise permitted by the partnership agreement; </w:t>
      </w:r>
    </w:p>
    <w:p>
      <w:pPr>
        <w:pStyle w:val="ListHeading"/>
        <w:numPr>
          <w:ilvl w:val="0"/>
          <w:numId w:val="0"/>
        </w:numPr>
        <w:spacing w:before="0" w:after="0"/>
        <w:ind w:left="707" w:right="0" w:hanging="0"/>
        <w:rPr>
          <w:rFonts w:ascii="times" w:hAnsi="times"/>
          <w:sz w:val="20"/>
        </w:rPr>
      </w:pPr>
      <w:r>
        <w:rPr>
          <w:rFonts w:ascii="times" w:hAnsi="times"/>
          <w:sz w:val="20"/>
        </w:rPr>
        <w:t>(8)</w:t>
      </w:r>
    </w:p>
    <w:p>
      <w:pPr>
        <w:pStyle w:val="ListContents"/>
        <w:numPr>
          <w:ilvl w:val="0"/>
          <w:numId w:val="0"/>
        </w:numPr>
        <w:spacing w:before="0" w:after="283"/>
        <w:ind w:left="1274" w:right="0" w:hanging="0"/>
        <w:rPr>
          <w:rFonts w:ascii="times" w:hAnsi="times"/>
          <w:sz w:val="20"/>
        </w:rPr>
      </w:pPr>
      <w:r>
        <w:rPr>
          <w:rFonts w:ascii="times" w:hAnsi="times"/>
          <w:sz w:val="20"/>
        </w:rPr>
        <w:t xml:space="preserve">a change in our fiscal year or taxable year and related changes; </w:t>
      </w:r>
    </w:p>
    <w:p>
      <w:pPr>
        <w:pStyle w:val="ListHeading"/>
        <w:numPr>
          <w:ilvl w:val="0"/>
          <w:numId w:val="0"/>
        </w:numPr>
        <w:spacing w:before="0" w:after="0"/>
        <w:ind w:left="707" w:right="0" w:hanging="0"/>
        <w:rPr>
          <w:rFonts w:ascii="times" w:hAnsi="times"/>
          <w:sz w:val="20"/>
        </w:rPr>
      </w:pPr>
      <w:r>
        <w:rPr>
          <w:rFonts w:ascii="times" w:hAnsi="times"/>
          <w:sz w:val="20"/>
        </w:rPr>
        <w:t>(9)</w:t>
      </w:r>
    </w:p>
    <w:p>
      <w:pPr>
        <w:pStyle w:val="ListContents"/>
        <w:numPr>
          <w:ilvl w:val="0"/>
          <w:numId w:val="0"/>
        </w:numPr>
        <w:spacing w:before="0" w:after="283"/>
        <w:ind w:left="1274" w:right="0" w:hanging="0"/>
        <w:rPr>
          <w:rFonts w:ascii="times" w:hAnsi="times"/>
          <w:sz w:val="20"/>
        </w:rPr>
      </w:pPr>
      <w:r>
        <w:rPr>
          <w:rFonts w:ascii="times" w:hAnsi="times"/>
          <w:sz w:val="20"/>
        </w:rPr>
        <w:t xml:space="preserve">certain mergers or conveyances as set forth in our partnership agreement; </w:t>
      </w:r>
    </w:p>
    <w:p>
      <w:pPr>
        <w:pStyle w:val="ListHeading"/>
        <w:numPr>
          <w:ilvl w:val="0"/>
          <w:numId w:val="0"/>
        </w:numPr>
        <w:spacing w:before="0" w:after="0"/>
        <w:ind w:left="707" w:right="0" w:hanging="0"/>
        <w:rPr>
          <w:rFonts w:ascii="times" w:hAnsi="times"/>
          <w:sz w:val="20"/>
        </w:rPr>
      </w:pPr>
      <w:r>
        <w:rPr>
          <w:rFonts w:ascii="times" w:hAnsi="times"/>
          <w:sz w:val="20"/>
        </w:rPr>
        <w:t>(10)</w:t>
      </w:r>
    </w:p>
    <w:p>
      <w:pPr>
        <w:pStyle w:val="ListContents"/>
        <w:numPr>
          <w:ilvl w:val="0"/>
          <w:numId w:val="0"/>
        </w:numPr>
        <w:spacing w:before="0" w:after="283"/>
        <w:ind w:left="1274" w:right="0" w:hanging="0"/>
        <w:rPr>
          <w:rFonts w:ascii="times" w:hAnsi="times"/>
          <w:sz w:val="20"/>
        </w:rPr>
      </w:pPr>
      <w:r>
        <w:rPr>
          <w:rFonts w:ascii="times" w:hAnsi="times"/>
          <w:sz w:val="20"/>
        </w:rPr>
        <w:t xml:space="preserve">an amendment to cure any ambiguity, defect or inconsistency; or </w:t>
      </w:r>
    </w:p>
    <w:p>
      <w:pPr>
        <w:pStyle w:val="ListHeading"/>
        <w:numPr>
          <w:ilvl w:val="0"/>
          <w:numId w:val="0"/>
        </w:numPr>
        <w:spacing w:before="0" w:after="0"/>
        <w:ind w:left="707" w:right="0" w:hanging="0"/>
        <w:rPr>
          <w:rFonts w:ascii="times" w:hAnsi="times"/>
          <w:sz w:val="20"/>
        </w:rPr>
      </w:pPr>
      <w:r>
        <w:rPr>
          <w:rFonts w:ascii="times" w:hAnsi="times"/>
          <w:sz w:val="20"/>
        </w:rPr>
        <w:t>(11)</w:t>
      </w:r>
    </w:p>
    <w:p>
      <w:pPr>
        <w:pStyle w:val="ListContents"/>
        <w:numPr>
          <w:ilvl w:val="0"/>
          <w:numId w:val="0"/>
        </w:numPr>
        <w:spacing w:before="0" w:after="283"/>
        <w:ind w:left="1274" w:right="0" w:hanging="0"/>
        <w:rPr>
          <w:rFonts w:ascii="times" w:hAnsi="times"/>
          <w:sz w:val="20"/>
        </w:rPr>
      </w:pPr>
      <w:r>
        <w:rPr>
          <w:rFonts w:ascii="times" w:hAnsi="times"/>
          <w:sz w:val="20"/>
        </w:rPr>
        <w:t xml:space="preserve">any other amendments substantially similar to any of the matters described in (1) through (10) above. </w:t>
      </w:r>
    </w:p>
    <w:p>
      <w:pPr>
        <w:pStyle w:val="TextBody"/>
        <w:jc w:val="center"/>
        <w:rPr>
          <w:rFonts w:ascii="times" w:hAnsi="times"/>
          <w:sz w:val="20"/>
        </w:rPr>
      </w:pPr>
      <w:r>
        <w:rPr>
          <w:rFonts w:ascii="times" w:hAnsi="times"/>
          <w:sz w:val="20"/>
        </w:rPr>
        <w:t>33</w:t>
      </w:r>
    </w:p>
    <w:p>
      <w:pPr>
        <w:pStyle w:val="HorizontalLine"/>
        <w:pBdr>
          <w:bottom w:val="single" w:sz="20" w:space="0" w:color="808080"/>
        </w:pBdr>
        <w:rPr/>
      </w:pPr>
      <w:r>
        <w:rPr/>
      </w:r>
      <w:r>
        <w:br w:type="page"/>
      </w:r>
    </w:p>
    <w:p>
      <w:pPr>
        <w:pStyle w:val="TextBody"/>
        <w:rPr/>
      </w:pPr>
      <w:hyperlink w:anchor="dg43504a_main_toc">
        <w:bookmarkStart w:id="345" w:name="page_eg43504_1_34"/>
        <w:bookmarkEnd w:id="345"/>
        <w:r>
          <w:rPr>
            <w:rStyle w:val="InternetLink"/>
            <w:rFonts w:ascii="times" w:hAnsi="times"/>
            <w:sz w:val="20"/>
          </w:rPr>
          <w:t>Table of Contents</w:t>
        </w:r>
      </w:hyperlink>
    </w:p>
    <w:p>
      <w:pPr>
        <w:pStyle w:val="TextBody"/>
        <w:rPr/>
      </w:pPr>
      <w:r>
        <w:rPr/>
        <w:t>        </w:t>
      </w:r>
      <w:r>
        <w:rPr>
          <w:rFonts w:ascii="times" w:hAnsi="times"/>
          <w:sz w:val="20"/>
        </w:rPr>
        <w:t xml:space="preserve">In addition, our board of directors may make amendments to the partnership agreement without the approval of any limited partner or our general partner (subject to the limited approval rights of the holders of the Preference Units and the holders of other Parity Securities (if applicable)) if our board of directors determines that those amendments: </w:t>
      </w:r>
    </w:p>
    <w:p>
      <w:pPr>
        <w:pStyle w:val="ListHeading"/>
        <w:numPr>
          <w:ilvl w:val="0"/>
          <w:numId w:val="0"/>
        </w:numPr>
        <w:spacing w:before="0" w:after="0"/>
        <w:ind w:left="707" w:right="0" w:hanging="0"/>
        <w:rPr>
          <w:rFonts w:ascii="times" w:hAnsi="times"/>
          <w:sz w:val="20"/>
        </w:rPr>
      </w:pPr>
      <w:r>
        <w:rPr>
          <w:rFonts w:ascii="times" w:hAnsi="times"/>
          <w:sz w:val="20"/>
        </w:rPr>
        <w:t>(1)</w:t>
      </w:r>
    </w:p>
    <w:p>
      <w:pPr>
        <w:pStyle w:val="ListContents"/>
        <w:numPr>
          <w:ilvl w:val="0"/>
          <w:numId w:val="0"/>
        </w:numPr>
        <w:spacing w:before="0" w:after="283"/>
        <w:ind w:left="1274" w:right="0" w:hanging="0"/>
        <w:rPr>
          <w:rFonts w:ascii="times" w:hAnsi="times"/>
          <w:sz w:val="20"/>
        </w:rPr>
      </w:pPr>
      <w:r>
        <w:rPr>
          <w:rFonts w:ascii="times" w:hAnsi="times"/>
          <w:sz w:val="20"/>
        </w:rPr>
        <w:t xml:space="preserve">do not adversely affect the rights of our limited partners (or any particular class of limited partners) or our general partner in any material respect; </w:t>
      </w:r>
    </w:p>
    <w:p>
      <w:pPr>
        <w:pStyle w:val="ListHeading"/>
        <w:numPr>
          <w:ilvl w:val="0"/>
          <w:numId w:val="0"/>
        </w:numPr>
        <w:spacing w:before="0" w:after="0"/>
        <w:ind w:left="707" w:right="0" w:hanging="0"/>
        <w:rPr>
          <w:rFonts w:ascii="times" w:hAnsi="times"/>
          <w:sz w:val="20"/>
        </w:rPr>
      </w:pPr>
      <w:r>
        <w:rPr>
          <w:rFonts w:ascii="times" w:hAnsi="times"/>
          <w:sz w:val="20"/>
        </w:rPr>
        <w:t>(2)</w:t>
      </w:r>
    </w:p>
    <w:p>
      <w:pPr>
        <w:pStyle w:val="ListContents"/>
        <w:numPr>
          <w:ilvl w:val="0"/>
          <w:numId w:val="0"/>
        </w:numPr>
        <w:spacing w:before="0" w:after="283"/>
        <w:ind w:left="1274" w:right="0" w:hanging="0"/>
        <w:rPr>
          <w:rFonts w:ascii="times" w:hAnsi="times"/>
          <w:sz w:val="20"/>
        </w:rPr>
      </w:pPr>
      <w:r>
        <w:rPr>
          <w:rFonts w:ascii="times" w:hAnsi="times"/>
          <w:sz w:val="20"/>
        </w:rPr>
        <w:t xml:space="preserve">are necessary or appropriate to satisfy any requirements, conditions or guidelines contained in any opinion, directive, order, ruling or regulation of any Marshall Islands authority or statute; </w:t>
      </w:r>
    </w:p>
    <w:p>
      <w:pPr>
        <w:pStyle w:val="ListHeading"/>
        <w:numPr>
          <w:ilvl w:val="0"/>
          <w:numId w:val="0"/>
        </w:numPr>
        <w:spacing w:before="0" w:after="0"/>
        <w:ind w:left="707" w:right="0" w:hanging="0"/>
        <w:rPr>
          <w:rFonts w:ascii="times" w:hAnsi="times"/>
          <w:sz w:val="20"/>
        </w:rPr>
      </w:pPr>
      <w:r>
        <w:rPr>
          <w:rFonts w:ascii="times" w:hAnsi="times"/>
          <w:sz w:val="20"/>
        </w:rPr>
        <w:t>(3)</w:t>
      </w:r>
    </w:p>
    <w:p>
      <w:pPr>
        <w:pStyle w:val="ListContents"/>
        <w:numPr>
          <w:ilvl w:val="0"/>
          <w:numId w:val="0"/>
        </w:numPr>
        <w:spacing w:before="0" w:after="283"/>
        <w:ind w:left="1274" w:right="0" w:hanging="0"/>
        <w:rPr>
          <w:rFonts w:ascii="times" w:hAnsi="times"/>
          <w:sz w:val="20"/>
        </w:rPr>
      </w:pPr>
      <w:r>
        <w:rPr>
          <w:rFonts w:ascii="times" w:hAnsi="times"/>
          <w:sz w:val="20"/>
        </w:rPr>
        <w:t xml:space="preserve">are necessary or appropriate to facilitate the trading of limited partner interests or to comply with any rule, regulation, guideline or requirement of any securities exchange on which the limited partner interests are or will be listed for trading; </w:t>
      </w:r>
    </w:p>
    <w:p>
      <w:pPr>
        <w:pStyle w:val="ListHeading"/>
        <w:numPr>
          <w:ilvl w:val="0"/>
          <w:numId w:val="0"/>
        </w:numPr>
        <w:spacing w:before="0" w:after="0"/>
        <w:ind w:left="707" w:right="0" w:hanging="0"/>
        <w:rPr>
          <w:rFonts w:ascii="times" w:hAnsi="times"/>
          <w:sz w:val="20"/>
        </w:rPr>
      </w:pPr>
      <w:r>
        <w:rPr>
          <w:rFonts w:ascii="times" w:hAnsi="times"/>
          <w:sz w:val="20"/>
        </w:rPr>
        <w:t>(4)</w:t>
      </w:r>
    </w:p>
    <w:p>
      <w:pPr>
        <w:pStyle w:val="ListContents"/>
        <w:numPr>
          <w:ilvl w:val="0"/>
          <w:numId w:val="0"/>
        </w:numPr>
        <w:spacing w:before="0" w:after="283"/>
        <w:ind w:left="1274" w:right="0" w:hanging="0"/>
        <w:rPr>
          <w:rFonts w:ascii="times" w:hAnsi="times"/>
          <w:sz w:val="20"/>
        </w:rPr>
      </w:pPr>
      <w:r>
        <w:rPr>
          <w:rFonts w:ascii="times" w:hAnsi="times"/>
          <w:sz w:val="20"/>
        </w:rPr>
        <w:t xml:space="preserve">are necessary or appropriate for any action taken by our board of directors relating to splits or combinations of units under the provisions of the partnership agreement; or </w:t>
      </w:r>
    </w:p>
    <w:p>
      <w:pPr>
        <w:pStyle w:val="ListHeading"/>
        <w:numPr>
          <w:ilvl w:val="0"/>
          <w:numId w:val="0"/>
        </w:numPr>
        <w:spacing w:before="0" w:after="0"/>
        <w:ind w:left="707" w:right="0" w:hanging="0"/>
        <w:rPr>
          <w:rFonts w:ascii="times" w:hAnsi="times"/>
          <w:sz w:val="20"/>
        </w:rPr>
      </w:pPr>
      <w:r>
        <w:rPr>
          <w:rFonts w:ascii="times" w:hAnsi="times"/>
          <w:sz w:val="20"/>
        </w:rPr>
        <w:t>(5)</w:t>
      </w:r>
    </w:p>
    <w:p>
      <w:pPr>
        <w:pStyle w:val="ListContents"/>
        <w:numPr>
          <w:ilvl w:val="0"/>
          <w:numId w:val="0"/>
        </w:numPr>
        <w:spacing w:before="0" w:after="283"/>
        <w:ind w:left="1274" w:right="0" w:hanging="0"/>
        <w:rPr>
          <w:rFonts w:ascii="times" w:hAnsi="times"/>
          <w:sz w:val="20"/>
        </w:rPr>
      </w:pPr>
      <w:r>
        <w:rPr>
          <w:rFonts w:ascii="times" w:hAnsi="times"/>
          <w:sz w:val="20"/>
        </w:rPr>
        <w:t xml:space="preserve">are required to effect the intent expressed in this prospectus or the intent of the provisions of the partnership agreement or are otherwise contemplated by the partnership agreement. </w:t>
      </w:r>
    </w:p>
    <w:p>
      <w:pPr>
        <w:pStyle w:val="TextBody"/>
        <w:ind w:left="200" w:right="0" w:hanging="200"/>
        <w:rPr>
          <w:rFonts w:ascii="times" w:hAnsi="times"/>
          <w:b/>
          <w:i/>
          <w:sz w:val="20"/>
        </w:rPr>
      </w:pPr>
      <w:r>
        <w:rPr>
          <w:rFonts w:ascii="times" w:hAnsi="times"/>
          <w:b/>
          <w:i/>
          <w:sz w:val="20"/>
        </w:rPr>
        <w:t xml:space="preserve">Opinion of Counsel and Limited Partner Approval </w:t>
      </w:r>
    </w:p>
    <w:p>
      <w:pPr>
        <w:pStyle w:val="TextBody"/>
        <w:rPr/>
      </w:pPr>
      <w:r>
        <w:rPr/>
        <w:t>        </w:t>
      </w:r>
      <w:r>
        <w:rPr>
          <w:rFonts w:ascii="times" w:hAnsi="times"/>
          <w:sz w:val="20"/>
        </w:rPr>
        <w:t xml:space="preserve">Our board of directors will not be required to obtain an opinion of counsel that an amendment will not result in a loss of limited liability to the limited partners if one of the amendments described above under "Amendment of the Partnership AgreementNo Unitholder Approval" should occur. No other amendments to our partnership agreement will become effective without the approval of holders of at least 90% of the outstanding units voting as a single class unless we obtain an opinion of counsel to the effect that the amendment will not affect the limited liability under applicable law of any of our limited partners. </w:t>
      </w:r>
    </w:p>
    <w:p>
      <w:pPr>
        <w:pStyle w:val="TextBody"/>
        <w:rPr/>
      </w:pPr>
      <w:r>
        <w:rPr/>
        <w:t>        </w:t>
      </w:r>
      <w:r>
        <w:rPr>
          <w:rFonts w:ascii="times" w:hAnsi="times"/>
          <w:sz w:val="20"/>
        </w:rPr>
        <w:t xml:space="preserve">In addition to the above restrictions, any amendment that would have a material adverse effect on the rights or privileges of any type or class or series of outstanding limited partner interests (other than Preference Units) in relation to other classes or series of limited partner interests will require the approval of at least a majority of the type or class or series of units so affected; provided, however, that any amendment that would have a material adverse effect on the existing terms of the Preference Units will require the approval of at least two-thirds of the outstanding Preference Units. Any amendment that reduces the voting percentage required to take any action must be approved by the affirmative vote of limited partners whose aggregate outstanding units constitute not less than the voting requirement sought to be reduced. </w:t>
      </w:r>
    </w:p>
    <w:p>
      <w:pPr>
        <w:pStyle w:val="TextBody"/>
        <w:ind w:left="200" w:right="0" w:hanging="200"/>
        <w:rPr>
          <w:rFonts w:ascii="times" w:hAnsi="times"/>
          <w:b/>
          <w:sz w:val="20"/>
        </w:rPr>
      </w:pPr>
      <w:bookmarkStart w:id="346" w:name="toc_eg43504_12"/>
      <w:bookmarkStart w:id="347" w:name="eg43504_merger,_sale,_conversi__eg402218"/>
      <w:bookmarkEnd w:id="346"/>
      <w:bookmarkEnd w:id="347"/>
      <w:r>
        <w:rPr>
          <w:rFonts w:ascii="times" w:hAnsi="times"/>
          <w:b/>
          <w:sz w:val="20"/>
        </w:rPr>
        <w:t xml:space="preserve">Merger, Sale, Conversion or Other Disposition of Assets </w:t>
      </w:r>
    </w:p>
    <w:p>
      <w:pPr>
        <w:pStyle w:val="TextBody"/>
        <w:rPr/>
      </w:pPr>
      <w:r>
        <w:rPr/>
        <w:t>        </w:t>
      </w:r>
      <w:r>
        <w:rPr>
          <w:rFonts w:ascii="times" w:hAnsi="times"/>
          <w:sz w:val="20"/>
        </w:rPr>
        <w:t xml:space="preserve">A merger or consolidation of us requires the approval of our board of directors and the prior consent of our general partner and a Unit Majority. However, to the fullest extent permitted by law, our board of directors and our general partner will have no duty or obligation to consent to any merger or consolidation and may decline to do so free of any fiduciary duty or obligation whatsoever to us or the limited partners, including any duty to act in good faith or in the best interests of us or the limited partners. In addition, our partnership agreement generally prohibits our board of directors, without the prior approval of our general partner and the holders of units representing a Unit Majority, from causing us to, among other things, sell, exchange or otherwise dispose of all or substantially all of our assets in a single transaction or a series of related transactions, including by way of merger, consolidation or other combination, or approving on our behalf the sale, exchange or other disposition of all or substantially all of the assets of our subsidiaries taken as a whole. Our board of directors may, however, mortgage, pledge, hypothecate or grant a security interest in all or substantially all of our </w:t>
      </w:r>
    </w:p>
    <w:p>
      <w:pPr>
        <w:pStyle w:val="TextBody"/>
        <w:jc w:val="center"/>
        <w:rPr>
          <w:rFonts w:ascii="times" w:hAnsi="times"/>
          <w:sz w:val="20"/>
        </w:rPr>
      </w:pPr>
      <w:r>
        <w:rPr>
          <w:rFonts w:ascii="times" w:hAnsi="times"/>
          <w:sz w:val="20"/>
        </w:rPr>
        <w:t>34</w:t>
      </w:r>
    </w:p>
    <w:p>
      <w:pPr>
        <w:pStyle w:val="HorizontalLine"/>
        <w:pBdr>
          <w:bottom w:val="single" w:sz="20" w:space="0" w:color="808080"/>
        </w:pBdr>
        <w:rPr/>
      </w:pPr>
      <w:r>
        <w:rPr/>
      </w:r>
      <w:r>
        <w:br w:type="page"/>
      </w:r>
    </w:p>
    <w:p>
      <w:pPr>
        <w:pStyle w:val="TextBody"/>
        <w:rPr/>
      </w:pPr>
      <w:hyperlink w:anchor="dg43504a_main_toc">
        <w:bookmarkStart w:id="348" w:name="page_eg43504_1_35"/>
        <w:bookmarkEnd w:id="348"/>
        <w:r>
          <w:rPr>
            <w:rStyle w:val="InternetLink"/>
            <w:rFonts w:ascii="times" w:hAnsi="times"/>
            <w:sz w:val="20"/>
          </w:rPr>
          <w:t>Table of Contents</w:t>
        </w:r>
      </w:hyperlink>
    </w:p>
    <w:p>
      <w:pPr>
        <w:pStyle w:val="TextBody"/>
        <w:rPr>
          <w:rFonts w:ascii="times" w:hAnsi="times"/>
          <w:sz w:val="20"/>
        </w:rPr>
      </w:pPr>
      <w:r>
        <w:rPr>
          <w:rFonts w:ascii="times" w:hAnsi="times"/>
          <w:sz w:val="20"/>
        </w:rPr>
        <w:t xml:space="preserve">assets without the prior approval of the holders of units representing a Unit Majority. Our general partner and our board of directors may also determine to sell all or substantially all of our assets under a foreclosure or other realization upon those encumbrances without the approval of the holders of units representing a Unit Majority. </w:t>
      </w:r>
    </w:p>
    <w:p>
      <w:pPr>
        <w:pStyle w:val="TextBody"/>
        <w:rPr/>
      </w:pPr>
      <w:r>
        <w:rPr/>
        <w:t>        </w:t>
      </w:r>
      <w:r>
        <w:rPr>
          <w:rFonts w:ascii="times" w:hAnsi="times"/>
          <w:sz w:val="20"/>
        </w:rPr>
        <w:t xml:space="preserve">If conditions specified in our partnership agreement are satisfied, our board of directors, with the consent of our general partner, may convert us or any of our subsidiaries into a new limited liability entity or merge us or any of our subsidiaries into, or convey some or all of our assets to, a newly formed entity if the sole purpose of that merger or conveyance is to effect a mere change in our legal form into another limited liability entity. The unitholders are not entitled to dissenters' rights of appraisal under our partnership agreement or applicable law in the event of a conversion, merger or consolidation, sale of substantially all of our assets or any other transaction or event. </w:t>
      </w:r>
    </w:p>
    <w:p>
      <w:pPr>
        <w:pStyle w:val="TextBody"/>
        <w:rPr/>
      </w:pPr>
      <w:r>
        <w:rPr/>
        <w:t>        </w:t>
      </w:r>
      <w:r>
        <w:rPr>
          <w:rFonts w:ascii="times" w:hAnsi="times"/>
          <w:sz w:val="20"/>
        </w:rPr>
        <w:t xml:space="preserve">Immediately before the consummation of a change of control (as defined in the partnership agreement) or the consummation of a merger, consolidation or conversion of the partnership, all Class B Units that have not yet converted will automatically convert into Common Units on a one-for-one basis. </w:t>
      </w:r>
    </w:p>
    <w:p>
      <w:pPr>
        <w:pStyle w:val="TextBody"/>
        <w:ind w:left="200" w:right="0" w:hanging="200"/>
        <w:rPr>
          <w:rFonts w:ascii="times" w:hAnsi="times"/>
          <w:b/>
          <w:sz w:val="20"/>
        </w:rPr>
      </w:pPr>
      <w:bookmarkStart w:id="349" w:name="toc_eg43504_13"/>
      <w:bookmarkStart w:id="350" w:name="eg43504_termination_and_dissolution"/>
      <w:bookmarkEnd w:id="349"/>
      <w:bookmarkEnd w:id="350"/>
      <w:r>
        <w:rPr>
          <w:rFonts w:ascii="times" w:hAnsi="times"/>
          <w:b/>
          <w:sz w:val="20"/>
        </w:rPr>
        <w:t xml:space="preserve">Termination and Dissolution </w:t>
      </w:r>
    </w:p>
    <w:p>
      <w:pPr>
        <w:pStyle w:val="TextBody"/>
        <w:rPr/>
      </w:pPr>
      <w:r>
        <w:rPr/>
        <w:t>        </w:t>
      </w:r>
      <w:r>
        <w:rPr>
          <w:rFonts w:ascii="times" w:hAnsi="times"/>
          <w:sz w:val="20"/>
        </w:rPr>
        <w:t xml:space="preserve">We will continue as a limited partnership until terminated or converted under our partnership agreement. We will dissolve upon: </w:t>
      </w:r>
    </w:p>
    <w:p>
      <w:pPr>
        <w:pStyle w:val="ListHeading"/>
        <w:numPr>
          <w:ilvl w:val="0"/>
          <w:numId w:val="0"/>
        </w:numPr>
        <w:spacing w:before="0" w:after="0"/>
        <w:ind w:left="707" w:right="0" w:hanging="0"/>
        <w:rPr>
          <w:rFonts w:ascii="times" w:hAnsi="times"/>
          <w:sz w:val="20"/>
        </w:rPr>
      </w:pPr>
      <w:r>
        <w:rPr>
          <w:rFonts w:ascii="times" w:hAnsi="times"/>
          <w:sz w:val="20"/>
        </w:rPr>
        <w:t>(1)</w:t>
      </w:r>
    </w:p>
    <w:p>
      <w:pPr>
        <w:pStyle w:val="ListContents"/>
        <w:numPr>
          <w:ilvl w:val="0"/>
          <w:numId w:val="0"/>
        </w:numPr>
        <w:spacing w:before="0" w:after="283"/>
        <w:ind w:left="1274" w:right="0" w:hanging="0"/>
        <w:rPr>
          <w:rFonts w:ascii="times" w:hAnsi="times"/>
          <w:sz w:val="20"/>
        </w:rPr>
      </w:pPr>
      <w:r>
        <w:rPr>
          <w:rFonts w:ascii="times" w:hAnsi="times"/>
          <w:sz w:val="20"/>
        </w:rPr>
        <w:t xml:space="preserve">the election of our general partner and our board of directors to dissolve us, if approved by the holders of units representing a Unit Majority; </w:t>
      </w:r>
    </w:p>
    <w:p>
      <w:pPr>
        <w:pStyle w:val="ListHeading"/>
        <w:numPr>
          <w:ilvl w:val="0"/>
          <w:numId w:val="0"/>
        </w:numPr>
        <w:spacing w:before="0" w:after="0"/>
        <w:ind w:left="707" w:right="0" w:hanging="0"/>
        <w:rPr>
          <w:rFonts w:ascii="times" w:hAnsi="times"/>
          <w:sz w:val="20"/>
        </w:rPr>
      </w:pPr>
      <w:r>
        <w:rPr>
          <w:rFonts w:ascii="times" w:hAnsi="times"/>
          <w:sz w:val="20"/>
        </w:rPr>
        <w:t>(2)</w:t>
      </w:r>
    </w:p>
    <w:p>
      <w:pPr>
        <w:pStyle w:val="ListContents"/>
        <w:numPr>
          <w:ilvl w:val="0"/>
          <w:numId w:val="0"/>
        </w:numPr>
        <w:spacing w:before="0" w:after="283"/>
        <w:ind w:left="1274" w:right="0" w:hanging="0"/>
        <w:rPr>
          <w:rFonts w:ascii="times" w:hAnsi="times"/>
          <w:sz w:val="20"/>
        </w:rPr>
      </w:pPr>
      <w:r>
        <w:rPr>
          <w:rFonts w:ascii="times" w:hAnsi="times"/>
          <w:sz w:val="20"/>
        </w:rPr>
        <w:t xml:space="preserve">at any time there are no limited partners, unless we continue without dissolution in accordance with the Marshall Islands Act; </w:t>
      </w:r>
    </w:p>
    <w:p>
      <w:pPr>
        <w:pStyle w:val="ListHeading"/>
        <w:numPr>
          <w:ilvl w:val="0"/>
          <w:numId w:val="0"/>
        </w:numPr>
        <w:spacing w:before="0" w:after="0"/>
        <w:ind w:left="707" w:right="0" w:hanging="0"/>
        <w:rPr>
          <w:rFonts w:ascii="times" w:hAnsi="times"/>
          <w:sz w:val="20"/>
        </w:rPr>
      </w:pPr>
      <w:r>
        <w:rPr>
          <w:rFonts w:ascii="times" w:hAnsi="times"/>
          <w:sz w:val="20"/>
        </w:rPr>
        <w:t>(3)</w:t>
      </w:r>
    </w:p>
    <w:p>
      <w:pPr>
        <w:pStyle w:val="ListContents"/>
        <w:numPr>
          <w:ilvl w:val="0"/>
          <w:numId w:val="0"/>
        </w:numPr>
        <w:spacing w:before="0" w:after="283"/>
        <w:ind w:left="1274" w:right="0" w:hanging="0"/>
        <w:rPr>
          <w:rFonts w:ascii="times" w:hAnsi="times"/>
          <w:sz w:val="20"/>
        </w:rPr>
      </w:pPr>
      <w:r>
        <w:rPr>
          <w:rFonts w:ascii="times" w:hAnsi="times"/>
          <w:sz w:val="20"/>
        </w:rPr>
        <w:t xml:space="preserve">the entry of a decree of judicial dissolution of us; or </w:t>
      </w:r>
    </w:p>
    <w:p>
      <w:pPr>
        <w:pStyle w:val="ListHeading"/>
        <w:numPr>
          <w:ilvl w:val="0"/>
          <w:numId w:val="0"/>
        </w:numPr>
        <w:spacing w:before="0" w:after="0"/>
        <w:ind w:left="707" w:right="0" w:hanging="0"/>
        <w:rPr>
          <w:rFonts w:ascii="times" w:hAnsi="times"/>
          <w:sz w:val="20"/>
        </w:rPr>
      </w:pPr>
      <w:r>
        <w:rPr>
          <w:rFonts w:ascii="times" w:hAnsi="times"/>
          <w:sz w:val="20"/>
        </w:rPr>
        <w:t>(4)</w:t>
      </w:r>
    </w:p>
    <w:p>
      <w:pPr>
        <w:pStyle w:val="ListContents"/>
        <w:numPr>
          <w:ilvl w:val="0"/>
          <w:numId w:val="0"/>
        </w:numPr>
        <w:spacing w:before="0" w:after="283"/>
        <w:ind w:left="1274" w:right="0" w:hanging="0"/>
        <w:rPr>
          <w:rFonts w:ascii="times" w:hAnsi="times"/>
          <w:sz w:val="20"/>
        </w:rPr>
      </w:pPr>
      <w:r>
        <w:rPr>
          <w:rFonts w:ascii="times" w:hAnsi="times"/>
          <w:sz w:val="20"/>
        </w:rPr>
        <w:t xml:space="preserve">the withdrawal or removal of our general partner or any other event that results in its ceasing to be our general partner other than by reason of a transfer of its general partner interest in accordance with the partnership agreement or withdrawal or removal following approval and admission of a successor. </w:t>
      </w:r>
    </w:p>
    <w:p>
      <w:pPr>
        <w:pStyle w:val="TextBody"/>
        <w:rPr/>
      </w:pPr>
      <w:r>
        <w:rPr/>
        <w:t>        </w:t>
      </w:r>
      <w:r>
        <w:rPr>
          <w:rFonts w:ascii="times" w:hAnsi="times"/>
          <w:sz w:val="20"/>
        </w:rPr>
        <w:t xml:space="preserve">Upon a dissolution under clause (4), the holders of a Unit Majority may also elect, within specific time limitations, to continue our business on the same terms and conditions described in the partnership agreement by appointing as general partner an entity approved by the holders of units representing a Unit Majority, subject to our receipt of an opinion of counsel to the effect that the action would not result in the loss of limited liability of any limited partner. </w:t>
      </w:r>
    </w:p>
    <w:p>
      <w:pPr>
        <w:pStyle w:val="TextBody"/>
        <w:ind w:left="200" w:right="0" w:hanging="200"/>
        <w:rPr>
          <w:rFonts w:ascii="times" w:hAnsi="times"/>
          <w:b/>
          <w:sz w:val="20"/>
        </w:rPr>
      </w:pPr>
      <w:bookmarkStart w:id="351" w:name="toc_eg43504_14"/>
      <w:bookmarkStart w:id="352" w:name="eg43504_liquidation_and_distribution_of_"/>
      <w:bookmarkEnd w:id="351"/>
      <w:bookmarkEnd w:id="352"/>
      <w:r>
        <w:rPr>
          <w:rFonts w:ascii="times" w:hAnsi="times"/>
          <w:b/>
          <w:sz w:val="20"/>
        </w:rPr>
        <w:t xml:space="preserve">Liquidation and Distribution of Proceeds </w:t>
      </w:r>
    </w:p>
    <w:p>
      <w:pPr>
        <w:pStyle w:val="TextBody"/>
        <w:rPr/>
      </w:pPr>
      <w:r>
        <w:rPr/>
        <w:t>        </w:t>
      </w:r>
      <w:r>
        <w:rPr>
          <w:rFonts w:ascii="times" w:hAnsi="times"/>
          <w:sz w:val="20"/>
        </w:rPr>
        <w:t xml:space="preserve">Upon our dissolution, unless we are continued as a new limited partnership, the liquidator authorized to wind up our affairs will, acting with all of the powers of our board of directors that are necessary or appropriate, liquidate our assets and apply the proceeds of the liquidation as provided in the Partnership Agreement. The liquidator may defer liquidation or distribution of our assets for a reasonable period or distribute assets to partners in kind if it determines that a sale would be impractical or would cause undue loss to our partners. A consolidation or merger of us with or into any other entity, individually or in a series of transactions, will not be deemed to be a liquidation, dissolution or winding up of our affairs. </w:t>
      </w:r>
    </w:p>
    <w:p>
      <w:pPr>
        <w:pStyle w:val="TextBody"/>
        <w:rPr/>
      </w:pPr>
      <w:r>
        <w:rPr/>
        <w:t>        </w:t>
      </w:r>
      <w:r>
        <w:rPr>
          <w:rFonts w:ascii="times" w:hAnsi="times"/>
          <w:sz w:val="20"/>
        </w:rPr>
        <w:t xml:space="preserve">In the event of any liquidation, dissolution or winding up of our affairs, whether voluntary or involuntary, holders of the Preference Units will generally have the right to receive the liquidation preference of $25.00 per unit plus an amount equal to all accumulated and unpaid distributions thereon to the date of payment, whether or not declared, before any payments are made to holders of our Common Units or general partner units. </w:t>
      </w:r>
    </w:p>
    <w:p>
      <w:pPr>
        <w:pStyle w:val="TextBody"/>
        <w:jc w:val="center"/>
        <w:rPr>
          <w:rFonts w:ascii="times" w:hAnsi="times"/>
          <w:sz w:val="20"/>
        </w:rPr>
      </w:pPr>
      <w:r>
        <w:rPr>
          <w:rFonts w:ascii="times" w:hAnsi="times"/>
          <w:sz w:val="20"/>
        </w:rPr>
        <w:t>35</w:t>
      </w:r>
    </w:p>
    <w:p>
      <w:pPr>
        <w:pStyle w:val="HorizontalLine"/>
        <w:pBdr>
          <w:bottom w:val="single" w:sz="20" w:space="0" w:color="808080"/>
        </w:pBdr>
        <w:rPr/>
      </w:pPr>
      <w:r>
        <w:rPr/>
      </w:r>
      <w:r>
        <w:br w:type="page"/>
      </w:r>
    </w:p>
    <w:p>
      <w:pPr>
        <w:pStyle w:val="TextBody"/>
        <w:rPr/>
      </w:pPr>
      <w:hyperlink w:anchor="dg43504a_main_toc">
        <w:bookmarkStart w:id="353" w:name="page_ei43504_1_36"/>
        <w:bookmarkEnd w:id="353"/>
        <w:r>
          <w:rPr>
            <w:rStyle w:val="InternetLink"/>
            <w:rFonts w:ascii="times" w:hAnsi="times"/>
            <w:sz w:val="20"/>
          </w:rPr>
          <w:t>Table of Contents</w:t>
        </w:r>
      </w:hyperlink>
      <w:r>
        <w:rPr>
          <w:rFonts w:ascii="times" w:hAnsi="times"/>
          <w:sz w:val="20"/>
        </w:rPr>
        <w:t xml:space="preserve"> </w:t>
      </w:r>
    </w:p>
    <w:p>
      <w:pPr>
        <w:pStyle w:val="TextBody"/>
        <w:rPr/>
      </w:pPr>
      <w:r>
        <w:rPr/>
        <w:t>        </w:t>
      </w:r>
      <w:r>
        <w:rPr>
          <w:rFonts w:ascii="times" w:hAnsi="times"/>
          <w:sz w:val="20"/>
        </w:rPr>
        <w:t xml:space="preserve">Immediately upon the dissolution of the partnership, before any liquidation distributions are made, all Class B Units that have not yet converted will automatically convert into Common Units on a one-for-one basis. </w:t>
      </w:r>
    </w:p>
    <w:p>
      <w:pPr>
        <w:pStyle w:val="TextBody"/>
        <w:ind w:left="200" w:right="0" w:hanging="200"/>
        <w:rPr>
          <w:rFonts w:ascii="times" w:hAnsi="times"/>
          <w:b/>
          <w:sz w:val="20"/>
        </w:rPr>
      </w:pPr>
      <w:bookmarkStart w:id="354" w:name="toc_ei43504_1"/>
      <w:bookmarkStart w:id="355" w:name="ei43504_withdrawal_or_removal_of_our_gen"/>
      <w:bookmarkEnd w:id="354"/>
      <w:bookmarkEnd w:id="355"/>
      <w:r>
        <w:rPr>
          <w:rFonts w:ascii="times" w:hAnsi="times"/>
          <w:b/>
          <w:sz w:val="20"/>
        </w:rPr>
        <w:t xml:space="preserve">Withdrawal or Removal of our General Partner </w:t>
      </w:r>
    </w:p>
    <w:p>
      <w:pPr>
        <w:pStyle w:val="TextBody"/>
        <w:rPr/>
      </w:pPr>
      <w:r>
        <w:rPr/>
        <w:t>        </w:t>
      </w:r>
      <w:r>
        <w:rPr>
          <w:rFonts w:ascii="times" w:hAnsi="times"/>
          <w:sz w:val="20"/>
        </w:rPr>
        <w:t xml:space="preserve">Except as described below, our general partner has agreed not to withdraw voluntarily as our general partner prior to March 31, 2024 without obtaining the approval of the holders of at least a majority of the outstanding Common Units, excluding Common Units held by our general partner and its affiliates, and furnishing an opinion of counsel regarding limited liability. On or after March 31, 2024, our general partner may withdraw as general partner without first obtaining approval of any unitholder by giving 90 days' written notice, and that withdrawal will not constitute a violation of the partnership agreement. Notwithstanding the above, our general partner may withdraw without unitholder approval upon 90 days' written notice to the limited partners if at least 50% of the outstanding Common Units are held or controlled by one person and its affiliates other than our general partner and its affiliates. In addition, the partnership agreement permits our general partner in some instances to sell or otherwise transfer all of its general partner interest in us without the approval of the unitholders. See "Transfer of General Partner Interest". </w:t>
      </w:r>
    </w:p>
    <w:p>
      <w:pPr>
        <w:pStyle w:val="TextBody"/>
        <w:rPr/>
      </w:pPr>
      <w:r>
        <w:rPr/>
        <w:t>        </w:t>
      </w:r>
      <w:r>
        <w:rPr>
          <w:rFonts w:ascii="times" w:hAnsi="times"/>
          <w:sz w:val="20"/>
        </w:rPr>
        <w:t xml:space="preserve">Upon withdrawal of our general partner under any circumstances, other than as a result of a transfer by our general partner of all or a part of its general partner interest in us, the holders of a majority of the outstanding Common Units, may select a successor to that withdrawing general partner. If a successor is not elected, or is elected but an opinion of counsel regarding limited liability cannot be obtained, we will be dissolved, wound up and liquidated, unless within a specified period of time after that withdrawal, the holders of a Unit Majority agree in writing to continue our business and to appoint a successor general partner. See "Termination and Dissolution". </w:t>
      </w:r>
    </w:p>
    <w:p>
      <w:pPr>
        <w:pStyle w:val="TextBody"/>
        <w:rPr/>
      </w:pPr>
      <w:r>
        <w:rPr/>
        <w:t>        </w:t>
      </w:r>
      <w:r>
        <w:rPr>
          <w:rFonts w:ascii="times" w:hAnsi="times"/>
          <w:sz w:val="20"/>
        </w:rPr>
        <w:t>Our general partner may not be removed unless that removal is approved by the vote of the holders of not less than 66</w:t>
      </w:r>
      <w:r>
        <w:rPr>
          <w:rFonts w:ascii="times" w:hAnsi="times"/>
          <w:position w:val="7"/>
          <w:sz w:val="16"/>
          <w:sz w:val="20"/>
        </w:rPr>
        <w:t>2</w:t>
      </w:r>
      <w:r>
        <w:rPr>
          <w:rFonts w:ascii="times" w:hAnsi="times"/>
          <w:sz w:val="20"/>
        </w:rPr>
        <w:t>/</w:t>
      </w:r>
      <w:r>
        <w:rPr>
          <w:rFonts w:ascii="times" w:hAnsi="times"/>
          <w:sz w:val="14"/>
        </w:rPr>
        <w:t>3</w:t>
      </w:r>
      <w:r>
        <w:rPr>
          <w:rFonts w:ascii="times" w:hAnsi="times"/>
          <w:sz w:val="20"/>
        </w:rPr>
        <w:t>% of the outstanding Common Units, including units held by our general partner and its affiliates, voting together as a single class, and we receive an opinion of counsel regarding limited liability. The ownership of more than 33</w:t>
      </w:r>
      <w:r>
        <w:rPr>
          <w:rFonts w:ascii="times" w:hAnsi="times"/>
          <w:position w:val="7"/>
          <w:sz w:val="16"/>
          <w:sz w:val="20"/>
        </w:rPr>
        <w:t>1</w:t>
      </w:r>
      <w:r>
        <w:rPr>
          <w:rFonts w:ascii="times" w:hAnsi="times"/>
          <w:sz w:val="20"/>
        </w:rPr>
        <w:t>/</w:t>
      </w:r>
      <w:r>
        <w:rPr>
          <w:rFonts w:ascii="times" w:hAnsi="times"/>
          <w:sz w:val="14"/>
        </w:rPr>
        <w:t>3</w:t>
      </w:r>
      <w:r>
        <w:rPr>
          <w:rFonts w:ascii="times" w:hAnsi="times"/>
          <w:sz w:val="20"/>
        </w:rPr>
        <w:t xml:space="preserve">% of the outstanding units by our general partner and its affiliates or the control of our board of directors by our general partner and its affiliates would provide the practical ability to prevent our general partner's removal. Any removal of our general partner is also subject to the successor general partner being approved by the vote of the holders of a majority of the outstanding Common Units, voting as a single class. </w:t>
      </w:r>
    </w:p>
    <w:p>
      <w:pPr>
        <w:pStyle w:val="TextBody"/>
        <w:rPr/>
      </w:pPr>
      <w:r>
        <w:rPr/>
        <w:t>        </w:t>
      </w:r>
      <w:r>
        <w:rPr>
          <w:rFonts w:ascii="times" w:hAnsi="times"/>
          <w:sz w:val="20"/>
        </w:rPr>
        <w:t>Our partnership agreement also provides that if our general partner is removed as our general partner under circumstances where cause does not exist and units held by our general partner and its affiliates are not voted in favor of that removal:</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all Class B Units will immediately and automatically convert into Common Units on a one-for-one basis; and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our general partner will have the right to convert its general partner interest into Common Units or to receive cash in exchange for that interest based on the fair market value of that interest at the time. </w:t>
      </w:r>
    </w:p>
    <w:p>
      <w:pPr>
        <w:pStyle w:val="TextBody"/>
        <w:rPr/>
      </w:pPr>
      <w:r>
        <w:rPr/>
        <w:t>        </w:t>
      </w:r>
      <w:r>
        <w:rPr>
          <w:rFonts w:ascii="times" w:hAnsi="times"/>
          <w:sz w:val="20"/>
        </w:rPr>
        <w:t xml:space="preserve">In the event of removal of our general partner under circumstances where cause exists or withdrawal of our general partner where that withdrawal violates the partnership agreement, a successor general partner will have the option to purchase the general partner interest owned by the departing general partner for a cash payment equal to the fair market value of that interest. Under all other circumstances where our general partner withdraws or is removed by the limited partners, the departing general partner will have the option to require the successor general partner to purchase the general partner interest of the departing general partner for its fair market value. In each case, this fair </w:t>
      </w:r>
    </w:p>
    <w:p>
      <w:pPr>
        <w:pStyle w:val="TextBody"/>
        <w:jc w:val="center"/>
        <w:rPr>
          <w:rFonts w:ascii="times" w:hAnsi="times"/>
          <w:sz w:val="20"/>
        </w:rPr>
      </w:pPr>
      <w:r>
        <w:rPr>
          <w:rFonts w:ascii="times" w:hAnsi="times"/>
          <w:sz w:val="20"/>
        </w:rPr>
        <w:t>36</w:t>
      </w:r>
    </w:p>
    <w:p>
      <w:pPr>
        <w:pStyle w:val="HorizontalLine"/>
        <w:pBdr>
          <w:bottom w:val="single" w:sz="20" w:space="0" w:color="808080"/>
        </w:pBdr>
        <w:rPr/>
      </w:pPr>
      <w:r>
        <w:rPr/>
      </w:r>
      <w:r>
        <w:br w:type="page"/>
      </w:r>
    </w:p>
    <w:p>
      <w:pPr>
        <w:pStyle w:val="TextBody"/>
        <w:rPr/>
      </w:pPr>
      <w:hyperlink w:anchor="dg43504a_main_toc">
        <w:bookmarkStart w:id="356" w:name="page_ei43504_1_37"/>
        <w:bookmarkEnd w:id="356"/>
        <w:r>
          <w:rPr>
            <w:rStyle w:val="InternetLink"/>
            <w:rFonts w:ascii="times" w:hAnsi="times"/>
            <w:sz w:val="20"/>
          </w:rPr>
          <w:t>Table of Contents</w:t>
        </w:r>
      </w:hyperlink>
    </w:p>
    <w:p>
      <w:pPr>
        <w:pStyle w:val="TextBody"/>
        <w:rPr>
          <w:rFonts w:ascii="times" w:hAnsi="times"/>
          <w:sz w:val="20"/>
        </w:rPr>
      </w:pPr>
      <w:r>
        <w:rPr>
          <w:rFonts w:ascii="times" w:hAnsi="times"/>
          <w:sz w:val="20"/>
        </w:rPr>
        <w:t xml:space="preserve">market value will be determined by agreement between the departing general partner and the successor general partner. If no agreement is reached, an independent investment banking firm or other independent expert selected by the departing general partner and the successor general partner will determine the fair market value. Or, if the departing general partner and the successor general partner cannot agree upon an expert, then an expert chosen by agreement of the experts selected by each of them will determine the fair market value. </w:t>
      </w:r>
    </w:p>
    <w:p>
      <w:pPr>
        <w:pStyle w:val="TextBody"/>
        <w:rPr/>
      </w:pPr>
      <w:r>
        <w:rPr/>
        <w:t>        </w:t>
      </w:r>
      <w:r>
        <w:rPr>
          <w:rFonts w:ascii="times" w:hAnsi="times"/>
          <w:sz w:val="20"/>
        </w:rPr>
        <w:t xml:space="preserve">If the option described above is not exercised by either the departing general partner or the successor general partner, the departing general partner's general partner interest will automatically convert into Common Units equal to the fair market value of those interests as determined by an independent investment banking firm or other independent expert selected in the manner described in the preceding paragraph. </w:t>
      </w:r>
    </w:p>
    <w:p>
      <w:pPr>
        <w:pStyle w:val="TextBody"/>
        <w:rPr/>
      </w:pPr>
      <w:r>
        <w:rPr/>
        <w:t>        </w:t>
      </w:r>
      <w:r>
        <w:rPr>
          <w:rFonts w:ascii="times" w:hAnsi="times"/>
          <w:sz w:val="20"/>
        </w:rPr>
        <w:t xml:space="preserve">In addition, we will be required to reimburse the departing general partner for all amounts due the departing general partner, including, without limitation, any employee-related liabilities, including severance liabilities, incurred for the termination of any employees employed by the departing general partner or its affiliates for our benefit. </w:t>
      </w:r>
    </w:p>
    <w:p>
      <w:pPr>
        <w:pStyle w:val="TextBody"/>
        <w:ind w:left="200" w:right="0" w:hanging="200"/>
        <w:rPr>
          <w:rFonts w:ascii="times" w:hAnsi="times"/>
          <w:b/>
          <w:sz w:val="20"/>
        </w:rPr>
      </w:pPr>
      <w:bookmarkStart w:id="357" w:name="toc_ei43504_2"/>
      <w:bookmarkStart w:id="358" w:name="ei43504_transfer_of_general_partner_inte"/>
      <w:bookmarkEnd w:id="357"/>
      <w:bookmarkEnd w:id="358"/>
      <w:r>
        <w:rPr>
          <w:rFonts w:ascii="times" w:hAnsi="times"/>
          <w:b/>
          <w:sz w:val="20"/>
        </w:rPr>
        <w:t xml:space="preserve">Transfer of General Partner Interest </w:t>
      </w:r>
    </w:p>
    <w:p>
      <w:pPr>
        <w:pStyle w:val="TextBody"/>
        <w:rPr/>
      </w:pPr>
      <w:r>
        <w:rPr/>
        <w:t>        </w:t>
      </w:r>
      <w:r>
        <w:rPr>
          <w:rFonts w:ascii="times" w:hAnsi="times"/>
          <w:sz w:val="20"/>
        </w:rPr>
        <w:t>Except for the transfer by our general partner of all, but not less than all, of its general partner interest in us to:</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an affiliate of our general partner (other than an individual); or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another entity as part of the merger or consolidation of our general partner with or into another entity or the transfer by our general partner of all or substantially all of its assets to another entity, </w:t>
      </w:r>
    </w:p>
    <w:p>
      <w:pPr>
        <w:pStyle w:val="TextBody"/>
        <w:rPr>
          <w:rFonts w:ascii="times" w:hAnsi="times"/>
          <w:sz w:val="20"/>
        </w:rPr>
      </w:pPr>
      <w:r>
        <w:rPr>
          <w:rFonts w:ascii="times" w:hAnsi="times"/>
          <w:sz w:val="20"/>
        </w:rPr>
        <w:t xml:space="preserve">our general partner may not transfer all or any part of its general partner interest in us to another person prior to March 31, 2024, without the approval of the holders of at least a majority of the outstanding Common Units, excluding Common Units held by our general partner and its affiliates. As a condition of this transfer, the transferee must, among other things, assume the rights and duties of the general partner, agree to be bound by the provisions of the partnership agreement and furnish an opinion of counsel regarding limited liability. </w:t>
      </w:r>
    </w:p>
    <w:p>
      <w:pPr>
        <w:pStyle w:val="TextBody"/>
        <w:rPr/>
      </w:pPr>
      <w:r>
        <w:rPr/>
        <w:t>        </w:t>
      </w:r>
      <w:r>
        <w:rPr>
          <w:rFonts w:ascii="times" w:hAnsi="times"/>
          <w:sz w:val="20"/>
        </w:rPr>
        <w:t xml:space="preserve">Our general partner and its affiliates may at any time transfer units to one or more persons, without unitholder approval. </w:t>
      </w:r>
    </w:p>
    <w:p>
      <w:pPr>
        <w:pStyle w:val="TextBody"/>
        <w:ind w:left="200" w:right="0" w:hanging="200"/>
        <w:rPr>
          <w:rFonts w:ascii="times" w:hAnsi="times"/>
          <w:b/>
          <w:sz w:val="20"/>
        </w:rPr>
      </w:pPr>
      <w:bookmarkStart w:id="359" w:name="toc_ei43504_3"/>
      <w:bookmarkStart w:id="360" w:name="ei43504_transfer_of_ownership_interests_"/>
      <w:bookmarkEnd w:id="359"/>
      <w:bookmarkEnd w:id="360"/>
      <w:r>
        <w:rPr>
          <w:rFonts w:ascii="times" w:hAnsi="times"/>
          <w:b/>
          <w:sz w:val="20"/>
        </w:rPr>
        <w:t xml:space="preserve">Transfer of Ownership Interests in General Partner </w:t>
      </w:r>
    </w:p>
    <w:p>
      <w:pPr>
        <w:pStyle w:val="TextBody"/>
        <w:rPr/>
      </w:pPr>
      <w:r>
        <w:rPr/>
        <w:t>        </w:t>
      </w:r>
      <w:r>
        <w:rPr>
          <w:rFonts w:ascii="times" w:hAnsi="times"/>
          <w:sz w:val="20"/>
        </w:rPr>
        <w:t xml:space="preserve">At any time, the members of our general partner may sell or transfer all or part of their respective membership interests in our general partner to an affiliate or a third party without the approval of our unitholders. </w:t>
      </w:r>
    </w:p>
    <w:p>
      <w:pPr>
        <w:pStyle w:val="TextBody"/>
        <w:ind w:left="200" w:right="0" w:hanging="200"/>
        <w:rPr>
          <w:rFonts w:ascii="times" w:hAnsi="times"/>
          <w:b/>
          <w:sz w:val="20"/>
        </w:rPr>
      </w:pPr>
      <w:bookmarkStart w:id="361" w:name="toc_ei43504_4"/>
      <w:bookmarkStart w:id="362" w:name="ei43504_transfer_of_common_uni__ei402450"/>
      <w:bookmarkEnd w:id="361"/>
      <w:bookmarkEnd w:id="362"/>
      <w:r>
        <w:rPr>
          <w:rFonts w:ascii="times" w:hAnsi="times"/>
          <w:b/>
          <w:sz w:val="20"/>
        </w:rPr>
        <w:t xml:space="preserve">Transfer of Common Units, Class B Units and Preference Units </w:t>
      </w:r>
    </w:p>
    <w:p>
      <w:pPr>
        <w:pStyle w:val="TextBody"/>
        <w:rPr/>
      </w:pPr>
      <w:r>
        <w:rPr/>
        <w:t>        </w:t>
      </w:r>
      <w:r>
        <w:rPr>
          <w:rFonts w:ascii="times" w:hAnsi="times"/>
          <w:sz w:val="20"/>
        </w:rPr>
        <w:t>By transfer of Common Units, Class B Units or Preference Units in accordance with the partnership agreement, each transferee of Common Units, Class B Units or Preference Units automatically is admitted as a limited partner with respect to the Common Units, Class B Units or Preference Units transferred when such transfer and admission is reflected in our books and records. We will cause any transfers to be recorded on our books and records no less frequently than quarterly. Each transferee automatically is deemed to:</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represent that the transferee has the capacity, power and authority to become bound by the partnership agreement; </w:t>
      </w:r>
    </w:p>
    <w:p>
      <w:pPr>
        <w:pStyle w:val="TextBody"/>
        <w:jc w:val="center"/>
        <w:rPr>
          <w:rFonts w:ascii="times" w:hAnsi="times"/>
          <w:sz w:val="20"/>
        </w:rPr>
      </w:pPr>
      <w:r>
        <w:rPr>
          <w:rFonts w:ascii="times" w:hAnsi="times"/>
          <w:sz w:val="20"/>
        </w:rPr>
        <w:t>37</w:t>
      </w:r>
    </w:p>
    <w:p>
      <w:pPr>
        <w:pStyle w:val="HorizontalLine"/>
        <w:pBdr>
          <w:bottom w:val="single" w:sz="20" w:space="0" w:color="808080"/>
        </w:pBdr>
        <w:rPr/>
      </w:pPr>
      <w:r>
        <w:rPr/>
      </w:r>
      <w:r>
        <w:br w:type="page"/>
      </w:r>
    </w:p>
    <w:p>
      <w:pPr>
        <w:pStyle w:val="TextBody"/>
        <w:rPr/>
      </w:pPr>
      <w:hyperlink w:anchor="dg43504a_main_toc">
        <w:bookmarkStart w:id="363" w:name="page_ei43504_1_38"/>
        <w:bookmarkEnd w:id="363"/>
        <w:r>
          <w:rPr>
            <w:rStyle w:val="InternetLink"/>
            <w:rFonts w:ascii="times" w:hAnsi="times"/>
            <w:sz w:val="20"/>
          </w:rPr>
          <w:t>Table of Contents</w:t>
        </w:r>
      </w:hyperlink>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agree to be bound by the terms and conditions of, and to have executed, the partnership agreement;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grants power of attorney to officers of our general partner and any liquidator of us as specified in the partnership agreement; and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give the consents and approvals contained in the partnership agreement. </w:t>
      </w:r>
    </w:p>
    <w:p>
      <w:pPr>
        <w:pStyle w:val="TextBody"/>
        <w:rPr/>
      </w:pPr>
      <w:r>
        <w:rPr/>
        <w:t>        </w:t>
      </w:r>
      <w:r>
        <w:rPr>
          <w:rFonts w:ascii="times" w:hAnsi="times"/>
          <w:sz w:val="20"/>
        </w:rPr>
        <w:t xml:space="preserve">We are entitled to treat the nominee holder of a Common Unit, Class B Unit or a Preference Unit as the absolute owner. In that case, the beneficial holder's rights are limited solely to those that it has against the nominee holder as a result of any agreement between the beneficial owner and the nominee holder. </w:t>
      </w:r>
    </w:p>
    <w:p>
      <w:pPr>
        <w:pStyle w:val="TextBody"/>
        <w:rPr/>
      </w:pPr>
      <w:r>
        <w:rPr/>
        <w:t>        </w:t>
      </w:r>
      <w:r>
        <w:rPr>
          <w:rFonts w:ascii="times" w:hAnsi="times"/>
          <w:sz w:val="20"/>
        </w:rPr>
        <w:t xml:space="preserve">Common Units, Class B Units and Preference Units are securities and are transferable according to the laws governing transfer of securities. In addition to other rights acquired upon transfer, the transferor gives the transferee the right to become a limited partner in our partnership for the transferred units. </w:t>
      </w:r>
    </w:p>
    <w:p>
      <w:pPr>
        <w:pStyle w:val="TextBody"/>
        <w:rPr/>
      </w:pPr>
      <w:r>
        <w:rPr/>
        <w:t>        </w:t>
      </w:r>
      <w:r>
        <w:rPr>
          <w:rFonts w:ascii="times" w:hAnsi="times"/>
          <w:sz w:val="20"/>
        </w:rPr>
        <w:t xml:space="preserve">Until a Common Unit, Class B Unit or a Preference Unit has been transferred on our books, we and our transfer agent may treat the record holder of the unit as the absolute owner of such unit for all purposes, except as otherwise required by law or stock exchange regulations. </w:t>
      </w:r>
    </w:p>
    <w:p>
      <w:pPr>
        <w:pStyle w:val="TextBody"/>
        <w:ind w:left="200" w:right="0" w:hanging="200"/>
        <w:rPr>
          <w:rFonts w:ascii="times" w:hAnsi="times"/>
          <w:b/>
          <w:sz w:val="20"/>
        </w:rPr>
      </w:pPr>
      <w:bookmarkStart w:id="364" w:name="toc_ei43504_5"/>
      <w:bookmarkStart w:id="365" w:name="ei43504_change_of_management_provisions"/>
      <w:bookmarkEnd w:id="364"/>
      <w:bookmarkEnd w:id="365"/>
      <w:r>
        <w:rPr>
          <w:rFonts w:ascii="times" w:hAnsi="times"/>
          <w:b/>
          <w:sz w:val="20"/>
        </w:rPr>
        <w:t xml:space="preserve">Change of Management Provisions </w:t>
      </w:r>
    </w:p>
    <w:p>
      <w:pPr>
        <w:pStyle w:val="TextBody"/>
        <w:rPr/>
      </w:pPr>
      <w:r>
        <w:rPr/>
        <w:t>        </w:t>
      </w:r>
      <w:r>
        <w:rPr>
          <w:rFonts w:ascii="times" w:hAnsi="times"/>
          <w:sz w:val="20"/>
        </w:rPr>
        <w:t xml:space="preserve">The partnership agreement contains specific provisions that are intended to discourage a person or group from attempting to remove GasLog Partners GP LLC as our general partner or otherwise change management. If any person or group acquires beneficial ownership of more than 4.9% of any class or series of units then outstanding, that person or group loses voting rights on all of its units in excess of 4.9% of all such units. Our general partner, its affiliates and persons who acquired Common Units with the prior approval of our board of directors will not be subject to this 4.9% limitation except with respect to voting their Common Units in the election of the elected directors. This loss of voting rights does not apply to the Preference Units. </w:t>
      </w:r>
    </w:p>
    <w:p>
      <w:pPr>
        <w:pStyle w:val="TextBody"/>
        <w:rPr/>
      </w:pPr>
      <w:r>
        <w:rPr/>
        <w:t>        </w:t>
      </w:r>
      <w:r>
        <w:rPr>
          <w:rFonts w:ascii="times" w:hAnsi="times"/>
          <w:sz w:val="20"/>
        </w:rPr>
        <w:t>The partnership agreement also provides that if our general partner is removed under circumstances where cause does not exist and units held by our general partner and its affiliates are not voted in favor of that removal:</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all Class B Units will immediately and automatically convert into Common Units on a one-for-one basis; and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our general partner will have the right to convert its general partner interest into Common Units or to receive cash in exchange for that interest. </w:t>
      </w:r>
    </w:p>
    <w:p>
      <w:pPr>
        <w:pStyle w:val="TextBody"/>
        <w:ind w:left="200" w:right="0" w:hanging="200"/>
        <w:rPr>
          <w:rFonts w:ascii="times" w:hAnsi="times"/>
          <w:b/>
          <w:sz w:val="20"/>
        </w:rPr>
      </w:pPr>
      <w:bookmarkStart w:id="366" w:name="toc_ei43504_6"/>
      <w:bookmarkStart w:id="367" w:name="ei43504_limited_call_right"/>
      <w:bookmarkEnd w:id="366"/>
      <w:bookmarkEnd w:id="367"/>
      <w:r>
        <w:rPr>
          <w:rFonts w:ascii="times" w:hAnsi="times"/>
          <w:b/>
          <w:sz w:val="20"/>
        </w:rPr>
        <w:t xml:space="preserve">Limited Call Right </w:t>
      </w:r>
    </w:p>
    <w:p>
      <w:pPr>
        <w:pStyle w:val="TextBody"/>
        <w:rPr/>
      </w:pPr>
      <w:r>
        <w:rPr/>
        <w:t>        </w:t>
      </w:r>
      <w:r>
        <w:rPr>
          <w:rFonts w:ascii="times" w:hAnsi="times"/>
          <w:sz w:val="20"/>
        </w:rPr>
        <w:t xml:space="preserve">If at any time our general partner and its affiliates hold more than 80% of the then-issued and outstanding partnership interests of any class or series, except for the Class B Units and Preference Units, our general partner will have the right, which it may assign in whole or in part to any of its affiliates or to us, to acquire all, but not less than all, of the remaining partnership interests of the class held by unaffiliated persons as of a record date to be selected by the general partner, on at least ten but not more than 60 days' written notice at a price equal to the greater of (x) the average of the daily closing prices of the partnership interests of such class over the 20 trading days preceding the date three days before the notice of exercise of the call right is first mailed and (y) the highest price paid by our general partner or any of its affiliates for partnership interests of such class during the 90-day period preceding the date such notice is first mailed. Our general partner is not obligated to obtain a fairness opinion regarding the value of the Partnership units to be repurchased by it upon the exercise </w:t>
      </w:r>
    </w:p>
    <w:p>
      <w:pPr>
        <w:pStyle w:val="TextBody"/>
        <w:jc w:val="center"/>
        <w:rPr>
          <w:rFonts w:ascii="times" w:hAnsi="times"/>
          <w:sz w:val="20"/>
        </w:rPr>
      </w:pPr>
      <w:r>
        <w:rPr>
          <w:rFonts w:ascii="times" w:hAnsi="times"/>
          <w:sz w:val="20"/>
        </w:rPr>
        <w:t>38</w:t>
      </w:r>
    </w:p>
    <w:p>
      <w:pPr>
        <w:pStyle w:val="HorizontalLine"/>
        <w:pBdr>
          <w:bottom w:val="single" w:sz="20" w:space="0" w:color="808080"/>
        </w:pBdr>
        <w:rPr/>
      </w:pPr>
      <w:r>
        <w:rPr/>
      </w:r>
      <w:r>
        <w:br w:type="page"/>
      </w:r>
    </w:p>
    <w:p>
      <w:pPr>
        <w:pStyle w:val="TextBody"/>
        <w:rPr/>
      </w:pPr>
      <w:hyperlink w:anchor="dg43504a_main_toc">
        <w:bookmarkStart w:id="368" w:name="page_ei43504_1_39"/>
        <w:bookmarkEnd w:id="368"/>
        <w:r>
          <w:rPr>
            <w:rStyle w:val="InternetLink"/>
            <w:rFonts w:ascii="times" w:hAnsi="times"/>
            <w:sz w:val="20"/>
          </w:rPr>
          <w:t>Table of Contents</w:t>
        </w:r>
      </w:hyperlink>
    </w:p>
    <w:p>
      <w:pPr>
        <w:pStyle w:val="TextBody"/>
        <w:rPr>
          <w:rFonts w:ascii="times" w:hAnsi="times"/>
          <w:sz w:val="20"/>
        </w:rPr>
      </w:pPr>
      <w:r>
        <w:rPr>
          <w:rFonts w:ascii="times" w:hAnsi="times"/>
          <w:sz w:val="20"/>
        </w:rPr>
        <w:t xml:space="preserve">of this limited call right and has no fiduciary duty in determining whether to exercise this limited call right. </w:t>
      </w:r>
    </w:p>
    <w:p>
      <w:pPr>
        <w:pStyle w:val="TextBody"/>
        <w:rPr/>
      </w:pPr>
      <w:r>
        <w:rPr/>
        <w:t>        </w:t>
      </w:r>
      <w:r>
        <w:rPr>
          <w:rFonts w:ascii="times" w:hAnsi="times"/>
          <w:sz w:val="20"/>
        </w:rPr>
        <w:t xml:space="preserve">As a result of the general partner's right to purchase outstanding partnership interests, a holder of partnership interests may have the holder's partnership interests (except for the Class B Units and Preference Units) purchased at an undesirable time or price. The tax consequences to a unitholder of the exercise of this call right are the same as a sale by that unitholder of units in the market. See "Material U.S. Federal Income Tax Considerations" and "Non-United States Tax Considerations." </w:t>
      </w:r>
    </w:p>
    <w:p>
      <w:pPr>
        <w:pStyle w:val="TextBody"/>
        <w:ind w:left="200" w:right="0" w:hanging="200"/>
        <w:rPr>
          <w:rFonts w:ascii="times" w:hAnsi="times"/>
          <w:b/>
          <w:sz w:val="20"/>
        </w:rPr>
      </w:pPr>
      <w:bookmarkStart w:id="369" w:name="toc_ei43504_7"/>
      <w:bookmarkStart w:id="370" w:name="ei43504_board_of_directors"/>
      <w:bookmarkEnd w:id="369"/>
      <w:bookmarkEnd w:id="370"/>
      <w:r>
        <w:rPr>
          <w:rFonts w:ascii="times" w:hAnsi="times"/>
          <w:b/>
          <w:sz w:val="20"/>
        </w:rPr>
        <w:t xml:space="preserve">Board of Directors </w:t>
      </w:r>
    </w:p>
    <w:p>
      <w:pPr>
        <w:pStyle w:val="TextBody"/>
        <w:rPr/>
      </w:pPr>
      <w:r>
        <w:rPr/>
        <w:t>        </w:t>
      </w:r>
      <w:r>
        <w:rPr>
          <w:rFonts w:ascii="times" w:hAnsi="times"/>
          <w:sz w:val="20"/>
        </w:rPr>
        <w:t xml:space="preserve">Under our partnership agreement, our general partner has delegated to our board of directors the authority to oversee and direct our operations, policies and management on an exclusive basis, and such delegation will be binding on any successor general partner of the partnership. As of October 9, 2020, our board of directors is comprised of five persons. Our general partner has appointed three of our five directors and the Common Unitholders elected the remaining two directors. Four of our directors meet the independence standards of the NYSE, two of which also qualify as independent of GasLog under our partnership agreement, so as to be eligible for membership on our conflicts committee. If our general partner exercises its right to transfer the power to elect a majority of our directors to the Common Unitholders, an additional director will thereafter be elected by our Common Unitholders. </w:t>
      </w:r>
    </w:p>
    <w:p>
      <w:pPr>
        <w:pStyle w:val="TextBody"/>
        <w:rPr/>
      </w:pPr>
      <w:r>
        <w:rPr/>
        <w:t>        </w:t>
      </w:r>
      <w:r>
        <w:rPr>
          <w:rFonts w:ascii="times" w:hAnsi="times"/>
          <w:sz w:val="20"/>
        </w:rPr>
        <w:t xml:space="preserve">Under certain limited circumstances, holders of our Preference Units (voting together as a class with any other Parity Securities) may elect one additional director to serve on our board of directors, at which point our general partner would similarly be entitled, at its election, to appoint one additional director to serve for only as long a period of time as the director elected by the holders of Preference Units and any other Parity Securities. </w:t>
      </w:r>
    </w:p>
    <w:p>
      <w:pPr>
        <w:pStyle w:val="TextBody"/>
        <w:rPr/>
      </w:pPr>
      <w:r>
        <w:rPr/>
        <w:t>        </w:t>
      </w:r>
      <w:r>
        <w:rPr>
          <w:rFonts w:ascii="times" w:hAnsi="times"/>
          <w:sz w:val="20"/>
        </w:rPr>
        <w:t>Our board of directors nominates individuals to stand for election as elected board members on a staggered basis at an annual meeting of our limited partners. In addition, any limited partner or group of limited partners that holds beneficially 10% or more of the outstanding Common Units is entitled to nominate one or more individuals to stand for election as elected board members at the annual meeting by providing written notice to our board of directors not more than 120 days nor less than 90 days prior to the meeting. However, if the date of the annual meeting is not publicly announced by us at least 100 days prior to the date of the meeting, the notice must be delivered to our board of directors not later than ten days following the public announcement of the meeting date. The notice must set forth:</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the name and address of the limited partner or limited partners making the nomination or nominations;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the number of Common Units beneficially owned by the limited partner or limited partners;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the information regarding the nominee(s) proposed by the limited partner or limited partners as would be required to be included in a proxy statement relating to the solicitation of proxies for the election of directors filed pursuant to the proxy rules of the SEC;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the written consent of the nominee(s) to serve as a member of our board of directors if so elected; and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a certification that the nominee(s) qualify as elected board members. </w:t>
      </w:r>
    </w:p>
    <w:p>
      <w:pPr>
        <w:pStyle w:val="TextBody"/>
        <w:rPr/>
      </w:pPr>
      <w:r>
        <w:rPr/>
        <w:t>        </w:t>
      </w:r>
      <w:r>
        <w:rPr>
          <w:rFonts w:ascii="times" w:hAnsi="times"/>
          <w:sz w:val="20"/>
        </w:rPr>
        <w:t xml:space="preserve">Our general partner may remove an appointed board member with or without cause at any time. "Cause" generally means a court's finding a person liable for actual fraud or willful misconduct in his or its capacity as a director. Any and all of the board members may be removed at any time for cause by the affirmative vote of a majority of the other board members. Any and all of the board members </w:t>
      </w:r>
    </w:p>
    <w:p>
      <w:pPr>
        <w:pStyle w:val="TextBody"/>
        <w:jc w:val="center"/>
        <w:rPr>
          <w:rFonts w:ascii="times" w:hAnsi="times"/>
          <w:sz w:val="20"/>
        </w:rPr>
      </w:pPr>
      <w:r>
        <w:rPr>
          <w:rFonts w:ascii="times" w:hAnsi="times"/>
          <w:sz w:val="20"/>
        </w:rPr>
        <w:t>39</w:t>
      </w:r>
    </w:p>
    <w:p>
      <w:pPr>
        <w:pStyle w:val="HorizontalLine"/>
        <w:pBdr>
          <w:bottom w:val="single" w:sz="20" w:space="0" w:color="808080"/>
        </w:pBdr>
        <w:rPr/>
      </w:pPr>
      <w:r>
        <w:rPr/>
      </w:r>
      <w:r>
        <w:br w:type="page"/>
      </w:r>
    </w:p>
    <w:p>
      <w:pPr>
        <w:pStyle w:val="TextBody"/>
        <w:rPr/>
      </w:pPr>
      <w:hyperlink w:anchor="dg43504a_main_toc">
        <w:bookmarkStart w:id="371" w:name="page_ei43504_1_40"/>
        <w:bookmarkEnd w:id="371"/>
        <w:r>
          <w:rPr>
            <w:rStyle w:val="InternetLink"/>
            <w:rFonts w:ascii="times" w:hAnsi="times"/>
            <w:sz w:val="20"/>
          </w:rPr>
          <w:t>Table of Contents</w:t>
        </w:r>
      </w:hyperlink>
    </w:p>
    <w:p>
      <w:pPr>
        <w:pStyle w:val="TextBody"/>
        <w:rPr>
          <w:rFonts w:ascii="times" w:hAnsi="times"/>
          <w:sz w:val="20"/>
        </w:rPr>
      </w:pPr>
      <w:r>
        <w:rPr>
          <w:rFonts w:ascii="times" w:hAnsi="times"/>
          <w:sz w:val="20"/>
        </w:rPr>
        <w:t xml:space="preserve">appointed by our general partner may be removed for cause at a properly called meeting of the limited partners by a majority vote of the outstanding units, voting as a single class. If any appointed board member is removed, resigns or is otherwise unable to serve as a board member, our general partner may fill the vacancy. Any and all of the board members elected by the Common Unitholders may be removed for cause at a properly called meeting of the limited partners by a majority vote of the outstanding Common Units. If any elected board member is removed, resigns or is otherwise unable to serve as a board member, the vacancy may be filled by a majority of the other elected board members then serving. </w:t>
      </w:r>
    </w:p>
    <w:p>
      <w:pPr>
        <w:pStyle w:val="TextBody"/>
        <w:ind w:left="200" w:right="0" w:hanging="200"/>
        <w:rPr>
          <w:rFonts w:ascii="times" w:hAnsi="times"/>
          <w:b/>
          <w:sz w:val="20"/>
        </w:rPr>
      </w:pPr>
      <w:bookmarkStart w:id="372" w:name="toc_ei43504_8"/>
      <w:bookmarkStart w:id="373" w:name="ei43504_meetings;_voting"/>
      <w:bookmarkEnd w:id="372"/>
      <w:bookmarkEnd w:id="373"/>
      <w:r>
        <w:rPr>
          <w:rFonts w:ascii="times" w:hAnsi="times"/>
          <w:b/>
          <w:sz w:val="20"/>
        </w:rPr>
        <w:t xml:space="preserve">Meetings; Voting </w:t>
      </w:r>
    </w:p>
    <w:p>
      <w:pPr>
        <w:pStyle w:val="TextBody"/>
        <w:rPr/>
      </w:pPr>
      <w:r>
        <w:rPr/>
        <w:t>        </w:t>
      </w:r>
      <w:r>
        <w:rPr>
          <w:rFonts w:ascii="times" w:hAnsi="times"/>
          <w:sz w:val="20"/>
        </w:rPr>
        <w:t xml:space="preserve">Unlike the holders of common stock in a corporation, the holders of our Common Units have only limited voting rights on matters affecting our business. On those matters that are submitted to a vote of Common Unitholders, each record holder of a Common Unit may vote according to the holder's percentage interest in us of all holders entitled to vote on such matter, although additional limited partners interests having special voting rights could be issued. Holders of the Class B Units and Preference Units generally have no voting rights. However, holders of the Preference Units have limited voting rights as described under "Voting Rights". </w:t>
      </w:r>
    </w:p>
    <w:p>
      <w:pPr>
        <w:pStyle w:val="TextBody"/>
        <w:rPr/>
      </w:pPr>
      <w:r>
        <w:rPr/>
        <w:t>        </w:t>
      </w:r>
      <w:r>
        <w:rPr>
          <w:rFonts w:ascii="times" w:hAnsi="times"/>
          <w:sz w:val="20"/>
        </w:rPr>
        <w:t xml:space="preserve">Except as described below regarding a person or group owning more than 4.9% of any class or series of limited partner interests then outstanding, limited partners who are record holders of units on the record date will be entitled to notice of, and to vote at, meetings of our limited partners and to act upon matters for which approvals may be solicited. </w:t>
      </w:r>
    </w:p>
    <w:p>
      <w:pPr>
        <w:pStyle w:val="TextBody"/>
        <w:rPr/>
      </w:pPr>
      <w:r>
        <w:rPr/>
        <w:t>        </w:t>
      </w:r>
      <w:r>
        <w:rPr>
          <w:rFonts w:ascii="times" w:hAnsi="times"/>
          <w:sz w:val="20"/>
        </w:rPr>
        <w:t>We hold a meeting of the limited partners every year to elect one or more members of our board of directors and to vote on any other matters that are properly brought before the meeting. Any action that is required or permitted to be taken by our limited partners, or any applicable class thereof, may be taken either at a meeting of the applicable limited partners or without a meeting if consents in writing describing the action so taken are signed by holders of the number of limited partner interests necessary to authorize or take that action at a meeting. Meetings of our limited partners may be called by our board of directors or by limited partners owning at least 20% of the outstanding limited partner interests of the class for which a meeting is proposed. Limited partners may vote either in person or by proxy at meetings. The holders of 33</w:t>
      </w:r>
      <w:r>
        <w:rPr>
          <w:rFonts w:ascii="times" w:hAnsi="times"/>
          <w:position w:val="7"/>
          <w:sz w:val="16"/>
          <w:sz w:val="20"/>
        </w:rPr>
        <w:t>1</w:t>
      </w:r>
      <w:r>
        <w:rPr>
          <w:rFonts w:ascii="times" w:hAnsi="times"/>
          <w:sz w:val="20"/>
        </w:rPr>
        <w:t>/</w:t>
      </w:r>
      <w:r>
        <w:rPr>
          <w:rFonts w:ascii="times" w:hAnsi="times"/>
          <w:sz w:val="14"/>
        </w:rPr>
        <w:t>3</w:t>
      </w:r>
      <w:r>
        <w:rPr>
          <w:rFonts w:ascii="times" w:hAnsi="times"/>
          <w:sz w:val="20"/>
        </w:rPr>
        <w:t xml:space="preserve">% of the outstanding limited partner interests of the class, classes or series for which a meeting has been called, represented in person or by proxy, will constitute a quorum unless any action by the limited partners requires approval by holders of a greater percentage of the limited partner interests, in which case the quorum will be the greater percentage. </w:t>
      </w:r>
    </w:p>
    <w:p>
      <w:pPr>
        <w:pStyle w:val="TextBody"/>
        <w:rPr/>
      </w:pPr>
      <w:r>
        <w:rPr/>
        <w:t>        </w:t>
      </w:r>
      <w:r>
        <w:rPr>
          <w:rFonts w:ascii="times" w:hAnsi="times"/>
          <w:sz w:val="20"/>
        </w:rPr>
        <w:t xml:space="preserve">Each record holder of a unit may vote according to the holder's percentage interest in us, although additional limited partner interests having special voting rights could be issued. See "Issuance of Additional Interests". However, if at any time, any person or group owns beneficially more than 4.9% of any class of units then outstanding, except for Class B Units and Preference Units, any such limited partner interests owned by that person or group in excess of 4.9% may not be voted on any matter and will not be considered to be outstanding when sending notices of a meeting of limited partners, calculating required votes (except for purposes of nominating a person for election to our board of directors), determining the presence of a quorum or for other similar purposes under our partnership agreement, unless otherwise required by law. Effectively, this means that the voting rights of any such limited partners in excess of 4.9% will be redistributed pro rata among the other limited partners of such class or series holding less than 4.9% of the voting power of all classes of limited partner interests entitled to vote. Our general partner, its affiliates and persons who acquired Common Units with the prior approval of our board of directors will not be subject to this 4.9% limitation except with respect to voting their Common Units in the election of the elected directors. This limitation will help our ability to claim an exemption from U.S. federal income tax under Section 883 of the Code in the event our general partner, by virtue of its general partner interest, transfers the power to elect a majority of </w:t>
      </w:r>
    </w:p>
    <w:p>
      <w:pPr>
        <w:pStyle w:val="TextBody"/>
        <w:jc w:val="center"/>
        <w:rPr>
          <w:rFonts w:ascii="times" w:hAnsi="times"/>
          <w:sz w:val="20"/>
        </w:rPr>
      </w:pPr>
      <w:r>
        <w:rPr>
          <w:rFonts w:ascii="times" w:hAnsi="times"/>
          <w:sz w:val="20"/>
        </w:rPr>
        <w:t>40</w:t>
      </w:r>
    </w:p>
    <w:p>
      <w:pPr>
        <w:pStyle w:val="HorizontalLine"/>
        <w:pBdr>
          <w:bottom w:val="single" w:sz="20" w:space="0" w:color="808080"/>
        </w:pBdr>
        <w:rPr/>
      </w:pPr>
      <w:r>
        <w:rPr/>
      </w:r>
      <w:r>
        <w:br w:type="page"/>
      </w:r>
    </w:p>
    <w:p>
      <w:pPr>
        <w:pStyle w:val="TextBody"/>
        <w:rPr/>
      </w:pPr>
      <w:hyperlink w:anchor="dg43504a_main_toc">
        <w:bookmarkStart w:id="374" w:name="page_ei43504_1_41"/>
        <w:bookmarkEnd w:id="374"/>
        <w:r>
          <w:rPr>
            <w:rStyle w:val="InternetLink"/>
            <w:rFonts w:ascii="times" w:hAnsi="times"/>
            <w:sz w:val="20"/>
          </w:rPr>
          <w:t>Table of Contents</w:t>
        </w:r>
      </w:hyperlink>
    </w:p>
    <w:p>
      <w:pPr>
        <w:pStyle w:val="TextBody"/>
        <w:rPr>
          <w:rFonts w:ascii="times" w:hAnsi="times"/>
          <w:sz w:val="20"/>
        </w:rPr>
      </w:pPr>
      <w:r>
        <w:rPr>
          <w:rFonts w:ascii="times" w:hAnsi="times"/>
          <w:sz w:val="20"/>
        </w:rPr>
        <w:t xml:space="preserve">our directors to the Common Unitholders. Units held in nominee or street name account will be voted by the broker or other nominee in accordance with the instruction of the beneficial owner unless the arrangement between the beneficial owner and his nominee provides otherwise. </w:t>
      </w:r>
    </w:p>
    <w:p>
      <w:pPr>
        <w:pStyle w:val="TextBody"/>
        <w:rPr/>
      </w:pPr>
      <w:r>
        <w:rPr/>
        <w:t>        </w:t>
      </w:r>
      <w:r>
        <w:rPr>
          <w:rFonts w:ascii="times" w:hAnsi="times"/>
          <w:sz w:val="20"/>
        </w:rPr>
        <w:t xml:space="preserve">Any notice, demand, request, report or proxy material required or permitted to be given or made to record holders of Common Units or Preference Units under the partnership agreement will be delivered to the record holder by us or by the transfer agent. </w:t>
      </w:r>
    </w:p>
    <w:p>
      <w:pPr>
        <w:pStyle w:val="TextBody"/>
        <w:ind w:left="200" w:right="0" w:hanging="200"/>
        <w:rPr>
          <w:rFonts w:ascii="times" w:hAnsi="times"/>
          <w:b/>
          <w:sz w:val="20"/>
        </w:rPr>
      </w:pPr>
      <w:bookmarkStart w:id="375" w:name="toc_ei43504_9"/>
      <w:bookmarkStart w:id="376" w:name="ei43504_status_as_limited_partner_or_ass"/>
      <w:bookmarkEnd w:id="375"/>
      <w:bookmarkEnd w:id="376"/>
      <w:r>
        <w:rPr>
          <w:rFonts w:ascii="times" w:hAnsi="times"/>
          <w:b/>
          <w:sz w:val="20"/>
        </w:rPr>
        <w:t xml:space="preserve">Status as Limited Partner or Assignee </w:t>
      </w:r>
    </w:p>
    <w:p>
      <w:pPr>
        <w:pStyle w:val="TextBody"/>
        <w:rPr/>
      </w:pPr>
      <w:r>
        <w:rPr/>
        <w:t>        </w:t>
      </w:r>
      <w:r>
        <w:rPr>
          <w:rFonts w:ascii="times" w:hAnsi="times"/>
          <w:sz w:val="20"/>
        </w:rPr>
        <w:t xml:space="preserve">Except as described above under "Limited Liability", the Common Units and Preference Units will be fully paid, and unitholders will not be required to make additional contributions. By transfer of Common Units or Preference Units in accordance with our partnership agreement, each transferee of units will be admitted as a limited partner with respect to the units transferred when such transfer and admission is reflected in our books and records. </w:t>
      </w:r>
    </w:p>
    <w:p>
      <w:pPr>
        <w:pStyle w:val="TextBody"/>
        <w:ind w:left="200" w:right="0" w:hanging="200"/>
        <w:rPr>
          <w:rFonts w:ascii="times" w:hAnsi="times"/>
          <w:b/>
          <w:sz w:val="20"/>
        </w:rPr>
      </w:pPr>
      <w:bookmarkStart w:id="377" w:name="toc_ei43504_10"/>
      <w:bookmarkStart w:id="378" w:name="ei43504_indemnification"/>
      <w:bookmarkEnd w:id="377"/>
      <w:bookmarkEnd w:id="378"/>
      <w:r>
        <w:rPr>
          <w:rFonts w:ascii="times" w:hAnsi="times"/>
          <w:b/>
          <w:sz w:val="20"/>
        </w:rPr>
        <w:t xml:space="preserve">Indemnification </w:t>
      </w:r>
    </w:p>
    <w:p>
      <w:pPr>
        <w:pStyle w:val="TextBody"/>
        <w:rPr/>
      </w:pPr>
      <w:r>
        <w:rPr/>
        <w:t>        </w:t>
      </w:r>
      <w:r>
        <w:rPr>
          <w:rFonts w:ascii="times" w:hAnsi="times"/>
          <w:sz w:val="20"/>
        </w:rPr>
        <w:t xml:space="preserve">Under the partnership agreement, in most circumstances, we will indemnify the following persons, to the fullest extent permitted by law, from and against all losses, claims, damages or similar events: </w:t>
      </w:r>
    </w:p>
    <w:p>
      <w:pPr>
        <w:pStyle w:val="ListHeading"/>
        <w:numPr>
          <w:ilvl w:val="0"/>
          <w:numId w:val="0"/>
        </w:numPr>
        <w:spacing w:before="0" w:after="0"/>
        <w:ind w:left="707" w:right="0" w:hanging="0"/>
        <w:rPr>
          <w:rFonts w:ascii="times" w:hAnsi="times"/>
          <w:sz w:val="20"/>
        </w:rPr>
      </w:pPr>
      <w:r>
        <w:rPr>
          <w:rFonts w:ascii="times" w:hAnsi="times"/>
          <w:sz w:val="20"/>
        </w:rPr>
        <w:t>(1)</w:t>
      </w:r>
    </w:p>
    <w:p>
      <w:pPr>
        <w:pStyle w:val="ListContents"/>
        <w:numPr>
          <w:ilvl w:val="0"/>
          <w:numId w:val="0"/>
        </w:numPr>
        <w:spacing w:before="0" w:after="283"/>
        <w:ind w:left="1274" w:right="0" w:hanging="0"/>
        <w:rPr>
          <w:rFonts w:ascii="times" w:hAnsi="times"/>
          <w:sz w:val="20"/>
        </w:rPr>
      </w:pPr>
      <w:r>
        <w:rPr>
          <w:rFonts w:ascii="times" w:hAnsi="times"/>
          <w:sz w:val="20"/>
        </w:rPr>
        <w:t xml:space="preserve">our general partner; </w:t>
      </w:r>
    </w:p>
    <w:p>
      <w:pPr>
        <w:pStyle w:val="ListHeading"/>
        <w:numPr>
          <w:ilvl w:val="0"/>
          <w:numId w:val="0"/>
        </w:numPr>
        <w:spacing w:before="0" w:after="0"/>
        <w:ind w:left="707" w:right="0" w:hanging="0"/>
        <w:rPr>
          <w:rFonts w:ascii="times" w:hAnsi="times"/>
          <w:sz w:val="20"/>
        </w:rPr>
      </w:pPr>
      <w:r>
        <w:rPr>
          <w:rFonts w:ascii="times" w:hAnsi="times"/>
          <w:sz w:val="20"/>
        </w:rPr>
        <w:t>(2)</w:t>
      </w:r>
    </w:p>
    <w:p>
      <w:pPr>
        <w:pStyle w:val="ListContents"/>
        <w:numPr>
          <w:ilvl w:val="0"/>
          <w:numId w:val="0"/>
        </w:numPr>
        <w:spacing w:before="0" w:after="283"/>
        <w:ind w:left="1274" w:right="0" w:hanging="0"/>
        <w:rPr>
          <w:rFonts w:ascii="times" w:hAnsi="times"/>
          <w:sz w:val="20"/>
        </w:rPr>
      </w:pPr>
      <w:r>
        <w:rPr>
          <w:rFonts w:ascii="times" w:hAnsi="times"/>
          <w:sz w:val="20"/>
        </w:rPr>
        <w:t xml:space="preserve">any departing general partner; </w:t>
      </w:r>
    </w:p>
    <w:p>
      <w:pPr>
        <w:pStyle w:val="ListHeading"/>
        <w:numPr>
          <w:ilvl w:val="0"/>
          <w:numId w:val="0"/>
        </w:numPr>
        <w:spacing w:before="0" w:after="0"/>
        <w:ind w:left="707" w:right="0" w:hanging="0"/>
        <w:rPr>
          <w:rFonts w:ascii="times" w:hAnsi="times"/>
          <w:sz w:val="20"/>
        </w:rPr>
      </w:pPr>
      <w:r>
        <w:rPr>
          <w:rFonts w:ascii="times" w:hAnsi="times"/>
          <w:sz w:val="20"/>
        </w:rPr>
        <w:t>(3)</w:t>
      </w:r>
    </w:p>
    <w:p>
      <w:pPr>
        <w:pStyle w:val="ListContents"/>
        <w:numPr>
          <w:ilvl w:val="0"/>
          <w:numId w:val="0"/>
        </w:numPr>
        <w:spacing w:before="0" w:after="283"/>
        <w:ind w:left="1274" w:right="0" w:hanging="0"/>
        <w:rPr>
          <w:rFonts w:ascii="times" w:hAnsi="times"/>
          <w:sz w:val="20"/>
        </w:rPr>
      </w:pPr>
      <w:r>
        <w:rPr>
          <w:rFonts w:ascii="times" w:hAnsi="times"/>
          <w:sz w:val="20"/>
        </w:rPr>
        <w:t xml:space="preserve">any person who is or was an affiliate of our general partner or any departing general partner; </w:t>
      </w:r>
    </w:p>
    <w:p>
      <w:pPr>
        <w:pStyle w:val="ListHeading"/>
        <w:numPr>
          <w:ilvl w:val="0"/>
          <w:numId w:val="0"/>
        </w:numPr>
        <w:spacing w:before="0" w:after="0"/>
        <w:ind w:left="707" w:right="0" w:hanging="0"/>
        <w:rPr>
          <w:rFonts w:ascii="times" w:hAnsi="times"/>
          <w:sz w:val="20"/>
        </w:rPr>
      </w:pPr>
      <w:r>
        <w:rPr>
          <w:rFonts w:ascii="times" w:hAnsi="times"/>
          <w:sz w:val="20"/>
        </w:rPr>
        <w:t>(4)</w:t>
      </w:r>
    </w:p>
    <w:p>
      <w:pPr>
        <w:pStyle w:val="ListContents"/>
        <w:numPr>
          <w:ilvl w:val="0"/>
          <w:numId w:val="0"/>
        </w:numPr>
        <w:spacing w:before="0" w:after="283"/>
        <w:ind w:left="1274" w:right="0" w:hanging="0"/>
        <w:rPr>
          <w:rFonts w:ascii="times" w:hAnsi="times"/>
          <w:sz w:val="20"/>
        </w:rPr>
      </w:pPr>
      <w:r>
        <w:rPr>
          <w:rFonts w:ascii="times" w:hAnsi="times"/>
          <w:sz w:val="20"/>
        </w:rPr>
        <w:t xml:space="preserve">any person who is or was an officer, director, member, fiduciary or trustee of any entity described in (1), (2) or (3) above; </w:t>
      </w:r>
    </w:p>
    <w:p>
      <w:pPr>
        <w:pStyle w:val="ListHeading"/>
        <w:numPr>
          <w:ilvl w:val="0"/>
          <w:numId w:val="0"/>
        </w:numPr>
        <w:spacing w:before="0" w:after="0"/>
        <w:ind w:left="707" w:right="0" w:hanging="0"/>
        <w:rPr>
          <w:rFonts w:ascii="times" w:hAnsi="times"/>
          <w:sz w:val="20"/>
        </w:rPr>
      </w:pPr>
      <w:r>
        <w:rPr>
          <w:rFonts w:ascii="times" w:hAnsi="times"/>
          <w:sz w:val="20"/>
        </w:rPr>
        <w:t>(5)</w:t>
      </w:r>
    </w:p>
    <w:p>
      <w:pPr>
        <w:pStyle w:val="ListContents"/>
        <w:numPr>
          <w:ilvl w:val="0"/>
          <w:numId w:val="0"/>
        </w:numPr>
        <w:spacing w:before="0" w:after="283"/>
        <w:ind w:left="1274" w:right="0" w:hanging="0"/>
        <w:rPr>
          <w:rFonts w:ascii="times" w:hAnsi="times"/>
          <w:sz w:val="20"/>
        </w:rPr>
      </w:pPr>
      <w:r>
        <w:rPr>
          <w:rFonts w:ascii="times" w:hAnsi="times"/>
          <w:sz w:val="20"/>
        </w:rPr>
        <w:t xml:space="preserve">any person who is or was serving as a director, officer, member, fiduciary or trustee of another person at the request of our board of directors, our general partner or any departing general partner; </w:t>
      </w:r>
    </w:p>
    <w:p>
      <w:pPr>
        <w:pStyle w:val="ListHeading"/>
        <w:numPr>
          <w:ilvl w:val="0"/>
          <w:numId w:val="0"/>
        </w:numPr>
        <w:spacing w:before="0" w:after="0"/>
        <w:ind w:left="707" w:right="0" w:hanging="0"/>
        <w:rPr>
          <w:rFonts w:ascii="times" w:hAnsi="times"/>
          <w:sz w:val="20"/>
        </w:rPr>
      </w:pPr>
      <w:r>
        <w:rPr>
          <w:rFonts w:ascii="times" w:hAnsi="times"/>
          <w:sz w:val="20"/>
        </w:rPr>
        <w:t>(6)</w:t>
      </w:r>
    </w:p>
    <w:p>
      <w:pPr>
        <w:pStyle w:val="ListContents"/>
        <w:numPr>
          <w:ilvl w:val="0"/>
          <w:numId w:val="0"/>
        </w:numPr>
        <w:spacing w:before="0" w:after="283"/>
        <w:ind w:left="1274" w:right="0" w:hanging="0"/>
        <w:rPr>
          <w:rFonts w:ascii="times" w:hAnsi="times"/>
          <w:sz w:val="20"/>
        </w:rPr>
      </w:pPr>
      <w:r>
        <w:rPr>
          <w:rFonts w:ascii="times" w:hAnsi="times"/>
          <w:sz w:val="20"/>
        </w:rPr>
        <w:t xml:space="preserve">our officers; </w:t>
      </w:r>
    </w:p>
    <w:p>
      <w:pPr>
        <w:pStyle w:val="ListHeading"/>
        <w:numPr>
          <w:ilvl w:val="0"/>
          <w:numId w:val="0"/>
        </w:numPr>
        <w:spacing w:before="0" w:after="0"/>
        <w:ind w:left="707" w:right="0" w:hanging="0"/>
        <w:rPr>
          <w:rFonts w:ascii="times" w:hAnsi="times"/>
          <w:sz w:val="20"/>
        </w:rPr>
      </w:pPr>
      <w:r>
        <w:rPr>
          <w:rFonts w:ascii="times" w:hAnsi="times"/>
          <w:sz w:val="20"/>
        </w:rPr>
        <w:t>(7)</w:t>
      </w:r>
    </w:p>
    <w:p>
      <w:pPr>
        <w:pStyle w:val="ListContents"/>
        <w:numPr>
          <w:ilvl w:val="0"/>
          <w:numId w:val="0"/>
        </w:numPr>
        <w:spacing w:before="0" w:after="283"/>
        <w:ind w:left="1274" w:right="0" w:hanging="0"/>
        <w:rPr>
          <w:rFonts w:ascii="times" w:hAnsi="times"/>
          <w:sz w:val="20"/>
        </w:rPr>
      </w:pPr>
      <w:r>
        <w:rPr>
          <w:rFonts w:ascii="times" w:hAnsi="times"/>
          <w:sz w:val="20"/>
        </w:rPr>
        <w:t xml:space="preserve">any person designated by our board of directors; and </w:t>
      </w:r>
    </w:p>
    <w:p>
      <w:pPr>
        <w:pStyle w:val="ListHeading"/>
        <w:numPr>
          <w:ilvl w:val="0"/>
          <w:numId w:val="0"/>
        </w:numPr>
        <w:spacing w:before="0" w:after="0"/>
        <w:ind w:left="707" w:right="0" w:hanging="0"/>
        <w:rPr>
          <w:rFonts w:ascii="times" w:hAnsi="times"/>
          <w:sz w:val="20"/>
        </w:rPr>
      </w:pPr>
      <w:r>
        <w:rPr>
          <w:rFonts w:ascii="times" w:hAnsi="times"/>
          <w:sz w:val="20"/>
        </w:rPr>
        <w:t>(8)</w:t>
      </w:r>
    </w:p>
    <w:p>
      <w:pPr>
        <w:pStyle w:val="ListContents"/>
        <w:numPr>
          <w:ilvl w:val="0"/>
          <w:numId w:val="0"/>
        </w:numPr>
        <w:spacing w:before="0" w:after="283"/>
        <w:ind w:left="1274" w:right="0" w:hanging="0"/>
        <w:rPr>
          <w:rFonts w:ascii="times" w:hAnsi="times"/>
          <w:sz w:val="20"/>
        </w:rPr>
      </w:pPr>
      <w:r>
        <w:rPr>
          <w:rFonts w:ascii="times" w:hAnsi="times"/>
          <w:sz w:val="20"/>
        </w:rPr>
        <w:t xml:space="preserve">the members of our board of directors. </w:t>
      </w:r>
    </w:p>
    <w:p>
      <w:pPr>
        <w:pStyle w:val="TextBody"/>
        <w:rPr/>
      </w:pPr>
      <w:r>
        <w:rPr/>
        <w:t>        </w:t>
      </w:r>
      <w:r>
        <w:rPr>
          <w:rFonts w:ascii="times" w:hAnsi="times"/>
          <w:sz w:val="20"/>
        </w:rPr>
        <w:t xml:space="preserve">Any indemnification under these provisions will only be out of our assets. We may purchase insurance against liabilities asserted against and expenses incurred by persons for our activities, regardless of whether we would have the power to indemnify the person against liabilities under the partnership agreement. </w:t>
      </w:r>
    </w:p>
    <w:p>
      <w:pPr>
        <w:pStyle w:val="TextBody"/>
        <w:ind w:left="200" w:right="0" w:hanging="200"/>
        <w:rPr>
          <w:rFonts w:ascii="times" w:hAnsi="times"/>
          <w:b/>
          <w:sz w:val="20"/>
        </w:rPr>
      </w:pPr>
      <w:bookmarkStart w:id="379" w:name="toc_ei43504_11"/>
      <w:bookmarkStart w:id="380" w:name="ei43504_reimbursement_of_expenses"/>
      <w:bookmarkEnd w:id="379"/>
      <w:bookmarkEnd w:id="380"/>
      <w:r>
        <w:rPr>
          <w:rFonts w:ascii="times" w:hAnsi="times"/>
          <w:b/>
          <w:sz w:val="20"/>
        </w:rPr>
        <w:t xml:space="preserve">Reimbursement of Expenses </w:t>
      </w:r>
    </w:p>
    <w:p>
      <w:pPr>
        <w:pStyle w:val="TextBody"/>
        <w:rPr/>
      </w:pPr>
      <w:r>
        <w:rPr/>
        <w:t>        </w:t>
      </w:r>
      <w:r>
        <w:rPr>
          <w:rFonts w:ascii="times" w:hAnsi="times"/>
          <w:sz w:val="20"/>
        </w:rPr>
        <w:t xml:space="preserve">Our partnership agreement requires us to reimburse the members of our board of directors for their out-of-pocket costs and expenses incurred in the course of their service to us. Our partnership agreement also requires us to reimburse our general partner for all expenses it incurs or payments it makes on our behalf and all other expenses allocable to us or otherwise incurred by our general partner in connection with operating our business. These expenses include salary, bonus, incentive compensation and other amounts paid to persons who perform services for us or on our behalf, and expenses allocated to us or our general partner by our board of directors. </w:t>
      </w:r>
    </w:p>
    <w:p>
      <w:pPr>
        <w:pStyle w:val="TextBody"/>
        <w:jc w:val="center"/>
        <w:rPr>
          <w:rFonts w:ascii="times" w:hAnsi="times"/>
          <w:sz w:val="20"/>
        </w:rPr>
      </w:pPr>
      <w:r>
        <w:rPr>
          <w:rFonts w:ascii="times" w:hAnsi="times"/>
          <w:sz w:val="20"/>
        </w:rPr>
        <w:t>41</w:t>
      </w:r>
    </w:p>
    <w:p>
      <w:pPr>
        <w:pStyle w:val="HorizontalLine"/>
        <w:pBdr>
          <w:bottom w:val="single" w:sz="20" w:space="0" w:color="808080"/>
        </w:pBdr>
        <w:rPr/>
      </w:pPr>
      <w:r>
        <w:rPr/>
      </w:r>
      <w:r>
        <w:br w:type="page"/>
      </w:r>
    </w:p>
    <w:p>
      <w:pPr>
        <w:pStyle w:val="TextBody"/>
        <w:rPr/>
      </w:pPr>
      <w:hyperlink w:anchor="dg43504a_main_toc">
        <w:bookmarkStart w:id="381" w:name="page_ei43504_1_42"/>
        <w:bookmarkEnd w:id="381"/>
        <w:r>
          <w:rPr>
            <w:rStyle w:val="InternetLink"/>
            <w:rFonts w:ascii="times" w:hAnsi="times"/>
            <w:sz w:val="20"/>
          </w:rPr>
          <w:t>Table of Contents</w:t>
        </w:r>
      </w:hyperlink>
    </w:p>
    <w:p>
      <w:pPr>
        <w:pStyle w:val="TextBody"/>
        <w:ind w:left="200" w:right="0" w:hanging="200"/>
        <w:rPr>
          <w:rFonts w:ascii="times" w:hAnsi="times"/>
          <w:b/>
          <w:sz w:val="20"/>
        </w:rPr>
      </w:pPr>
      <w:bookmarkStart w:id="382" w:name="toc_ei43504_12"/>
      <w:bookmarkStart w:id="383" w:name="ei43504_books_and_reports"/>
      <w:bookmarkEnd w:id="382"/>
      <w:bookmarkEnd w:id="383"/>
      <w:r>
        <w:rPr>
          <w:rFonts w:ascii="times" w:hAnsi="times"/>
          <w:b/>
          <w:sz w:val="20"/>
        </w:rPr>
        <w:t xml:space="preserve">Books and Reports </w:t>
      </w:r>
    </w:p>
    <w:p>
      <w:pPr>
        <w:pStyle w:val="TextBody"/>
        <w:rPr/>
      </w:pPr>
      <w:r>
        <w:rPr/>
        <w:t>        </w:t>
      </w:r>
      <w:r>
        <w:rPr>
          <w:rFonts w:ascii="times" w:hAnsi="times"/>
          <w:sz w:val="20"/>
        </w:rPr>
        <w:t xml:space="preserve">Our general partner is required to keep appropriate books and records of our business at our principal offices. The books will be maintained for both tax and financial reporting purposes on an accrual basis. For tax and financial reporting purposes, our fiscal year is the calendar year. </w:t>
      </w:r>
    </w:p>
    <w:p>
      <w:pPr>
        <w:pStyle w:val="TextBody"/>
        <w:ind w:left="200" w:right="0" w:hanging="200"/>
        <w:rPr>
          <w:rFonts w:ascii="times" w:hAnsi="times"/>
          <w:b/>
          <w:sz w:val="20"/>
        </w:rPr>
      </w:pPr>
      <w:bookmarkStart w:id="384" w:name="toc_ei43504_13"/>
      <w:bookmarkStart w:id="385" w:name="ei43504_right_to_inspect_our_books_and_r"/>
      <w:bookmarkEnd w:id="384"/>
      <w:bookmarkEnd w:id="385"/>
      <w:r>
        <w:rPr>
          <w:rFonts w:ascii="times" w:hAnsi="times"/>
          <w:b/>
          <w:sz w:val="20"/>
        </w:rPr>
        <w:t xml:space="preserve">Right to Inspect Our Books and Records </w:t>
      </w:r>
    </w:p>
    <w:p>
      <w:pPr>
        <w:pStyle w:val="TextBody"/>
        <w:rPr/>
      </w:pPr>
      <w:r>
        <w:rPr/>
        <w:t>        </w:t>
      </w:r>
      <w:r>
        <w:rPr>
          <w:rFonts w:ascii="times" w:hAnsi="times"/>
          <w:sz w:val="20"/>
        </w:rPr>
        <w:t xml:space="preserve">The partnership agreement provides that a limited partner can, for a purpose reasonably related to his interest as a limited partner, upon reasonable written demand stating the purpose of such demand and at the limited partner's own expense, have furnished to the limited partner: </w:t>
      </w:r>
    </w:p>
    <w:p>
      <w:pPr>
        <w:pStyle w:val="ListHeading"/>
        <w:numPr>
          <w:ilvl w:val="0"/>
          <w:numId w:val="0"/>
        </w:numPr>
        <w:spacing w:before="0" w:after="0"/>
        <w:ind w:left="707" w:right="0" w:hanging="0"/>
        <w:rPr>
          <w:rFonts w:ascii="times" w:hAnsi="times"/>
          <w:sz w:val="20"/>
        </w:rPr>
      </w:pPr>
      <w:r>
        <w:rPr>
          <w:rFonts w:ascii="times" w:hAnsi="times"/>
          <w:sz w:val="20"/>
        </w:rPr>
        <w:t>(1)</w:t>
      </w:r>
    </w:p>
    <w:p>
      <w:pPr>
        <w:pStyle w:val="ListContents"/>
        <w:numPr>
          <w:ilvl w:val="0"/>
          <w:numId w:val="0"/>
        </w:numPr>
        <w:spacing w:before="0" w:after="283"/>
        <w:ind w:left="1274" w:right="0" w:hanging="0"/>
        <w:rPr>
          <w:rFonts w:ascii="times" w:hAnsi="times"/>
          <w:sz w:val="20"/>
        </w:rPr>
      </w:pPr>
      <w:r>
        <w:rPr>
          <w:rFonts w:ascii="times" w:hAnsi="times"/>
          <w:sz w:val="20"/>
        </w:rPr>
        <w:t xml:space="preserve">a current list of the name and last known address of each partner; </w:t>
      </w:r>
    </w:p>
    <w:p>
      <w:pPr>
        <w:pStyle w:val="ListHeading"/>
        <w:numPr>
          <w:ilvl w:val="0"/>
          <w:numId w:val="0"/>
        </w:numPr>
        <w:spacing w:before="0" w:after="0"/>
        <w:ind w:left="707" w:right="0" w:hanging="0"/>
        <w:rPr>
          <w:rFonts w:ascii="times" w:hAnsi="times"/>
          <w:sz w:val="20"/>
        </w:rPr>
      </w:pPr>
      <w:r>
        <w:rPr>
          <w:rFonts w:ascii="times" w:hAnsi="times"/>
          <w:sz w:val="20"/>
        </w:rPr>
        <w:t>(2)</w:t>
      </w:r>
    </w:p>
    <w:p>
      <w:pPr>
        <w:pStyle w:val="ListContents"/>
        <w:numPr>
          <w:ilvl w:val="0"/>
          <w:numId w:val="0"/>
        </w:numPr>
        <w:spacing w:before="0" w:after="283"/>
        <w:ind w:left="1274" w:right="0" w:hanging="0"/>
        <w:rPr>
          <w:rFonts w:ascii="times" w:hAnsi="times"/>
          <w:sz w:val="20"/>
        </w:rPr>
      </w:pPr>
      <w:r>
        <w:rPr>
          <w:rFonts w:ascii="times" w:hAnsi="times"/>
          <w:sz w:val="20"/>
        </w:rPr>
        <w:t xml:space="preserve">information as to the amount of cash, and a description and statement of the agreed value of any other property or services, contributed or to be contributed by each partner and the date on which each became a partner; </w:t>
      </w:r>
    </w:p>
    <w:p>
      <w:pPr>
        <w:pStyle w:val="ListHeading"/>
        <w:numPr>
          <w:ilvl w:val="0"/>
          <w:numId w:val="0"/>
        </w:numPr>
        <w:spacing w:before="0" w:after="0"/>
        <w:ind w:left="707" w:right="0" w:hanging="0"/>
        <w:rPr>
          <w:rFonts w:ascii="times" w:hAnsi="times"/>
          <w:sz w:val="20"/>
        </w:rPr>
      </w:pPr>
      <w:r>
        <w:rPr>
          <w:rFonts w:ascii="times" w:hAnsi="times"/>
          <w:sz w:val="20"/>
        </w:rPr>
        <w:t>(3)</w:t>
      </w:r>
    </w:p>
    <w:p>
      <w:pPr>
        <w:pStyle w:val="ListContents"/>
        <w:numPr>
          <w:ilvl w:val="0"/>
          <w:numId w:val="0"/>
        </w:numPr>
        <w:spacing w:before="0" w:after="283"/>
        <w:ind w:left="1274" w:right="0" w:hanging="0"/>
        <w:rPr>
          <w:rFonts w:ascii="times" w:hAnsi="times"/>
          <w:sz w:val="20"/>
        </w:rPr>
      </w:pPr>
      <w:r>
        <w:rPr>
          <w:rFonts w:ascii="times" w:hAnsi="times"/>
          <w:sz w:val="20"/>
        </w:rPr>
        <w:t xml:space="preserve">copies of the partnership agreement, the certificate of limited partnership of the partnership and related amendments; </w:t>
      </w:r>
    </w:p>
    <w:p>
      <w:pPr>
        <w:pStyle w:val="ListHeading"/>
        <w:numPr>
          <w:ilvl w:val="0"/>
          <w:numId w:val="0"/>
        </w:numPr>
        <w:spacing w:before="0" w:after="0"/>
        <w:ind w:left="707" w:right="0" w:hanging="0"/>
        <w:rPr>
          <w:rFonts w:ascii="times" w:hAnsi="times"/>
          <w:sz w:val="20"/>
        </w:rPr>
      </w:pPr>
      <w:r>
        <w:rPr>
          <w:rFonts w:ascii="times" w:hAnsi="times"/>
          <w:sz w:val="20"/>
        </w:rPr>
        <w:t>(4)</w:t>
      </w:r>
    </w:p>
    <w:p>
      <w:pPr>
        <w:pStyle w:val="ListContents"/>
        <w:numPr>
          <w:ilvl w:val="0"/>
          <w:numId w:val="0"/>
        </w:numPr>
        <w:spacing w:before="0" w:after="283"/>
        <w:ind w:left="1274" w:right="0" w:hanging="0"/>
        <w:rPr>
          <w:rFonts w:ascii="times" w:hAnsi="times"/>
          <w:sz w:val="20"/>
        </w:rPr>
      </w:pPr>
      <w:r>
        <w:rPr>
          <w:rFonts w:ascii="times" w:hAnsi="times"/>
          <w:sz w:val="20"/>
        </w:rPr>
        <w:t xml:space="preserve">information regarding the status of our business and financial position; and </w:t>
      </w:r>
    </w:p>
    <w:p>
      <w:pPr>
        <w:pStyle w:val="ListHeading"/>
        <w:numPr>
          <w:ilvl w:val="0"/>
          <w:numId w:val="0"/>
        </w:numPr>
        <w:spacing w:before="0" w:after="0"/>
        <w:ind w:left="707" w:right="0" w:hanging="0"/>
        <w:rPr>
          <w:rFonts w:ascii="times" w:hAnsi="times"/>
          <w:sz w:val="20"/>
        </w:rPr>
      </w:pPr>
      <w:r>
        <w:rPr>
          <w:rFonts w:ascii="times" w:hAnsi="times"/>
          <w:sz w:val="20"/>
        </w:rPr>
        <w:t>(5)</w:t>
      </w:r>
    </w:p>
    <w:p>
      <w:pPr>
        <w:pStyle w:val="ListContents"/>
        <w:numPr>
          <w:ilvl w:val="0"/>
          <w:numId w:val="0"/>
        </w:numPr>
        <w:spacing w:before="0" w:after="283"/>
        <w:ind w:left="1274" w:right="0" w:hanging="0"/>
        <w:rPr>
          <w:rFonts w:ascii="times" w:hAnsi="times"/>
          <w:sz w:val="20"/>
        </w:rPr>
      </w:pPr>
      <w:r>
        <w:rPr>
          <w:rFonts w:ascii="times" w:hAnsi="times"/>
          <w:sz w:val="20"/>
        </w:rPr>
        <w:t xml:space="preserve">any other information regarding our affairs as is just and reasonable. </w:t>
      </w:r>
    </w:p>
    <w:p>
      <w:pPr>
        <w:pStyle w:val="TextBody"/>
        <w:rPr/>
      </w:pPr>
      <w:r>
        <w:rPr/>
        <w:t>        </w:t>
      </w:r>
      <w:r>
        <w:rPr>
          <w:rFonts w:ascii="times" w:hAnsi="times"/>
          <w:sz w:val="20"/>
        </w:rPr>
        <w:t xml:space="preserve">Our board of directors may, and intends to, keep confidential from the limited partners trade secrets or other information the disclosure of which our board of directors believes in good faith is not in our best interests or that we are required by law or by agreements with third parties to keep confidential. </w:t>
      </w:r>
    </w:p>
    <w:p>
      <w:pPr>
        <w:pStyle w:val="TextBody"/>
        <w:ind w:left="200" w:right="0" w:hanging="200"/>
        <w:rPr>
          <w:rFonts w:ascii="times" w:hAnsi="times"/>
          <w:b/>
          <w:sz w:val="20"/>
        </w:rPr>
      </w:pPr>
      <w:bookmarkStart w:id="386" w:name="toc_ei43504_14"/>
      <w:bookmarkStart w:id="387" w:name="ei43504_registration_rights"/>
      <w:bookmarkEnd w:id="386"/>
      <w:bookmarkEnd w:id="387"/>
      <w:r>
        <w:rPr>
          <w:rFonts w:ascii="times" w:hAnsi="times"/>
          <w:b/>
          <w:sz w:val="20"/>
        </w:rPr>
        <w:t xml:space="preserve">Registration Rights </w:t>
      </w:r>
    </w:p>
    <w:p>
      <w:pPr>
        <w:pStyle w:val="TextBody"/>
        <w:rPr/>
      </w:pPr>
      <w:r>
        <w:rPr/>
        <w:t>        </w:t>
      </w:r>
      <w:r>
        <w:rPr>
          <w:rFonts w:ascii="times" w:hAnsi="times"/>
          <w:sz w:val="20"/>
        </w:rPr>
        <w:t xml:space="preserve">Under the partnership agreement, we have agreed to register for resale under the Securities Act and applicable state securities laws any Common Units or other partnership interests proposed to be sold by our general partner or any of its affiliates or their assignees if an exemption from the registration requirements is not otherwise available or advisable. These registration rights continue for two years following any withdrawal or removal of GasLog Partners GP LLC as our general partner. We are obligated to pay all expenses incidental to the registration, excluding underwriting discounts and commissions. In connection with these registration rights, we will not be required to pay any damages or penalties related to any delay or failure to file a registration statement or to cause a registration statement to become effective. </w:t>
      </w:r>
    </w:p>
    <w:p>
      <w:pPr>
        <w:pStyle w:val="TextBody"/>
        <w:jc w:val="center"/>
        <w:rPr>
          <w:rFonts w:ascii="times" w:hAnsi="times"/>
          <w:sz w:val="20"/>
        </w:rPr>
      </w:pPr>
      <w:r>
        <w:rPr>
          <w:rFonts w:ascii="times" w:hAnsi="times"/>
          <w:sz w:val="20"/>
        </w:rPr>
        <w:t>42</w:t>
      </w:r>
    </w:p>
    <w:p>
      <w:pPr>
        <w:pStyle w:val="HorizontalLine"/>
        <w:pBdr>
          <w:bottom w:val="single" w:sz="20" w:space="0" w:color="808080"/>
        </w:pBdr>
        <w:rPr/>
      </w:pPr>
      <w:r>
        <w:rPr/>
      </w:r>
      <w:r>
        <w:br w:type="page"/>
      </w:r>
    </w:p>
    <w:p>
      <w:pPr>
        <w:pStyle w:val="TextBody"/>
        <w:rPr/>
      </w:pPr>
      <w:hyperlink w:anchor="dg43504a_main_toc">
        <w:bookmarkStart w:id="388" w:name="page_ek43504_1_43"/>
        <w:bookmarkEnd w:id="388"/>
        <w:r>
          <w:rPr>
            <w:rStyle w:val="InternetLink"/>
            <w:rFonts w:ascii="times" w:hAnsi="times"/>
            <w:sz w:val="20"/>
          </w:rPr>
          <w:t>Table of Contents</w:t>
        </w:r>
      </w:hyperlink>
      <w:r>
        <w:rPr>
          <w:rFonts w:ascii="times" w:hAnsi="times"/>
          <w:sz w:val="20"/>
        </w:rPr>
        <w:t xml:space="preserve"> </w:t>
      </w:r>
    </w:p>
    <w:p>
      <w:pPr>
        <w:pStyle w:val="TextBody"/>
        <w:jc w:val="center"/>
        <w:rPr>
          <w:rFonts w:ascii="times" w:hAnsi="times"/>
        </w:rPr>
      </w:pPr>
      <w:bookmarkStart w:id="389" w:name="toc_ek43504_1"/>
      <w:bookmarkStart w:id="390" w:name="ek43504_our_cash_distribution_policy_a__"/>
      <w:bookmarkEnd w:id="389"/>
      <w:bookmarkEnd w:id="390"/>
      <w:r>
        <w:rPr>
          <w:rFonts w:ascii="times" w:hAnsi="times"/>
          <w:sz w:val="20"/>
        </w:rPr>
        <w:br/>
      </w:r>
      <w:r>
        <w:rPr>
          <w:rFonts w:ascii="times" w:hAnsi="times"/>
          <w:b/>
          <w:sz w:val="20"/>
        </w:rPr>
        <w:t xml:space="preserve">OUR CASH DISTRIBUTION POLICY AND RESTRICTIONS ON DISTRIBUTIONS </w:t>
      </w:r>
    </w:p>
    <w:p>
      <w:pPr>
        <w:pStyle w:val="TextBody"/>
        <w:rPr/>
      </w:pPr>
      <w:r>
        <w:rPr/>
        <w:t>        </w:t>
      </w:r>
      <w:r>
        <w:rPr>
          <w:rFonts w:ascii="times" w:hAnsi="times"/>
          <w:sz w:val="20"/>
        </w:rPr>
        <w:t xml:space="preserve">Our partnership agreement specifies the manner in which we will make cash distributions to holders of our Common Units, Class B Units and other partnership interests, including to the holders of Preference Units as well as to our general partner in respect of its general partner interest. </w:t>
      </w:r>
    </w:p>
    <w:p>
      <w:pPr>
        <w:pStyle w:val="TextBody"/>
        <w:ind w:left="200" w:right="0" w:hanging="200"/>
        <w:rPr>
          <w:rFonts w:ascii="times" w:hAnsi="times"/>
          <w:b/>
          <w:sz w:val="20"/>
        </w:rPr>
      </w:pPr>
      <w:bookmarkStart w:id="391" w:name="toc_ek43504_2"/>
      <w:bookmarkStart w:id="392" w:name="ek43504_general"/>
      <w:bookmarkEnd w:id="391"/>
      <w:bookmarkEnd w:id="392"/>
      <w:r>
        <w:rPr>
          <w:rFonts w:ascii="times" w:hAnsi="times"/>
          <w:b/>
          <w:sz w:val="20"/>
        </w:rPr>
        <w:t xml:space="preserve">General </w:t>
      </w:r>
    </w:p>
    <w:p>
      <w:pPr>
        <w:pStyle w:val="TextBody"/>
        <w:ind w:left="200" w:right="0" w:hanging="200"/>
        <w:rPr>
          <w:rFonts w:ascii="times" w:hAnsi="times"/>
          <w:b/>
          <w:i/>
          <w:sz w:val="20"/>
        </w:rPr>
      </w:pPr>
      <w:r>
        <w:rPr>
          <w:rFonts w:ascii="times" w:hAnsi="times"/>
          <w:b/>
          <w:i/>
          <w:sz w:val="20"/>
        </w:rPr>
        <w:t xml:space="preserve">Rationale for Our Cash Distribution Policy </w:t>
      </w:r>
    </w:p>
    <w:p>
      <w:pPr>
        <w:pStyle w:val="TextBody"/>
        <w:rPr/>
      </w:pPr>
      <w:r>
        <w:rPr/>
        <w:t>        </w:t>
      </w:r>
      <w:r>
        <w:rPr>
          <w:rFonts w:ascii="times" w:hAnsi="times"/>
          <w:sz w:val="20"/>
        </w:rPr>
        <w:t xml:space="preserve">Our cash distribution policy reflects a judgment that our unitholders are better served by our distributing our available cash (after deducting expenses, including estimated maintenance and replacement capital expenditures and reserves) rather than retaining it, because we believe we will generally finance any expansion capital expenditures from external financing sources. Our cash distribution policy is consistent with the terms of our partnership agreement, which requires that we distribute all of our available cash quarterly (after deducting expenses, including estimated maintenance and replacement capital expenditures and reserves). </w:t>
      </w:r>
    </w:p>
    <w:p>
      <w:pPr>
        <w:pStyle w:val="TextBody"/>
        <w:ind w:left="200" w:right="0" w:hanging="200"/>
        <w:rPr>
          <w:rFonts w:ascii="times" w:hAnsi="times"/>
          <w:b/>
          <w:i/>
          <w:sz w:val="20"/>
        </w:rPr>
      </w:pPr>
      <w:r>
        <w:rPr>
          <w:rFonts w:ascii="times" w:hAnsi="times"/>
          <w:b/>
          <w:i/>
          <w:sz w:val="20"/>
        </w:rPr>
        <w:t xml:space="preserve">Limitations on Cash Distributions and Our Ability to Change Our Cash Distribution Policy </w:t>
      </w:r>
    </w:p>
    <w:p>
      <w:pPr>
        <w:pStyle w:val="TextBody"/>
        <w:rPr/>
      </w:pPr>
      <w:r>
        <w:rPr/>
        <w:t>        </w:t>
      </w:r>
      <w:r>
        <w:rPr>
          <w:rFonts w:ascii="times" w:hAnsi="times"/>
          <w:sz w:val="20"/>
        </w:rPr>
        <w:t>There is no guarantee that unitholders will receive quarterly distributions from us. Our distribution policy is subject to certain restrictions and may be changed at any time, including:</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Our unitholders have no contractual or legal right to receive distributions unless there is available cash at the end of each quarter as defined in our partnership agreement and the distributions for Preference Units have been paid. The determination of available cash is subject to the broad discretion of our board of directors to establish reserves and other limitations and to take into consideration our debt service obligations.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We are subject to restrictions on distributions under our financing agreements. Our financing agreements contain material financial tests and covenants that must be satisfied in order to pay distributions. If we are unable to satisfy the restrictions included in any of our financing agreements or are otherwise in default under any of those agreements, as a result of our debt levels or otherwise, we will not be able to make cash distributions to you, notwithstanding our stated cash distribution policy.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We are required to make substantial capital expenditures to maintain and replace our fleet. These expenditures may fluctuate significantly over time, particularly as our vessels near the end of their useful lives. In order to minimize these fluctuations, our partnership agreement requires us to deduct estimated, as opposed to actual, maintenance and replacement capital expenditures from the amount of cash that we would otherwise have available for distribution to our unitholders. In years when estimated maintenance and replacement capital expenditures are higher than actual maintenance and replacement capital expenditures, the amount of cash available for distribution to unitholders will be lower than if actual maintenance and replacement capital expenditures were deducted.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Although our partnership agreement requires us to distribute all of our available cash, our partnership agreement, including provisions contained therein requiring us to make cash distributions, may be amended. Our partnership agreement can be amended with the approval of a majority of the outstanding Common Units. GasLog holds a 35.3% interest in the Partnership as of October 9, 2020 (including 2.0% through general partnership units).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Even if our cash distribution policy is not modified or revoked, the amount of distributions we pay under our cash distribution policy and the decision to make any distribution is determined by our board of directors, taking into consideration the terms of our partnership agreement. </w:t>
      </w:r>
    </w:p>
    <w:p>
      <w:pPr>
        <w:pStyle w:val="TextBody"/>
        <w:jc w:val="center"/>
        <w:rPr>
          <w:rFonts w:ascii="times" w:hAnsi="times"/>
          <w:sz w:val="20"/>
        </w:rPr>
      </w:pPr>
      <w:r>
        <w:rPr>
          <w:rFonts w:ascii="times" w:hAnsi="times"/>
          <w:sz w:val="20"/>
        </w:rPr>
        <w:t>43</w:t>
      </w:r>
    </w:p>
    <w:p>
      <w:pPr>
        <w:pStyle w:val="HorizontalLine"/>
        <w:pBdr>
          <w:bottom w:val="single" w:sz="20" w:space="0" w:color="808080"/>
        </w:pBdr>
        <w:rPr/>
      </w:pPr>
      <w:r>
        <w:rPr/>
      </w:r>
      <w:r>
        <w:br w:type="page"/>
      </w:r>
    </w:p>
    <w:p>
      <w:pPr>
        <w:pStyle w:val="TextBody"/>
        <w:rPr/>
      </w:pPr>
      <w:hyperlink w:anchor="dg43504a_main_toc">
        <w:bookmarkStart w:id="393" w:name="page_ek43504_1_44"/>
        <w:bookmarkEnd w:id="393"/>
        <w:r>
          <w:rPr>
            <w:rStyle w:val="InternetLink"/>
            <w:rFonts w:ascii="times" w:hAnsi="times"/>
            <w:sz w:val="20"/>
          </w:rPr>
          <w:t>Table of Contents</w:t>
        </w:r>
      </w:hyperlink>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Under Section 51 of the Marshall Islands Act, we may not make a distribution to you if the distribution would cause our liabilities to exceed the fair value of our assets.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We may lack sufficient cash to pay distributions to our unitholders due to decreases in total operating revenues, decreases in hire rates, the loss of a vessel, increases in operating or general and administrative expenses, principal and interest payments on outstanding debt, taxes, working capital requirements, maintenance and replacement capital expenditures or anticipated cash needs. See "Risk Factors" for a discussion of these factors. </w:t>
      </w:r>
    </w:p>
    <w:p>
      <w:pPr>
        <w:pStyle w:val="TextBody"/>
        <w:rPr/>
      </w:pPr>
      <w:r>
        <w:rPr/>
        <w:t>        </w:t>
      </w:r>
      <w:r>
        <w:rPr>
          <w:rFonts w:ascii="times" w:hAnsi="times"/>
          <w:sz w:val="20"/>
        </w:rPr>
        <w:t xml:space="preserve">Our ability to make distributions to our unitholders depends on the performance of our subsidiaries and their ability to distribute cash to us. The ability of our subsidiaries to make distributions to us may be restricted by, among other things, the provisions of existing and future indebtedness, applicable limited partnership and limited liability company laws in the Marshall Islands and other laws and regulations. </w:t>
      </w:r>
    </w:p>
    <w:p>
      <w:pPr>
        <w:pStyle w:val="TextBody"/>
        <w:ind w:left="200" w:right="0" w:hanging="200"/>
        <w:rPr>
          <w:rFonts w:ascii="times" w:hAnsi="times"/>
          <w:b/>
          <w:sz w:val="20"/>
        </w:rPr>
      </w:pPr>
      <w:bookmarkStart w:id="394" w:name="toc_ek43504_3"/>
      <w:bookmarkStart w:id="395" w:name="ek43504_preference_unit_distributions"/>
      <w:bookmarkEnd w:id="394"/>
      <w:bookmarkEnd w:id="395"/>
      <w:r>
        <w:rPr>
          <w:rFonts w:ascii="times" w:hAnsi="times"/>
          <w:b/>
          <w:sz w:val="20"/>
        </w:rPr>
        <w:t xml:space="preserve">Preference Unit Distributions </w:t>
      </w:r>
    </w:p>
    <w:p>
      <w:pPr>
        <w:pStyle w:val="TextBody"/>
        <w:rPr/>
      </w:pPr>
      <w:r>
        <w:rPr/>
        <w:t>        </w:t>
      </w:r>
      <w:r>
        <w:rPr>
          <w:rFonts w:ascii="times" w:hAnsi="times"/>
          <w:sz w:val="20"/>
        </w:rPr>
        <w:t xml:space="preserve">The Preference Units are senior to all classes of our Common Units and general partner units. No distribution may be declared or paid or set apart for payment on any Common Units or general partner units unless full cumulative distributions have been or contemporaneously are being paid or provided for on all outstanding Preference Units through the most recent distribution payment date. Holders of the Preference Units will not be entitled to any distribution, whether payable in cash, property or units, in excess of full cumulative distributions. </w:t>
      </w:r>
    </w:p>
    <w:p>
      <w:pPr>
        <w:pStyle w:val="TextBody"/>
        <w:rPr/>
      </w:pPr>
      <w:r>
        <w:rPr/>
        <w:t>        </w:t>
      </w:r>
      <w:r>
        <w:rPr>
          <w:rFonts w:ascii="times" w:hAnsi="times"/>
          <w:sz w:val="20"/>
        </w:rPr>
        <w:t xml:space="preserve">Distributions on our Preference Units are payable quarterly on each of March 15, June 15, September 15 and December 15, or the next succeeding business day, as and if declared by our board of directors out of legally available funds for such purpose. </w:t>
      </w:r>
    </w:p>
    <w:p>
      <w:pPr>
        <w:pStyle w:val="TextBody"/>
        <w:rPr/>
      </w:pPr>
      <w:r>
        <w:rPr/>
        <w:t>        </w:t>
      </w:r>
      <w:r>
        <w:rPr>
          <w:rFonts w:ascii="times" w:hAnsi="times"/>
          <w:sz w:val="20"/>
        </w:rPr>
        <w:t xml:space="preserve">For the Series A Preference Units, from and including May 15, 2017 to, but excluding, June 15, 2027, the distribution rate is 8.625% per annum per $25.00 of liquidation preference per unit (equal to $2.15625 per annum per unit). From and including June 15, 2027, the distribution rate for the Series A Preference Units will be a floating rate equal to three-month LIBOR plus a spread of 6.31% per annum per $25.00 of liquidation preference per unit. The distribution rates are not subject to adjustment. </w:t>
      </w:r>
    </w:p>
    <w:p>
      <w:pPr>
        <w:pStyle w:val="TextBody"/>
        <w:rPr/>
      </w:pPr>
      <w:r>
        <w:rPr/>
        <w:t>        </w:t>
      </w:r>
      <w:r>
        <w:rPr>
          <w:rFonts w:ascii="times" w:hAnsi="times"/>
          <w:sz w:val="20"/>
        </w:rPr>
        <w:t xml:space="preserve">For the Series B Preference Units, from and including January 17, 2018 to, but excluding, March 15, 2023, the distribution rate is 8.200% per annum per $25.00 of liquidation preference per unit (equal to $2.05 per annum per unit). From and including March 15, 2023, the distribution rate for the Series B Preference Units will be a floating rate equal to three-month LIBOR plus a spread of 5.839% per annum per $25.00 of liquidation preference per unit. The distribution rates are not subject to adjustment. </w:t>
      </w:r>
    </w:p>
    <w:p>
      <w:pPr>
        <w:pStyle w:val="TextBody"/>
        <w:rPr/>
      </w:pPr>
      <w:r>
        <w:rPr/>
        <w:t>        </w:t>
      </w:r>
      <w:r>
        <w:rPr>
          <w:rFonts w:ascii="times" w:hAnsi="times"/>
          <w:sz w:val="20"/>
        </w:rPr>
        <w:t xml:space="preserve">For the Series C Preference Units, from and including November 15, 2018 to, but excluding, March 15, 2024, the distribution rate is 8.500% per annum per $25.00 of liquidation preference per unit (equal to $2.05 per annum per unit). From and including March 15, 2024, the distribution rate for the Series C Preference Units will be a floating rate equal to three-month LIBOR plus a spread of 5.317% per annum per $25.00 of liquidation preference per unit. The distribution rates are not subject to adjustment. </w:t>
      </w:r>
    </w:p>
    <w:p>
      <w:pPr>
        <w:pStyle w:val="TextBody"/>
        <w:rPr/>
      </w:pPr>
      <w:r>
        <w:rPr/>
        <w:t>        </w:t>
      </w:r>
      <w:r>
        <w:rPr>
          <w:rFonts w:ascii="times" w:hAnsi="times"/>
          <w:sz w:val="20"/>
        </w:rPr>
        <w:t xml:space="preserve">Our Preference Unit distribution payment obligations impact our future liquidity needs. If we do not pay our Preference Unit distributions, we will not be able to pay distributions to our Common Unitholders. </w:t>
      </w:r>
    </w:p>
    <w:p>
      <w:pPr>
        <w:pStyle w:val="TextBody"/>
        <w:jc w:val="center"/>
        <w:rPr>
          <w:rFonts w:ascii="times" w:hAnsi="times"/>
          <w:sz w:val="20"/>
        </w:rPr>
      </w:pPr>
      <w:r>
        <w:rPr>
          <w:rFonts w:ascii="times" w:hAnsi="times"/>
          <w:sz w:val="20"/>
        </w:rPr>
        <w:t>44</w:t>
      </w:r>
    </w:p>
    <w:p>
      <w:pPr>
        <w:pStyle w:val="HorizontalLine"/>
        <w:pBdr>
          <w:bottom w:val="single" w:sz="20" w:space="0" w:color="808080"/>
        </w:pBdr>
        <w:rPr/>
      </w:pPr>
      <w:r>
        <w:rPr/>
      </w:r>
      <w:r>
        <w:br w:type="page"/>
      </w:r>
    </w:p>
    <w:p>
      <w:pPr>
        <w:pStyle w:val="TextBody"/>
        <w:rPr/>
      </w:pPr>
      <w:hyperlink w:anchor="dg43504a_main_toc">
        <w:bookmarkStart w:id="396" w:name="page_ek43504_1_45"/>
        <w:bookmarkEnd w:id="396"/>
        <w:r>
          <w:rPr>
            <w:rStyle w:val="InternetLink"/>
            <w:rFonts w:ascii="times" w:hAnsi="times"/>
            <w:sz w:val="20"/>
          </w:rPr>
          <w:t>Table of Contents</w:t>
        </w:r>
      </w:hyperlink>
    </w:p>
    <w:p>
      <w:pPr>
        <w:pStyle w:val="TextBody"/>
        <w:ind w:left="200" w:right="0" w:hanging="200"/>
        <w:rPr>
          <w:rFonts w:ascii="times" w:hAnsi="times"/>
          <w:b/>
          <w:sz w:val="20"/>
        </w:rPr>
      </w:pPr>
      <w:bookmarkStart w:id="397" w:name="toc_ek43504_4"/>
      <w:bookmarkStart w:id="398" w:name="ek43504_distributions_of_available_cash"/>
      <w:bookmarkEnd w:id="397"/>
      <w:bookmarkEnd w:id="398"/>
      <w:r>
        <w:rPr>
          <w:rFonts w:ascii="times" w:hAnsi="times"/>
          <w:b/>
          <w:sz w:val="20"/>
        </w:rPr>
        <w:t xml:space="preserve">Distributions of Available Cash </w:t>
      </w:r>
    </w:p>
    <w:p>
      <w:pPr>
        <w:pStyle w:val="TextBody"/>
        <w:ind w:left="200" w:right="0" w:hanging="200"/>
        <w:rPr>
          <w:rFonts w:ascii="times" w:hAnsi="times"/>
          <w:b/>
          <w:i/>
          <w:sz w:val="20"/>
        </w:rPr>
      </w:pPr>
      <w:r>
        <w:rPr>
          <w:rFonts w:ascii="times" w:hAnsi="times"/>
          <w:b/>
          <w:i/>
          <w:sz w:val="20"/>
        </w:rPr>
        <w:t xml:space="preserve">General </w:t>
      </w:r>
    </w:p>
    <w:p>
      <w:pPr>
        <w:pStyle w:val="TextBody"/>
        <w:rPr/>
      </w:pPr>
      <w:r>
        <w:rPr/>
        <w:t>        </w:t>
      </w:r>
      <w:r>
        <w:rPr>
          <w:rFonts w:ascii="times" w:hAnsi="times"/>
          <w:sz w:val="20"/>
        </w:rPr>
        <w:t>Within 45 days after the end of each quarter we will distribute all of our available cash (defined below) to unitholders of record on the applicable record date, excluding the holders of the Class B Units, subject to distributions with respect to Preference Units as described under "Preference Unit Distributions" and to the general partner as described under "General Partner Interest", in the following manner:</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rPr>
      </w:pPr>
      <w:r>
        <w:rPr>
          <w:rFonts w:ascii="times" w:hAnsi="times"/>
          <w:i/>
          <w:sz w:val="20"/>
        </w:rPr>
        <w:t>first</w:t>
      </w:r>
      <w:r>
        <w:rPr>
          <w:rFonts w:ascii="times" w:hAnsi="times"/>
          <w:sz w:val="20"/>
        </w:rPr>
        <w:t xml:space="preserve">, to our general partner, in accordance with its percentage interest in the manner described in "General Partner Interest" below; and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rPr>
      </w:pPr>
      <w:r>
        <w:rPr>
          <w:rFonts w:ascii="times" w:hAnsi="times"/>
          <w:i/>
          <w:sz w:val="20"/>
        </w:rPr>
        <w:t>thereafter</w:t>
      </w:r>
      <w:r>
        <w:rPr>
          <w:rFonts w:ascii="times" w:hAnsi="times"/>
          <w:sz w:val="20"/>
        </w:rPr>
        <w:t xml:space="preserve">, to all Common Unitholders pro rata, a percentage equal to 100% less the general partner percentage interest, in the manner described in "General Partner Interest" below. </w:t>
      </w:r>
    </w:p>
    <w:p>
      <w:pPr>
        <w:pStyle w:val="TextBody"/>
        <w:rPr/>
      </w:pPr>
      <w:r>
        <w:rPr/>
        <w:t>        </w:t>
      </w:r>
      <w:r>
        <w:rPr>
          <w:rFonts w:ascii="times" w:hAnsi="times"/>
          <w:sz w:val="20"/>
        </w:rPr>
        <w:t xml:space="preserve">The preceding paragraph is based on the assumption that our general partner maintains its 2.0% general partner interest and that we do not issue additional classes of equity securities. </w:t>
      </w:r>
    </w:p>
    <w:p>
      <w:pPr>
        <w:pStyle w:val="TextBody"/>
        <w:ind w:left="200" w:right="0" w:hanging="200"/>
        <w:rPr>
          <w:rFonts w:ascii="times" w:hAnsi="times"/>
          <w:b/>
          <w:sz w:val="20"/>
        </w:rPr>
      </w:pPr>
      <w:bookmarkStart w:id="399" w:name="toc_ek43504_5"/>
      <w:bookmarkStart w:id="400" w:name="ek43504_general_partner_interest_1"/>
      <w:bookmarkEnd w:id="399"/>
      <w:bookmarkEnd w:id="400"/>
      <w:r>
        <w:rPr>
          <w:rFonts w:ascii="times" w:hAnsi="times"/>
          <w:b/>
          <w:sz w:val="20"/>
        </w:rPr>
        <w:t xml:space="preserve">General Partner Interest </w:t>
      </w:r>
    </w:p>
    <w:p>
      <w:pPr>
        <w:pStyle w:val="TextBody"/>
        <w:rPr/>
      </w:pPr>
      <w:r>
        <w:rPr/>
        <w:t>        </w:t>
      </w:r>
      <w:r>
        <w:rPr>
          <w:rFonts w:ascii="times" w:hAnsi="times"/>
          <w:sz w:val="20"/>
        </w:rPr>
        <w:t xml:space="preserve">Our partnership agreement provides that our general partner initially will be entitled to 2.0% of all distributions that we make prior to our liquidation. Our general partner has the right, but not the obligation, to contribute a proportionate amount of capital to us to maintain its 2.0% general partner interest if we issue additional Common Units. Our general partner's 2.0% interest, and the percentage of our cash distributions to which it is entitled, will be proportionately reduced if we issue additional Common Units in the future and our general partner does not contribute a proportionate amount of capital to us in order to maintain its 2.0% general partner interest. Our general partner will be entitled to make a capital contribution in order to maintain its 2.0% general partner interest in the form of the contribution to us of Common Units based on the current market value of the contributed Common Units. </w:t>
      </w:r>
    </w:p>
    <w:p>
      <w:pPr>
        <w:pStyle w:val="TextBody"/>
        <w:ind w:left="200" w:right="0" w:hanging="200"/>
        <w:rPr>
          <w:rFonts w:ascii="times" w:hAnsi="times"/>
          <w:b/>
          <w:i/>
          <w:sz w:val="20"/>
        </w:rPr>
      </w:pPr>
      <w:r>
        <w:rPr>
          <w:rFonts w:ascii="times" w:hAnsi="times"/>
          <w:b/>
          <w:i/>
          <w:sz w:val="20"/>
        </w:rPr>
        <w:t xml:space="preserve">Definition of Available Cash </w:t>
      </w:r>
    </w:p>
    <w:p>
      <w:pPr>
        <w:pStyle w:val="TextBody"/>
        <w:rPr/>
      </w:pPr>
      <w:r>
        <w:rPr/>
        <w:t>        </w:t>
      </w:r>
      <w:r>
        <w:rPr>
          <w:rFonts w:ascii="times" w:hAnsi="times"/>
          <w:sz w:val="20"/>
        </w:rPr>
        <w:t>Available cash generally means, for each fiscal quarter, all cash on hand at the end of the quarter (including our proportionate share of cash on hand of any subsidiaries we do not wholly own):</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rPr>
      </w:pPr>
      <w:r>
        <w:rPr>
          <w:rFonts w:ascii="times" w:hAnsi="times"/>
          <w:i/>
          <w:sz w:val="20"/>
        </w:rPr>
        <w:t>less</w:t>
      </w:r>
      <w:r>
        <w:rPr>
          <w:rFonts w:ascii="times" w:hAnsi="times"/>
          <w:sz w:val="20"/>
        </w:rPr>
        <w:t xml:space="preserve">, the amount of cash reserves (including our proportionate share of cash reserves of any subsidiaries we do not wholly own) established by our board of directors and our subsidiaries to: </w:t>
      </w:r>
    </w:p>
    <w:p>
      <w:pPr>
        <w:pStyle w:val="ListHeading"/>
        <w:numPr>
          <w:ilvl w:val="0"/>
          <w:numId w:val="0"/>
        </w:numPr>
        <w:spacing w:before="0" w:after="0"/>
        <w:ind w:left="1274" w:right="0" w:hanging="0"/>
        <w:rPr>
          <w:rFonts w:ascii="times" w:hAnsi="times"/>
          <w:sz w:val="20"/>
        </w:rPr>
      </w:pPr>
      <w:r>
        <w:rPr>
          <w:rFonts w:ascii="times" w:hAnsi="times"/>
          <w:sz w:val="20"/>
        </w:rPr>
        <w:t></w:t>
      </w:r>
    </w:p>
    <w:p>
      <w:pPr>
        <w:pStyle w:val="ListContents"/>
        <w:numPr>
          <w:ilvl w:val="0"/>
          <w:numId w:val="0"/>
        </w:numPr>
        <w:spacing w:before="0" w:after="283"/>
        <w:ind w:left="1841" w:right="0" w:hanging="0"/>
        <w:rPr>
          <w:rFonts w:ascii="times" w:hAnsi="times"/>
          <w:sz w:val="20"/>
        </w:rPr>
      </w:pPr>
      <w:r>
        <w:rPr>
          <w:rFonts w:ascii="times" w:hAnsi="times"/>
          <w:sz w:val="20"/>
        </w:rPr>
        <w:t xml:space="preserve">provide for the proper conduct of our business (including reserves for future capital expenditures and for our anticipated credit needs); </w:t>
      </w:r>
    </w:p>
    <w:p>
      <w:pPr>
        <w:pStyle w:val="ListHeading"/>
        <w:numPr>
          <w:ilvl w:val="0"/>
          <w:numId w:val="0"/>
        </w:numPr>
        <w:spacing w:before="0" w:after="0"/>
        <w:ind w:left="1274" w:right="0" w:hanging="0"/>
        <w:rPr>
          <w:rFonts w:ascii="times" w:hAnsi="times"/>
          <w:sz w:val="20"/>
        </w:rPr>
      </w:pPr>
      <w:r>
        <w:rPr>
          <w:rFonts w:ascii="times" w:hAnsi="times"/>
          <w:sz w:val="20"/>
        </w:rPr>
        <w:t></w:t>
      </w:r>
    </w:p>
    <w:p>
      <w:pPr>
        <w:pStyle w:val="ListContents"/>
        <w:numPr>
          <w:ilvl w:val="0"/>
          <w:numId w:val="0"/>
        </w:numPr>
        <w:spacing w:before="0" w:after="283"/>
        <w:ind w:left="1841" w:right="0" w:hanging="0"/>
        <w:rPr>
          <w:rFonts w:ascii="times" w:hAnsi="times"/>
          <w:sz w:val="20"/>
        </w:rPr>
      </w:pPr>
      <w:r>
        <w:rPr>
          <w:rFonts w:ascii="times" w:hAnsi="times"/>
          <w:sz w:val="20"/>
        </w:rPr>
        <w:t xml:space="preserve">comply with applicable law, any of our debt instruments or other agreements; </w:t>
      </w:r>
    </w:p>
    <w:p>
      <w:pPr>
        <w:pStyle w:val="ListHeading"/>
        <w:numPr>
          <w:ilvl w:val="0"/>
          <w:numId w:val="0"/>
        </w:numPr>
        <w:spacing w:before="0" w:after="0"/>
        <w:ind w:left="1274" w:right="0" w:hanging="0"/>
        <w:rPr>
          <w:rFonts w:ascii="times" w:hAnsi="times"/>
          <w:sz w:val="20"/>
        </w:rPr>
      </w:pPr>
      <w:r>
        <w:rPr>
          <w:rFonts w:ascii="times" w:hAnsi="times"/>
          <w:sz w:val="20"/>
        </w:rPr>
        <w:t></w:t>
      </w:r>
    </w:p>
    <w:p>
      <w:pPr>
        <w:pStyle w:val="ListContents"/>
        <w:numPr>
          <w:ilvl w:val="0"/>
          <w:numId w:val="0"/>
        </w:numPr>
        <w:spacing w:before="0" w:after="283"/>
        <w:ind w:left="1841" w:right="0" w:hanging="0"/>
        <w:rPr>
          <w:rFonts w:ascii="times" w:hAnsi="times"/>
          <w:sz w:val="20"/>
        </w:rPr>
      </w:pPr>
      <w:r>
        <w:rPr>
          <w:rFonts w:ascii="times" w:hAnsi="times"/>
          <w:sz w:val="20"/>
        </w:rPr>
        <w:t xml:space="preserve">provide funds for Preference Unit distributions and Preference Unit redemption payments; and/or </w:t>
      </w:r>
    </w:p>
    <w:p>
      <w:pPr>
        <w:pStyle w:val="ListHeading"/>
        <w:numPr>
          <w:ilvl w:val="0"/>
          <w:numId w:val="0"/>
        </w:numPr>
        <w:spacing w:before="0" w:after="0"/>
        <w:ind w:left="1274" w:right="0" w:hanging="0"/>
        <w:rPr>
          <w:rFonts w:ascii="times" w:hAnsi="times"/>
          <w:sz w:val="20"/>
        </w:rPr>
      </w:pPr>
      <w:r>
        <w:rPr>
          <w:rFonts w:ascii="times" w:hAnsi="times"/>
          <w:sz w:val="20"/>
        </w:rPr>
        <w:t></w:t>
      </w:r>
    </w:p>
    <w:p>
      <w:pPr>
        <w:pStyle w:val="ListContents"/>
        <w:numPr>
          <w:ilvl w:val="0"/>
          <w:numId w:val="0"/>
        </w:numPr>
        <w:spacing w:before="0" w:after="283"/>
        <w:ind w:left="1841" w:right="0" w:hanging="0"/>
        <w:rPr>
          <w:rFonts w:ascii="times" w:hAnsi="times"/>
          <w:sz w:val="20"/>
        </w:rPr>
      </w:pPr>
      <w:r>
        <w:rPr>
          <w:rFonts w:ascii="times" w:hAnsi="times"/>
          <w:sz w:val="20"/>
        </w:rPr>
        <w:t xml:space="preserve">provide funds for distributions to our unitholders and to our general partner for any one or more of the next four quarters;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rPr>
      </w:pPr>
      <w:r>
        <w:rPr>
          <w:rFonts w:ascii="times" w:hAnsi="times"/>
          <w:i/>
          <w:sz w:val="20"/>
        </w:rPr>
        <w:t>plus</w:t>
      </w:r>
      <w:r>
        <w:rPr>
          <w:rFonts w:ascii="times" w:hAnsi="times"/>
          <w:sz w:val="20"/>
        </w:rPr>
        <w:t xml:space="preserve">, all cash on hand (including our proportionate share of cash on hand of any subsidiaries we do not wholly own) on the date of determination of available cash for the quarter resulting from (1) working capital borrowings made after the end of the quarter and (2) cash distributions received after the end of the quarter from any equity interest in any person (other than a subsidiary of us), which distributions are paid by such person in respect of operations conducted by such person during such quarter. Working capital borrowings are generally borrowings that </w:t>
      </w:r>
    </w:p>
    <w:p>
      <w:pPr>
        <w:pStyle w:val="TextBody"/>
        <w:jc w:val="center"/>
        <w:rPr>
          <w:rFonts w:ascii="times" w:hAnsi="times"/>
          <w:sz w:val="20"/>
        </w:rPr>
      </w:pPr>
      <w:r>
        <w:rPr>
          <w:rFonts w:ascii="times" w:hAnsi="times"/>
          <w:sz w:val="20"/>
        </w:rPr>
        <w:t>45</w:t>
      </w:r>
    </w:p>
    <w:p>
      <w:pPr>
        <w:pStyle w:val="HorizontalLine"/>
        <w:pBdr>
          <w:bottom w:val="single" w:sz="20" w:space="0" w:color="808080"/>
        </w:pBdr>
        <w:rPr/>
      </w:pPr>
      <w:r>
        <w:rPr/>
      </w:r>
      <w:r>
        <w:br w:type="page"/>
      </w:r>
    </w:p>
    <w:p>
      <w:pPr>
        <w:pStyle w:val="TextBody"/>
        <w:rPr/>
      </w:pPr>
      <w:hyperlink w:anchor="dg43504a_main_toc">
        <w:bookmarkStart w:id="401" w:name="page_ek43504_1_46"/>
        <w:bookmarkEnd w:id="401"/>
        <w:r>
          <w:rPr>
            <w:rStyle w:val="InternetLink"/>
            <w:rFonts w:ascii="times" w:hAnsi="times"/>
            <w:sz w:val="20"/>
          </w:rPr>
          <w:t>Table of Contents</w:t>
        </w:r>
      </w:hyperlink>
    </w:p>
    <w:p>
      <w:pPr>
        <w:pStyle w:val="TextBody"/>
        <w:numPr>
          <w:ilvl w:val="0"/>
          <w:numId w:val="0"/>
        </w:numPr>
        <w:ind w:left="1414" w:hanging="0"/>
        <w:rPr>
          <w:rFonts w:ascii="times" w:hAnsi="times"/>
          <w:sz w:val="20"/>
        </w:rPr>
      </w:pPr>
      <w:r>
        <w:rPr>
          <w:rFonts w:ascii="times" w:hAnsi="times"/>
          <w:sz w:val="20"/>
        </w:rPr>
        <w:t xml:space="preserve">are made under a revolving credit facility and in all cases are used solely for working capital purposes or to pay distributions to partners. </w:t>
      </w:r>
    </w:p>
    <w:p>
      <w:pPr>
        <w:pStyle w:val="TextBody"/>
        <w:ind w:left="200" w:right="0" w:hanging="200"/>
        <w:rPr>
          <w:rFonts w:ascii="times" w:hAnsi="times"/>
          <w:b/>
          <w:sz w:val="20"/>
        </w:rPr>
      </w:pPr>
      <w:bookmarkStart w:id="402" w:name="toc_ek43504_6"/>
      <w:bookmarkStart w:id="403" w:name="ek43504_distributions_of_cash_upon_liqui"/>
      <w:bookmarkEnd w:id="402"/>
      <w:bookmarkEnd w:id="403"/>
      <w:r>
        <w:rPr>
          <w:rFonts w:ascii="times" w:hAnsi="times"/>
          <w:b/>
          <w:sz w:val="20"/>
        </w:rPr>
        <w:t xml:space="preserve">Distributions of Cash Upon Liquidation </w:t>
      </w:r>
    </w:p>
    <w:p>
      <w:pPr>
        <w:pStyle w:val="TextBody"/>
        <w:rPr/>
      </w:pPr>
      <w:r>
        <w:rPr/>
        <w:t>        </w:t>
      </w:r>
      <w:r>
        <w:rPr>
          <w:rFonts w:ascii="times" w:hAnsi="times"/>
          <w:sz w:val="20"/>
        </w:rPr>
        <w:t xml:space="preserve">If we dissolve in accordance with the partnership agreement, we will sell or otherwise dispose of our assets in a process called liquidation. We will apply the proceeds of liquidation in the manner set forth below, subject to distributions with respect to Preference Units and Parity Securities (if applicable) as described under "Preference Unit Liquidation Rights". </w:t>
      </w:r>
    </w:p>
    <w:p>
      <w:pPr>
        <w:pStyle w:val="TextBody"/>
        <w:rPr/>
      </w:pPr>
      <w:r>
        <w:rPr/>
        <w:t>        </w:t>
      </w:r>
      <w:r>
        <w:rPr>
          <w:rFonts w:ascii="times" w:hAnsi="times"/>
          <w:sz w:val="20"/>
        </w:rPr>
        <w:t xml:space="preserve">All property and all cash in excess of that required to discharge liabilities of the partnership shall be distributed: </w:t>
      </w:r>
    </w:p>
    <w:p>
      <w:pPr>
        <w:pStyle w:val="ListHeading"/>
        <w:numPr>
          <w:ilvl w:val="0"/>
          <w:numId w:val="0"/>
        </w:numPr>
        <w:spacing w:before="0" w:after="0"/>
        <w:ind w:left="707" w:right="0" w:hanging="0"/>
        <w:rPr>
          <w:rFonts w:ascii="times" w:hAnsi="times"/>
          <w:sz w:val="20"/>
        </w:rPr>
      </w:pPr>
      <w:r>
        <w:rPr>
          <w:rFonts w:ascii="times" w:hAnsi="times"/>
          <w:sz w:val="20"/>
        </w:rPr>
        <w:t>i.</w:t>
      </w:r>
    </w:p>
    <w:p>
      <w:pPr>
        <w:pStyle w:val="ListContents"/>
        <w:numPr>
          <w:ilvl w:val="0"/>
          <w:numId w:val="0"/>
        </w:numPr>
        <w:spacing w:before="0" w:after="283"/>
        <w:ind w:left="1274" w:right="0" w:hanging="0"/>
        <w:rPr>
          <w:rFonts w:ascii="times" w:hAnsi="times"/>
        </w:rPr>
      </w:pPr>
      <w:r>
        <w:rPr>
          <w:rFonts w:ascii="times" w:hAnsi="times"/>
          <w:i/>
          <w:sz w:val="20"/>
        </w:rPr>
        <w:t>first</w:t>
      </w:r>
      <w:r>
        <w:rPr>
          <w:rFonts w:ascii="times" w:hAnsi="times"/>
          <w:sz w:val="20"/>
        </w:rPr>
        <w:t xml:space="preserve">, to the general partner in accordance with its percentage interest; and </w:t>
      </w:r>
    </w:p>
    <w:p>
      <w:pPr>
        <w:pStyle w:val="ListHeading"/>
        <w:numPr>
          <w:ilvl w:val="0"/>
          <w:numId w:val="0"/>
        </w:numPr>
        <w:spacing w:before="0" w:after="0"/>
        <w:ind w:left="707" w:right="0" w:hanging="0"/>
        <w:rPr>
          <w:rFonts w:ascii="times" w:hAnsi="times"/>
          <w:sz w:val="20"/>
        </w:rPr>
      </w:pPr>
      <w:r>
        <w:rPr>
          <w:rFonts w:ascii="times" w:hAnsi="times"/>
          <w:sz w:val="20"/>
        </w:rPr>
        <w:t>ii.</w:t>
      </w:r>
    </w:p>
    <w:p>
      <w:pPr>
        <w:pStyle w:val="ListContents"/>
        <w:numPr>
          <w:ilvl w:val="0"/>
          <w:numId w:val="0"/>
        </w:numPr>
        <w:spacing w:before="0" w:after="283"/>
        <w:ind w:left="1274" w:right="0" w:hanging="0"/>
        <w:rPr>
          <w:rFonts w:ascii="times" w:hAnsi="times"/>
        </w:rPr>
      </w:pPr>
      <w:r>
        <w:rPr>
          <w:rFonts w:ascii="times" w:hAnsi="times"/>
          <w:i/>
          <w:sz w:val="20"/>
        </w:rPr>
        <w:t>second</w:t>
      </w:r>
      <w:r>
        <w:rPr>
          <w:rFonts w:ascii="times" w:hAnsi="times"/>
          <w:sz w:val="20"/>
        </w:rPr>
        <w:t xml:space="preserve">, to all unitholders, pro rata, a percentage equal to 100% less the general partner's percentage interest. </w:t>
      </w:r>
    </w:p>
    <w:p>
      <w:pPr>
        <w:pStyle w:val="TextBody"/>
        <w:ind w:left="200" w:right="0" w:hanging="200"/>
        <w:rPr>
          <w:rFonts w:ascii="times" w:hAnsi="times"/>
          <w:b/>
          <w:sz w:val="20"/>
        </w:rPr>
      </w:pPr>
      <w:bookmarkStart w:id="404" w:name="toc_ek43504_7"/>
      <w:bookmarkStart w:id="405" w:name="ek43504_preference_unit_liquidation_righ"/>
      <w:bookmarkEnd w:id="404"/>
      <w:bookmarkEnd w:id="405"/>
      <w:r>
        <w:rPr>
          <w:rFonts w:ascii="times" w:hAnsi="times"/>
          <w:b/>
          <w:sz w:val="20"/>
        </w:rPr>
        <w:t xml:space="preserve">Preference Unit Liquidation Rights </w:t>
      </w:r>
    </w:p>
    <w:p>
      <w:pPr>
        <w:pStyle w:val="TextBody"/>
        <w:rPr/>
      </w:pPr>
      <w:r>
        <w:rPr/>
        <w:t>        </w:t>
      </w:r>
      <w:r>
        <w:rPr>
          <w:rFonts w:ascii="times" w:hAnsi="times"/>
          <w:sz w:val="20"/>
        </w:rPr>
        <w:t xml:space="preserve">The holders of Preference Units will be entitled, in the event of a dissolution, to receive the liquidation preference of $25.00 per unit in cash plus an amount equal to accumulated and unpaid distributions thereon to the date fixed for payment of such amount (whether or not declared), and no more, before any distribution will be made to the holders of our Common Units, Class B Units or any other Junior Securities (as defined in the partnership agreement). In the event that our assets available for distribution to holders of the outstanding Preference Units and any other Parity Securities (if applicable) are insufficient to permit payment of all required amounts, our assets then remaining will be distributed among the Preference Units and any Parity Securities, as applicable, ratably on the basis of their relative aggregate liquidation preferences. After payment of all required amounts to the holders of the outstanding Preference Units and other Parity Securities (if applicable), our remaining assets and funds will be distributed among the holders of the Common Units, Class B Units and any other Junior Securities then outstanding according to their respective rights. </w:t>
      </w:r>
    </w:p>
    <w:p>
      <w:pPr>
        <w:pStyle w:val="TextBody"/>
        <w:jc w:val="center"/>
        <w:rPr>
          <w:rFonts w:ascii="times" w:hAnsi="times"/>
          <w:sz w:val="20"/>
        </w:rPr>
      </w:pPr>
      <w:r>
        <w:rPr>
          <w:rFonts w:ascii="times" w:hAnsi="times"/>
          <w:sz w:val="20"/>
        </w:rPr>
        <w:t>46</w:t>
      </w:r>
    </w:p>
    <w:p>
      <w:pPr>
        <w:pStyle w:val="HorizontalLine"/>
        <w:pBdr>
          <w:bottom w:val="single" w:sz="20" w:space="0" w:color="808080"/>
        </w:pBdr>
        <w:rPr/>
      </w:pPr>
      <w:r>
        <w:rPr/>
      </w:r>
      <w:r>
        <w:br w:type="page"/>
      </w:r>
    </w:p>
    <w:p>
      <w:pPr>
        <w:pStyle w:val="TextBody"/>
        <w:rPr/>
      </w:pPr>
      <w:hyperlink w:anchor="dg43504a_main_toc">
        <w:bookmarkStart w:id="406" w:name="page_ek43504_1_47"/>
        <w:bookmarkEnd w:id="406"/>
        <w:r>
          <w:rPr>
            <w:rStyle w:val="InternetLink"/>
            <w:rFonts w:ascii="times" w:hAnsi="times"/>
            <w:sz w:val="20"/>
          </w:rPr>
          <w:t>Table of Contents</w:t>
        </w:r>
      </w:hyperlink>
    </w:p>
    <w:p>
      <w:pPr>
        <w:pStyle w:val="TextBody"/>
        <w:jc w:val="center"/>
        <w:rPr>
          <w:rFonts w:ascii="times" w:hAnsi="times"/>
        </w:rPr>
      </w:pPr>
      <w:bookmarkStart w:id="407" w:name="toc_ek43504_8"/>
      <w:bookmarkStart w:id="408" w:name="ek43504_material_u.s._federal_income_tax"/>
      <w:bookmarkEnd w:id="407"/>
      <w:bookmarkEnd w:id="408"/>
      <w:r>
        <w:rPr>
          <w:rFonts w:ascii="times" w:hAnsi="times"/>
          <w:sz w:val="20"/>
        </w:rPr>
        <w:br/>
      </w:r>
      <w:r>
        <w:rPr>
          <w:rFonts w:ascii="times" w:hAnsi="times"/>
          <w:b/>
          <w:sz w:val="20"/>
        </w:rPr>
        <w:t xml:space="preserve">MATERIAL U.S. FEDERAL INCOME TAX CONSIDERATIONS </w:t>
      </w:r>
    </w:p>
    <w:p>
      <w:pPr>
        <w:pStyle w:val="TextBody"/>
        <w:rPr/>
      </w:pPr>
      <w:r>
        <w:rPr/>
        <w:t>        </w:t>
      </w:r>
      <w:r>
        <w:rPr>
          <w:rFonts w:ascii="times" w:hAnsi="times"/>
          <w:sz w:val="20"/>
        </w:rPr>
        <w:t xml:space="preserve">Our Annual Report filed on Form 20-F provides a discussion of the material U.S. federal income tax considerations that may be relevant to prospective investors in Common Units or Preference Units. The applicable prospectus supplement may also contain information about any material U.S. federal income tax considerations relating to the securities covered by such prospectus supplement. </w:t>
      </w:r>
    </w:p>
    <w:p>
      <w:pPr>
        <w:pStyle w:val="TextBody"/>
        <w:jc w:val="center"/>
        <w:rPr>
          <w:rFonts w:ascii="times" w:hAnsi="times"/>
        </w:rPr>
      </w:pPr>
      <w:bookmarkStart w:id="409" w:name="toc_ek43504_9"/>
      <w:bookmarkStart w:id="410" w:name="ek43504_non-united_states_tax_considerat"/>
      <w:bookmarkEnd w:id="409"/>
      <w:bookmarkEnd w:id="410"/>
      <w:r>
        <w:rPr>
          <w:rFonts w:ascii="times" w:hAnsi="times"/>
          <w:sz w:val="20"/>
        </w:rPr>
        <w:br/>
      </w:r>
      <w:r>
        <w:rPr>
          <w:rFonts w:ascii="times" w:hAnsi="times"/>
          <w:b/>
          <w:sz w:val="20"/>
        </w:rPr>
        <w:t xml:space="preserve">NON-UNITED STATES TAX CONSIDERATIONS </w:t>
      </w:r>
    </w:p>
    <w:p>
      <w:pPr>
        <w:pStyle w:val="TextBody"/>
        <w:rPr/>
      </w:pPr>
      <w:r>
        <w:rPr/>
        <w:t>        </w:t>
      </w:r>
      <w:r>
        <w:rPr>
          <w:rFonts w:ascii="times" w:hAnsi="times"/>
          <w:sz w:val="20"/>
        </w:rPr>
        <w:t xml:space="preserve">Our Annual Report filed on Form 20-F provides a discussion of Marshall Islands tax consequences that may be relevant to prospective investors in Common Units or Preference Units. The applicable prospectus supplement may also contain information about any non-U.S. tax considerations relating to the securities covered by such prospectus supplement. </w:t>
      </w:r>
    </w:p>
    <w:p>
      <w:pPr>
        <w:pStyle w:val="TextBody"/>
        <w:jc w:val="center"/>
        <w:rPr>
          <w:rFonts w:ascii="times" w:hAnsi="times"/>
        </w:rPr>
      </w:pPr>
      <w:bookmarkStart w:id="411" w:name="toc_ek43504_10"/>
      <w:bookmarkStart w:id="412" w:name="ek43504_plan_of_distribution"/>
      <w:bookmarkEnd w:id="411"/>
      <w:bookmarkEnd w:id="412"/>
      <w:r>
        <w:rPr>
          <w:rFonts w:ascii="times" w:hAnsi="times"/>
          <w:sz w:val="20"/>
        </w:rPr>
        <w:br/>
      </w:r>
      <w:r>
        <w:rPr>
          <w:rFonts w:ascii="times" w:hAnsi="times"/>
          <w:b/>
          <w:sz w:val="20"/>
        </w:rPr>
        <w:t xml:space="preserve">PLAN OF DISTRIBUTION </w:t>
      </w:r>
    </w:p>
    <w:p>
      <w:pPr>
        <w:pStyle w:val="TextBody"/>
        <w:rPr/>
      </w:pPr>
      <w:r>
        <w:rPr/>
        <w:t>        </w:t>
      </w:r>
      <w:r>
        <w:rPr>
          <w:rFonts w:ascii="times" w:hAnsi="times"/>
          <w:sz w:val="20"/>
        </w:rPr>
        <w:t xml:space="preserve">We may offer and sell, from time to time, the securities covered by this prospectus and the applicable prospectus supplement. We have registered the securities covered by this prospectus for offer and sale so that those securities may be freely sold to the public. Registration of the securities covered by this prospectus does not mean, however, that those securities necessarily will be offered or sold. </w:t>
      </w:r>
    </w:p>
    <w:p>
      <w:pPr>
        <w:pStyle w:val="TextBody"/>
        <w:rPr/>
      </w:pPr>
      <w:r>
        <w:rPr/>
        <w:t>        </w:t>
      </w:r>
      <w:r>
        <w:rPr>
          <w:rFonts w:ascii="times" w:hAnsi="times"/>
          <w:sz w:val="20"/>
        </w:rPr>
        <w:t>Securities covered by this prospectus may be sold from time to time, in one or more transactions, at market prices prevailing at the time of sale, at prices related to market prices, at a fixed price or prices subject to change, at varying prices determined at the time of sale or at negotiated prices, by a variety of methods including the following:</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on the NYSE or any other national securities exchange or U.S. inter-dealer system of a registered national securities association on which our Common Units may be listed or quoted at the time of sale;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in the over-the-counter market;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in privately negotiated transactions;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in an exchange distribution in accordance with the rules of the applicable exchange;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as settlement of short sales entered into after the date of the prospectus;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through the writing or settlement of options or other hedging transactions, whether through an options exchange or otherwise;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through broker-dealers, who may act as agents or principals;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through sales "at the market" to or through a market-maker;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in a block trade, in which a broker-dealer will attempt to sell a block as agent but may position and resell a portion of the block as principal to facilitate the transaction;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through one or more underwriters on a firm commitment or best-efforts basis;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directly to one or more purchasers;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through agents;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in options transactions;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over the Internet;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any other method permitted pursuant to applicable law; or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in any combination of the above. </w:t>
      </w:r>
    </w:p>
    <w:p>
      <w:pPr>
        <w:pStyle w:val="TextBody"/>
        <w:jc w:val="center"/>
        <w:rPr>
          <w:rFonts w:ascii="times" w:hAnsi="times"/>
          <w:sz w:val="20"/>
        </w:rPr>
      </w:pPr>
      <w:r>
        <w:rPr>
          <w:rFonts w:ascii="times" w:hAnsi="times"/>
          <w:sz w:val="20"/>
        </w:rPr>
        <w:t>47</w:t>
      </w:r>
    </w:p>
    <w:p>
      <w:pPr>
        <w:pStyle w:val="HorizontalLine"/>
        <w:pBdr>
          <w:bottom w:val="single" w:sz="20" w:space="0" w:color="808080"/>
        </w:pBdr>
        <w:rPr/>
      </w:pPr>
      <w:r>
        <w:rPr/>
      </w:r>
      <w:r>
        <w:br w:type="page"/>
      </w:r>
    </w:p>
    <w:p>
      <w:pPr>
        <w:pStyle w:val="TextBody"/>
        <w:rPr/>
      </w:pPr>
      <w:hyperlink w:anchor="dg43504a_main_toc">
        <w:bookmarkStart w:id="413" w:name="page_ek43504_1_48"/>
        <w:bookmarkEnd w:id="413"/>
        <w:r>
          <w:rPr>
            <w:rStyle w:val="InternetLink"/>
            <w:rFonts w:ascii="times" w:hAnsi="times"/>
            <w:sz w:val="20"/>
          </w:rPr>
          <w:t>Table of Contents</w:t>
        </w:r>
      </w:hyperlink>
    </w:p>
    <w:p>
      <w:pPr>
        <w:pStyle w:val="TextBody"/>
        <w:rPr/>
      </w:pPr>
      <w:r>
        <w:rPr/>
        <w:t>        </w:t>
      </w:r>
      <w:r>
        <w:rPr>
          <w:rFonts w:ascii="times" w:hAnsi="times"/>
          <w:sz w:val="20"/>
        </w:rPr>
        <w:t>In effecting sales, brokers or dealers engaged by us may arrange for other brokers or dealers to participate. Broker-dealer transactions may include:</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purchases of the securities by a broker-dealer as principal and resales of the securities by the broker-dealer for its account pursuant to this prospectus;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ordinary brokerage transactions; or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transactions in which the broker-dealer solicits purchasers. </w:t>
      </w:r>
    </w:p>
    <w:p>
      <w:pPr>
        <w:pStyle w:val="TextBody"/>
        <w:rPr/>
      </w:pPr>
      <w:r>
        <w:rPr/>
        <w:t>        </w:t>
      </w:r>
      <w:r>
        <w:rPr>
          <w:rFonts w:ascii="times" w:hAnsi="times"/>
          <w:sz w:val="20"/>
        </w:rPr>
        <w:t xml:space="preserve">In addition, we may sell any securities covered by this prospectus in private transactions or under Rule 144 of the Securities Act of 1933, as amended, rather than pursuant to this prospectus. </w:t>
      </w:r>
    </w:p>
    <w:p>
      <w:pPr>
        <w:pStyle w:val="TextBody"/>
        <w:rPr/>
      </w:pPr>
      <w:r>
        <w:rPr/>
        <w:t>        </w:t>
      </w:r>
      <w:r>
        <w:rPr>
          <w:rFonts w:ascii="times" w:hAnsi="times"/>
          <w:sz w:val="20"/>
        </w:rPr>
        <w:t xml:space="preserve">In connection with the sale of securities covered by this prospectus, broker-dealers may receive commissions or other compensation from us in the form of commissions, discounts or concessions. Broker-dealers may also receive compensation from purchasers of the securities for whom they act as agents or to whom they sell as principals or both. Compensation as to a particular broker-dealer may be in excess of customary commissions or in amounts to be negotiated. In connection with any underwritten offering, underwriters may receive compensation in the form of discounts, concessions or commissions from us, or from purchasers of the securities for whom they act as agents. Underwriters may sell the securities to or through dealers, and such dealers may receive compensation in the form of discounts, concessions or commissions from the underwriters and/or commissions from the purchasers for whom they may act as agents. Any underwriters, broker-dealers or agents that participate in the distribution of the securities may be deemed to be "underwriters" within the meaning of the Securities Act of 1933, as amended, and any profit on the sale of the securities by them and any discounts, commissions or concessions received by any of those underwriters, broker-dealers or agents may be deemed to be underwriting discounts and commissions under the Securities Act of 1933, as amended. </w:t>
      </w:r>
    </w:p>
    <w:p>
      <w:pPr>
        <w:pStyle w:val="TextBody"/>
        <w:rPr/>
      </w:pPr>
      <w:r>
        <w:rPr/>
        <w:t>        </w:t>
      </w:r>
      <w:r>
        <w:rPr>
          <w:rFonts w:ascii="times" w:hAnsi="times"/>
          <w:sz w:val="20"/>
        </w:rPr>
        <w:t xml:space="preserve">In connection with the distribution of the securities covered by this prospectus or otherwise, we may enter into hedging transactions with broker-dealers or other financial institutions. In connection with such transactions, broker-dealers or other financial institutions may engage in short sales of our securities in the course of hedging the positions they assume with us. We may also sell securities short and deliver the securities offered by this prospectus to close out our short positions. We may also enter into option or other transactions with broker-dealers or other financial institutions, which require the delivery to such broker-dealer or other financial institution of securities offered by this prospectus, which securities such broker-dealer or other financial institution may resell pursuant to this prospectus, as supplemented or amended to reflect such transaction. We may also from time to time pledge securities pursuant to the margin provisions of any customer agreements with brokers. Upon default, the broker may offer and sell such pledged securities from time to time pursuant to this prospectus, as supplemented or amended to reflect such transaction. </w:t>
      </w:r>
    </w:p>
    <w:p>
      <w:pPr>
        <w:pStyle w:val="TextBody"/>
        <w:rPr/>
      </w:pPr>
      <w:r>
        <w:rPr/>
        <w:t>        </w:t>
      </w:r>
      <w:r>
        <w:rPr>
          <w:rFonts w:ascii="times" w:hAnsi="times"/>
          <w:sz w:val="20"/>
        </w:rPr>
        <w:t xml:space="preserve">At any time a particular offer of the securities covered by this prospectus is made, a revised prospectus or prospectus supplement, if required, will be distributed which will set forth the aggregate amount of securities covered by this prospectus being offered and the terms of the offering, including the expected issue price or method of determining the price, the time period during which the offer will be open and whether the purchase period may be extended or shortened, the method and time limits for paying up and delivering securities, name or names of any underwriters, dealers, brokers or agents, any discounts, commissions, concessions and other items constituting compensation from us, and any discounts, commissions or concessions allowed or reallowed or paid to dealers. Such prospectus supplement, and, if necessary, a post-effective amendment to the registration statement of which this prospectus is a part, will be filed with the SEC to reflect the disclosure of additional information with respect to the distribution of the securities covered by this prospectus. In order to comply with the securities laws of certain states, if applicable, the securities sold under this prospectus may only be sold through registered or licensed broker-dealers. In addition, in some states the securities may not be sold </w:t>
      </w:r>
    </w:p>
    <w:p>
      <w:pPr>
        <w:pStyle w:val="TextBody"/>
        <w:jc w:val="center"/>
        <w:rPr>
          <w:rFonts w:ascii="times" w:hAnsi="times"/>
          <w:sz w:val="20"/>
        </w:rPr>
      </w:pPr>
      <w:r>
        <w:rPr>
          <w:rFonts w:ascii="times" w:hAnsi="times"/>
          <w:sz w:val="20"/>
        </w:rPr>
        <w:t>48</w:t>
      </w:r>
    </w:p>
    <w:p>
      <w:pPr>
        <w:pStyle w:val="HorizontalLine"/>
        <w:pBdr>
          <w:bottom w:val="single" w:sz="20" w:space="0" w:color="808080"/>
        </w:pBdr>
        <w:rPr/>
      </w:pPr>
      <w:r>
        <w:rPr/>
      </w:r>
      <w:r>
        <w:br w:type="page"/>
      </w:r>
    </w:p>
    <w:p>
      <w:pPr>
        <w:pStyle w:val="TextBody"/>
        <w:rPr/>
      </w:pPr>
      <w:hyperlink w:anchor="dg43504a_main_toc">
        <w:bookmarkStart w:id="414" w:name="page_ek43504_1_49"/>
        <w:bookmarkEnd w:id="414"/>
        <w:r>
          <w:rPr>
            <w:rStyle w:val="InternetLink"/>
            <w:rFonts w:ascii="times" w:hAnsi="times"/>
            <w:sz w:val="20"/>
          </w:rPr>
          <w:t>Table of Contents</w:t>
        </w:r>
      </w:hyperlink>
    </w:p>
    <w:p>
      <w:pPr>
        <w:pStyle w:val="TextBody"/>
        <w:rPr>
          <w:rFonts w:ascii="times" w:hAnsi="times"/>
          <w:sz w:val="20"/>
        </w:rPr>
      </w:pPr>
      <w:r>
        <w:rPr>
          <w:rFonts w:ascii="times" w:hAnsi="times"/>
          <w:sz w:val="20"/>
        </w:rPr>
        <w:t xml:space="preserve">unless they have been registered or qualified for sale in the applicable state or an exemption from registration or qualification requirements is available and is complied with. </w:t>
      </w:r>
    </w:p>
    <w:p>
      <w:pPr>
        <w:pStyle w:val="TextBody"/>
        <w:rPr/>
      </w:pPr>
      <w:r>
        <w:rPr/>
        <w:t>        </w:t>
      </w:r>
      <w:r>
        <w:rPr>
          <w:rFonts w:ascii="times" w:hAnsi="times"/>
          <w:sz w:val="20"/>
        </w:rPr>
        <w:t xml:space="preserve">In connection with an underwritten offering, we would execute an underwriting agreement with an underwriter or underwriters. Unless otherwise indicated in the revised prospectus or applicable prospectus supplement, such underwriting agreement would provide that the obligations of the underwriter or underwriters are subject to certain conditions precedent and that the underwriter or underwriters with respect to a sale of the covered securities will be obligated to purchase all of the covered securities if any such securities are purchased. We may grant to the underwriter or underwriters an option to purchase additional securities at the public offering price, as may be set forth in the revised prospectus or applicable prospectus supplement. If we grant any such option, the terms of the option will be set forth in the revised prospectus or applicable prospectus supplement. </w:t>
      </w:r>
    </w:p>
    <w:p>
      <w:pPr>
        <w:pStyle w:val="TextBody"/>
        <w:rPr/>
      </w:pPr>
      <w:r>
        <w:rPr/>
        <w:t>        </w:t>
      </w:r>
      <w:r>
        <w:rPr>
          <w:rFonts w:ascii="times" w:hAnsi="times"/>
          <w:sz w:val="20"/>
        </w:rPr>
        <w:t xml:space="preserve">Pursuant to a requirement by the Financial Industry Regulatory Authority, or "FINRA", if more than five percent of the net proceeds of any offering of securities made under this prospectus will be received by any FINRA member participating in the offering or by affiliates or associated persons of such FINRA member or any participating member who otherwise would have a "conflict of interest" under FINRA Rules, the offering will be conducted in accordance with FINRA Rule 5121. </w:t>
      </w:r>
    </w:p>
    <w:p>
      <w:pPr>
        <w:pStyle w:val="TextBody"/>
        <w:rPr/>
      </w:pPr>
      <w:r>
        <w:rPr/>
        <w:t>        </w:t>
      </w:r>
      <w:r>
        <w:rPr>
          <w:rFonts w:ascii="times" w:hAnsi="times"/>
          <w:sz w:val="20"/>
        </w:rPr>
        <w:t xml:space="preserve">Underwriters, agents, brokers or dealers may be entitled, pursuant to relevant agreements entered into with us, to indemnification by us against certain civil liabilities, including liabilities under the Securities Act of 1933, as amended, that may arise from any untrue statement or alleged untrue statement of a material fact, or any omission or alleged omission to state a material fact in this prospectus, any supplement or amendment hereto, or in the registration statement of which this prospectus forms a part, or to contribution with respect to payments which the underwriters, agents, brokers or dealers may be required to make. </w:t>
      </w:r>
    </w:p>
    <w:p>
      <w:pPr>
        <w:pStyle w:val="TextBody"/>
        <w:rPr/>
      </w:pPr>
      <w:r>
        <w:rPr/>
        <w:t>        </w:t>
      </w:r>
      <w:r>
        <w:rPr>
          <w:rFonts w:ascii="times" w:hAnsi="times"/>
          <w:sz w:val="20"/>
        </w:rPr>
        <w:t xml:space="preserve">We will bear all costs relating to all of the securities being registered under the registration statement of which this prospectus is a part. </w:t>
      </w:r>
    </w:p>
    <w:p>
      <w:pPr>
        <w:pStyle w:val="TextBody"/>
        <w:jc w:val="center"/>
        <w:rPr>
          <w:rFonts w:ascii="times" w:hAnsi="times"/>
        </w:rPr>
      </w:pPr>
      <w:bookmarkStart w:id="415" w:name="toc_ek43504_11"/>
      <w:bookmarkStart w:id="416" w:name="ek43504_expenses"/>
      <w:bookmarkEnd w:id="415"/>
      <w:bookmarkEnd w:id="416"/>
      <w:r>
        <w:rPr>
          <w:rFonts w:ascii="times" w:hAnsi="times"/>
          <w:sz w:val="20"/>
        </w:rPr>
        <w:br/>
      </w:r>
      <w:r>
        <w:rPr>
          <w:rFonts w:ascii="times" w:hAnsi="times"/>
          <w:b/>
          <w:sz w:val="20"/>
        </w:rPr>
        <w:t xml:space="preserve">EXPENSES </w:t>
      </w:r>
    </w:p>
    <w:p>
      <w:pPr>
        <w:pStyle w:val="TextBody"/>
        <w:rPr/>
      </w:pPr>
      <w:r>
        <w:rPr/>
        <w:t>        </w:t>
      </w:r>
      <w:r>
        <w:rPr>
          <w:rFonts w:ascii="times" w:hAnsi="times"/>
          <w:sz w:val="20"/>
        </w:rPr>
        <w:t xml:space="preserve">The following are the expenses estimated to be incurred by us in connection with a possible offering of the securities registered under this registration statement. </w:t>
      </w:r>
    </w:p>
    <w:tbl>
      <w:tblPr>
        <w:tblW w:w="5000" w:type="pct"/>
        <w:jc w:val="center"/>
        <w:tblInd w:w="0" w:type="dxa"/>
        <w:tblCellMar>
          <w:top w:w="0" w:type="dxa"/>
          <w:left w:w="0" w:type="dxa"/>
          <w:bottom w:w="0" w:type="dxa"/>
          <w:right w:w="0" w:type="dxa"/>
        </w:tblCellMar>
      </w:tblPr>
      <w:tblGrid>
        <w:gridCol w:w="7964"/>
        <w:gridCol w:w="545"/>
        <w:gridCol w:w="378"/>
        <w:gridCol w:w="772"/>
        <w:gridCol w:w="546"/>
      </w:tblGrid>
      <w:tr>
        <w:trPr/>
        <w:tc>
          <w:tcPr>
            <w:tcW w:w="7964" w:type="dxa"/>
            <w:tcBorders/>
            <w:shd w:fill="auto" w:val="clear"/>
            <w:vAlign w:val="center"/>
          </w:tcPr>
          <w:p>
            <w:pPr>
              <w:pStyle w:val="TableContents"/>
              <w:spacing w:before="0" w:after="283"/>
              <w:rPr>
                <w:sz w:val="4"/>
                <w:szCs w:val="4"/>
              </w:rPr>
            </w:pPr>
            <w:r>
              <w:rPr>
                <w:sz w:val="4"/>
                <w:szCs w:val="4"/>
              </w:rPr>
            </w:r>
          </w:p>
        </w:tc>
        <w:tc>
          <w:tcPr>
            <w:tcW w:w="545" w:type="dxa"/>
            <w:tcBorders/>
            <w:shd w:fill="auto" w:val="clear"/>
            <w:vAlign w:val="center"/>
          </w:tcPr>
          <w:p>
            <w:pPr>
              <w:pStyle w:val="TableContents"/>
              <w:spacing w:before="0" w:after="283"/>
              <w:rPr>
                <w:sz w:val="4"/>
                <w:szCs w:val="4"/>
              </w:rPr>
            </w:pPr>
            <w:r>
              <w:rPr>
                <w:sz w:val="4"/>
                <w:szCs w:val="4"/>
              </w:rPr>
            </w:r>
          </w:p>
        </w:tc>
        <w:tc>
          <w:tcPr>
            <w:tcW w:w="378" w:type="dxa"/>
            <w:tcBorders/>
            <w:shd w:fill="auto" w:val="clear"/>
            <w:vAlign w:val="center"/>
          </w:tcPr>
          <w:p>
            <w:pPr>
              <w:pStyle w:val="TableContents"/>
              <w:spacing w:before="0" w:after="283"/>
              <w:rPr>
                <w:sz w:val="4"/>
                <w:szCs w:val="4"/>
              </w:rPr>
            </w:pPr>
            <w:r>
              <w:rPr>
                <w:sz w:val="4"/>
                <w:szCs w:val="4"/>
              </w:rPr>
            </w:r>
          </w:p>
        </w:tc>
        <w:tc>
          <w:tcPr>
            <w:tcW w:w="772" w:type="dxa"/>
            <w:tcBorders/>
            <w:shd w:fill="auto" w:val="clear"/>
            <w:vAlign w:val="center"/>
          </w:tcPr>
          <w:p>
            <w:pPr>
              <w:pStyle w:val="TableContents"/>
              <w:spacing w:before="0" w:after="283"/>
              <w:rPr>
                <w:sz w:val="4"/>
                <w:szCs w:val="4"/>
              </w:rPr>
            </w:pPr>
            <w:r>
              <w:rPr>
                <w:sz w:val="4"/>
                <w:szCs w:val="4"/>
              </w:rPr>
            </w:r>
          </w:p>
        </w:tc>
        <w:tc>
          <w:tcPr>
            <w:tcW w:w="546" w:type="dxa"/>
            <w:tcBorders/>
            <w:shd w:fill="auto" w:val="clear"/>
            <w:vAlign w:val="center"/>
          </w:tcPr>
          <w:p>
            <w:pPr>
              <w:pStyle w:val="TableContents"/>
              <w:spacing w:before="0" w:after="283"/>
              <w:rPr>
                <w:sz w:val="4"/>
                <w:szCs w:val="4"/>
              </w:rPr>
            </w:pPr>
            <w:r>
              <w:rPr>
                <w:sz w:val="4"/>
                <w:szCs w:val="4"/>
              </w:rPr>
            </w:r>
          </w:p>
        </w:tc>
      </w:tr>
      <w:tr>
        <w:trPr/>
        <w:tc>
          <w:tcPr>
            <w:tcW w:w="7964" w:type="dxa"/>
            <w:tcBorders/>
            <w:shd w:fill="CCEEFF" w:val="clear"/>
            <w:vAlign w:val="bottom"/>
          </w:tcPr>
          <w:p>
            <w:pPr>
              <w:pStyle w:val="TableContents"/>
              <w:spacing w:before="0" w:after="283"/>
              <w:ind w:left="200" w:right="0" w:hanging="200"/>
              <w:rPr>
                <w:rFonts w:ascii="times" w:hAnsi="times"/>
                <w:sz w:val="20"/>
              </w:rPr>
            </w:pPr>
            <w:r>
              <w:rPr>
                <w:rFonts w:ascii="times" w:hAnsi="times"/>
                <w:sz w:val="20"/>
              </w:rPr>
              <w:t>SEC Registration Fee</w:t>
            </w:r>
          </w:p>
        </w:tc>
        <w:tc>
          <w:tcPr>
            <w:tcW w:w="545" w:type="dxa"/>
            <w:tcBorders/>
            <w:shd w:fill="CCEEFF" w:val="clear"/>
            <w:vAlign w:val="bottom"/>
          </w:tcPr>
          <w:p>
            <w:pPr>
              <w:pStyle w:val="TableContents"/>
              <w:spacing w:before="0" w:after="283"/>
              <w:rPr/>
            </w:pPr>
            <w:r>
              <w:rPr/>
              <w:t> </w:t>
            </w:r>
          </w:p>
        </w:tc>
        <w:tc>
          <w:tcPr>
            <w:tcW w:w="378" w:type="dxa"/>
            <w:tcBorders/>
            <w:shd w:fill="CCEEFF" w:val="clear"/>
            <w:vAlign w:val="bottom"/>
          </w:tcPr>
          <w:p>
            <w:pPr>
              <w:pStyle w:val="TableContents"/>
              <w:spacing w:before="0" w:after="283"/>
              <w:rPr>
                <w:rFonts w:ascii="times" w:hAnsi="times"/>
                <w:sz w:val="20"/>
              </w:rPr>
            </w:pPr>
            <w:r>
              <w:rPr>
                <w:rFonts w:ascii="times" w:hAnsi="times"/>
                <w:sz w:val="20"/>
              </w:rPr>
              <w:t>$</w:t>
            </w:r>
          </w:p>
        </w:tc>
        <w:tc>
          <w:tcPr>
            <w:tcW w:w="772" w:type="dxa"/>
            <w:tcBorders/>
            <w:shd w:fill="CCEEFF" w:val="clear"/>
            <w:vAlign w:val="bottom"/>
          </w:tcPr>
          <w:p>
            <w:pPr>
              <w:pStyle w:val="TableContents"/>
              <w:spacing w:before="0" w:after="283"/>
              <w:jc w:val="right"/>
              <w:rPr>
                <w:rFonts w:ascii="times" w:hAnsi="times"/>
                <w:sz w:val="20"/>
              </w:rPr>
            </w:pPr>
            <w:r>
              <w:rPr>
                <w:rFonts w:ascii="times" w:hAnsi="times"/>
                <w:sz w:val="20"/>
              </w:rPr>
              <w:t>0</w:t>
            </w:r>
          </w:p>
        </w:tc>
        <w:tc>
          <w:tcPr>
            <w:tcW w:w="546" w:type="dxa"/>
            <w:tcBorders/>
            <w:shd w:fill="CCEEFF" w:val="clear"/>
            <w:vAlign w:val="bottom"/>
          </w:tcPr>
          <w:p>
            <w:pPr>
              <w:pStyle w:val="TableContents"/>
              <w:spacing w:before="0" w:after="283"/>
              <w:rPr/>
            </w:pPr>
            <w:r>
              <w:rPr/>
              <w:t> </w:t>
            </w:r>
          </w:p>
        </w:tc>
      </w:tr>
      <w:tr>
        <w:trPr/>
        <w:tc>
          <w:tcPr>
            <w:tcW w:w="7964" w:type="dxa"/>
            <w:tcBorders/>
            <w:shd w:fill="FFFFFF" w:val="clear"/>
            <w:vAlign w:val="bottom"/>
          </w:tcPr>
          <w:p>
            <w:pPr>
              <w:pStyle w:val="TableContents"/>
              <w:spacing w:before="0" w:after="283"/>
              <w:ind w:left="200" w:right="0" w:hanging="200"/>
              <w:rPr>
                <w:rFonts w:ascii="times" w:hAnsi="times"/>
                <w:sz w:val="20"/>
              </w:rPr>
            </w:pPr>
            <w:r>
              <w:rPr>
                <w:rFonts w:ascii="times" w:hAnsi="times"/>
                <w:sz w:val="20"/>
              </w:rPr>
              <w:t>Printing</w:t>
            </w:r>
          </w:p>
        </w:tc>
        <w:tc>
          <w:tcPr>
            <w:tcW w:w="545" w:type="dxa"/>
            <w:tcBorders/>
            <w:shd w:fill="FFFFFF" w:val="clear"/>
            <w:vAlign w:val="bottom"/>
          </w:tcPr>
          <w:p>
            <w:pPr>
              <w:pStyle w:val="TableContents"/>
              <w:spacing w:before="0" w:after="283"/>
              <w:rPr/>
            </w:pPr>
            <w:r>
              <w:rPr/>
              <w:t> </w:t>
            </w:r>
          </w:p>
        </w:tc>
        <w:tc>
          <w:tcPr>
            <w:tcW w:w="378" w:type="dxa"/>
            <w:tcBorders/>
            <w:shd w:fill="FFFFFF" w:val="clear"/>
            <w:vAlign w:val="bottom"/>
          </w:tcPr>
          <w:p>
            <w:pPr>
              <w:pStyle w:val="TableContents"/>
              <w:spacing w:before="0" w:after="283"/>
              <w:rPr/>
            </w:pPr>
            <w:r>
              <w:rPr/>
              <w:t> </w:t>
            </w:r>
          </w:p>
        </w:tc>
        <w:tc>
          <w:tcPr>
            <w:tcW w:w="772" w:type="dxa"/>
            <w:tcBorders/>
            <w:shd w:fill="FFFFFF" w:val="clear"/>
            <w:vAlign w:val="bottom"/>
          </w:tcPr>
          <w:p>
            <w:pPr>
              <w:pStyle w:val="TableContents"/>
              <w:spacing w:before="0" w:after="283"/>
              <w:jc w:val="right"/>
              <w:rPr/>
            </w:pPr>
            <w:r>
              <w:rPr/>
              <w:t> </w:t>
            </w:r>
          </w:p>
        </w:tc>
        <w:tc>
          <w:tcPr>
            <w:tcW w:w="546" w:type="dxa"/>
            <w:tcBorders/>
            <w:shd w:fill="FFFFFF" w:val="clear"/>
            <w:vAlign w:val="bottom"/>
          </w:tcPr>
          <w:p>
            <w:pPr>
              <w:pStyle w:val="TableContents"/>
              <w:spacing w:before="0" w:after="283"/>
              <w:rPr>
                <w:rFonts w:ascii="times" w:hAnsi="times"/>
                <w:sz w:val="20"/>
              </w:rPr>
            </w:pPr>
            <w:r>
              <w:rPr>
                <w:rFonts w:ascii="times" w:hAnsi="times"/>
                <w:sz w:val="20"/>
              </w:rPr>
              <w:t>*</w:t>
            </w:r>
          </w:p>
        </w:tc>
      </w:tr>
      <w:tr>
        <w:trPr/>
        <w:tc>
          <w:tcPr>
            <w:tcW w:w="7964" w:type="dxa"/>
            <w:tcBorders/>
            <w:shd w:fill="CCEEFF" w:val="clear"/>
            <w:vAlign w:val="bottom"/>
          </w:tcPr>
          <w:p>
            <w:pPr>
              <w:pStyle w:val="TableContents"/>
              <w:spacing w:before="0" w:after="283"/>
              <w:ind w:left="200" w:right="0" w:hanging="200"/>
              <w:rPr>
                <w:rFonts w:ascii="times" w:hAnsi="times"/>
                <w:sz w:val="20"/>
              </w:rPr>
            </w:pPr>
            <w:r>
              <w:rPr>
                <w:rFonts w:ascii="times" w:hAnsi="times"/>
                <w:sz w:val="20"/>
              </w:rPr>
              <w:t>Legal Fees and Expenses. </w:t>
            </w:r>
          </w:p>
        </w:tc>
        <w:tc>
          <w:tcPr>
            <w:tcW w:w="545" w:type="dxa"/>
            <w:tcBorders/>
            <w:shd w:fill="CCEEFF" w:val="clear"/>
            <w:vAlign w:val="bottom"/>
          </w:tcPr>
          <w:p>
            <w:pPr>
              <w:pStyle w:val="TableContents"/>
              <w:spacing w:before="0" w:after="283"/>
              <w:rPr/>
            </w:pPr>
            <w:r>
              <w:rPr/>
              <w:t> </w:t>
            </w:r>
          </w:p>
        </w:tc>
        <w:tc>
          <w:tcPr>
            <w:tcW w:w="378" w:type="dxa"/>
            <w:tcBorders/>
            <w:shd w:fill="CCEEFF" w:val="clear"/>
            <w:vAlign w:val="bottom"/>
          </w:tcPr>
          <w:p>
            <w:pPr>
              <w:pStyle w:val="TableContents"/>
              <w:spacing w:before="0" w:after="283"/>
              <w:rPr/>
            </w:pPr>
            <w:r>
              <w:rPr/>
              <w:t> </w:t>
            </w:r>
          </w:p>
        </w:tc>
        <w:tc>
          <w:tcPr>
            <w:tcW w:w="772" w:type="dxa"/>
            <w:tcBorders/>
            <w:shd w:fill="CCEEFF" w:val="clear"/>
            <w:vAlign w:val="bottom"/>
          </w:tcPr>
          <w:p>
            <w:pPr>
              <w:pStyle w:val="TableContents"/>
              <w:spacing w:before="0" w:after="283"/>
              <w:jc w:val="right"/>
              <w:rPr/>
            </w:pPr>
            <w:r>
              <w:rPr/>
              <w:t> </w:t>
            </w:r>
          </w:p>
        </w:tc>
        <w:tc>
          <w:tcPr>
            <w:tcW w:w="546" w:type="dxa"/>
            <w:tcBorders/>
            <w:shd w:fill="CCEEFF" w:val="clear"/>
            <w:vAlign w:val="bottom"/>
          </w:tcPr>
          <w:p>
            <w:pPr>
              <w:pStyle w:val="TableContents"/>
              <w:spacing w:before="0" w:after="283"/>
              <w:rPr>
                <w:rFonts w:ascii="times" w:hAnsi="times"/>
                <w:sz w:val="20"/>
              </w:rPr>
            </w:pPr>
            <w:r>
              <w:rPr>
                <w:rFonts w:ascii="times" w:hAnsi="times"/>
                <w:sz w:val="20"/>
              </w:rPr>
              <w:t>*</w:t>
            </w:r>
          </w:p>
        </w:tc>
      </w:tr>
      <w:tr>
        <w:trPr/>
        <w:tc>
          <w:tcPr>
            <w:tcW w:w="7964" w:type="dxa"/>
            <w:tcBorders/>
            <w:shd w:fill="FFFFFF" w:val="clear"/>
            <w:vAlign w:val="bottom"/>
          </w:tcPr>
          <w:p>
            <w:pPr>
              <w:pStyle w:val="TableContents"/>
              <w:spacing w:before="0" w:after="283"/>
              <w:ind w:left="200" w:right="0" w:hanging="200"/>
              <w:rPr>
                <w:rFonts w:ascii="times" w:hAnsi="times"/>
                <w:sz w:val="20"/>
              </w:rPr>
            </w:pPr>
            <w:r>
              <w:rPr>
                <w:rFonts w:ascii="times" w:hAnsi="times"/>
                <w:sz w:val="20"/>
              </w:rPr>
              <w:t>Accountants' Fees and Expenses</w:t>
            </w:r>
          </w:p>
        </w:tc>
        <w:tc>
          <w:tcPr>
            <w:tcW w:w="545" w:type="dxa"/>
            <w:tcBorders/>
            <w:shd w:fill="FFFFFF" w:val="clear"/>
            <w:vAlign w:val="bottom"/>
          </w:tcPr>
          <w:p>
            <w:pPr>
              <w:pStyle w:val="TableContents"/>
              <w:spacing w:before="0" w:after="283"/>
              <w:rPr/>
            </w:pPr>
            <w:r>
              <w:rPr/>
              <w:t> </w:t>
            </w:r>
          </w:p>
        </w:tc>
        <w:tc>
          <w:tcPr>
            <w:tcW w:w="378" w:type="dxa"/>
            <w:tcBorders/>
            <w:shd w:fill="FFFFFF" w:val="clear"/>
            <w:vAlign w:val="bottom"/>
          </w:tcPr>
          <w:p>
            <w:pPr>
              <w:pStyle w:val="TableContents"/>
              <w:spacing w:before="0" w:after="283"/>
              <w:rPr/>
            </w:pPr>
            <w:r>
              <w:rPr/>
              <w:t> </w:t>
            </w:r>
          </w:p>
        </w:tc>
        <w:tc>
          <w:tcPr>
            <w:tcW w:w="772" w:type="dxa"/>
            <w:tcBorders/>
            <w:shd w:fill="FFFFFF" w:val="clear"/>
            <w:vAlign w:val="bottom"/>
          </w:tcPr>
          <w:p>
            <w:pPr>
              <w:pStyle w:val="TableContents"/>
              <w:spacing w:before="0" w:after="283"/>
              <w:jc w:val="right"/>
              <w:rPr/>
            </w:pPr>
            <w:r>
              <w:rPr/>
              <w:t> </w:t>
            </w:r>
          </w:p>
        </w:tc>
        <w:tc>
          <w:tcPr>
            <w:tcW w:w="546" w:type="dxa"/>
            <w:tcBorders/>
            <w:shd w:fill="FFFFFF" w:val="clear"/>
            <w:vAlign w:val="bottom"/>
          </w:tcPr>
          <w:p>
            <w:pPr>
              <w:pStyle w:val="TableContents"/>
              <w:spacing w:before="0" w:after="283"/>
              <w:rPr>
                <w:rFonts w:ascii="times" w:hAnsi="times"/>
                <w:sz w:val="20"/>
              </w:rPr>
            </w:pPr>
            <w:r>
              <w:rPr>
                <w:rFonts w:ascii="times" w:hAnsi="times"/>
                <w:sz w:val="20"/>
              </w:rPr>
              <w:t>*</w:t>
            </w:r>
          </w:p>
        </w:tc>
      </w:tr>
      <w:tr>
        <w:trPr/>
        <w:tc>
          <w:tcPr>
            <w:tcW w:w="7964" w:type="dxa"/>
            <w:tcBorders/>
            <w:shd w:fill="CCEEFF" w:val="clear"/>
            <w:vAlign w:val="bottom"/>
          </w:tcPr>
          <w:p>
            <w:pPr>
              <w:pStyle w:val="TableContents"/>
              <w:spacing w:before="0" w:after="283"/>
              <w:ind w:left="200" w:right="0" w:hanging="200"/>
              <w:rPr>
                <w:rFonts w:ascii="times" w:hAnsi="times"/>
                <w:sz w:val="20"/>
              </w:rPr>
            </w:pPr>
            <w:r>
              <w:rPr>
                <w:rFonts w:ascii="times" w:hAnsi="times"/>
                <w:sz w:val="20"/>
              </w:rPr>
              <w:t>NYSE Fees</w:t>
            </w:r>
          </w:p>
        </w:tc>
        <w:tc>
          <w:tcPr>
            <w:tcW w:w="545" w:type="dxa"/>
            <w:tcBorders/>
            <w:shd w:fill="CCEEFF" w:val="clear"/>
            <w:vAlign w:val="bottom"/>
          </w:tcPr>
          <w:p>
            <w:pPr>
              <w:pStyle w:val="TableContents"/>
              <w:spacing w:before="0" w:after="283"/>
              <w:rPr/>
            </w:pPr>
            <w:r>
              <w:rPr/>
              <w:t> </w:t>
            </w:r>
          </w:p>
        </w:tc>
        <w:tc>
          <w:tcPr>
            <w:tcW w:w="378" w:type="dxa"/>
            <w:tcBorders/>
            <w:shd w:fill="CCEEFF" w:val="clear"/>
            <w:vAlign w:val="bottom"/>
          </w:tcPr>
          <w:p>
            <w:pPr>
              <w:pStyle w:val="TableContents"/>
              <w:spacing w:before="0" w:after="283"/>
              <w:rPr/>
            </w:pPr>
            <w:r>
              <w:rPr/>
              <w:t> </w:t>
            </w:r>
          </w:p>
        </w:tc>
        <w:tc>
          <w:tcPr>
            <w:tcW w:w="772" w:type="dxa"/>
            <w:tcBorders/>
            <w:shd w:fill="CCEEFF" w:val="clear"/>
            <w:vAlign w:val="bottom"/>
          </w:tcPr>
          <w:p>
            <w:pPr>
              <w:pStyle w:val="TableContents"/>
              <w:spacing w:before="0" w:after="283"/>
              <w:jc w:val="right"/>
              <w:rPr/>
            </w:pPr>
            <w:r>
              <w:rPr/>
              <w:t> </w:t>
            </w:r>
          </w:p>
        </w:tc>
        <w:tc>
          <w:tcPr>
            <w:tcW w:w="546" w:type="dxa"/>
            <w:tcBorders/>
            <w:shd w:fill="CCEEFF" w:val="clear"/>
            <w:vAlign w:val="bottom"/>
          </w:tcPr>
          <w:p>
            <w:pPr>
              <w:pStyle w:val="TableContents"/>
              <w:spacing w:before="0" w:after="283"/>
              <w:rPr>
                <w:rFonts w:ascii="times" w:hAnsi="times"/>
                <w:sz w:val="20"/>
              </w:rPr>
            </w:pPr>
            <w:r>
              <w:rPr>
                <w:rFonts w:ascii="times" w:hAnsi="times"/>
                <w:sz w:val="20"/>
              </w:rPr>
              <w:t>*</w:t>
            </w:r>
          </w:p>
        </w:tc>
      </w:tr>
      <w:tr>
        <w:trPr/>
        <w:tc>
          <w:tcPr>
            <w:tcW w:w="7964" w:type="dxa"/>
            <w:tcBorders/>
            <w:shd w:fill="FFFFFF" w:val="clear"/>
            <w:vAlign w:val="bottom"/>
          </w:tcPr>
          <w:p>
            <w:pPr>
              <w:pStyle w:val="TableContents"/>
              <w:spacing w:before="0" w:after="283"/>
              <w:ind w:left="200" w:right="0" w:hanging="200"/>
              <w:rPr>
                <w:rFonts w:ascii="times" w:hAnsi="times"/>
                <w:sz w:val="20"/>
              </w:rPr>
            </w:pPr>
            <w:r>
              <w:rPr>
                <w:rFonts w:ascii="times" w:hAnsi="times"/>
                <w:sz w:val="20"/>
              </w:rPr>
              <w:t>Miscellaneous Costs</w:t>
            </w:r>
          </w:p>
        </w:tc>
        <w:tc>
          <w:tcPr>
            <w:tcW w:w="545" w:type="dxa"/>
            <w:tcBorders/>
            <w:shd w:fill="FFFFFF" w:val="clear"/>
            <w:vAlign w:val="bottom"/>
          </w:tcPr>
          <w:p>
            <w:pPr>
              <w:pStyle w:val="TableContents"/>
              <w:spacing w:before="0" w:after="283"/>
              <w:rPr/>
            </w:pPr>
            <w:r>
              <w:rPr/>
              <w:t> </w:t>
            </w:r>
          </w:p>
        </w:tc>
        <w:tc>
          <w:tcPr>
            <w:tcW w:w="378" w:type="dxa"/>
            <w:tcBorders/>
            <w:shd w:fill="FFFFFF" w:val="clear"/>
            <w:vAlign w:val="bottom"/>
          </w:tcPr>
          <w:p>
            <w:pPr>
              <w:pStyle w:val="TableContents"/>
              <w:spacing w:before="0" w:after="283"/>
              <w:rPr/>
            </w:pPr>
            <w:r>
              <w:rPr/>
              <w:t> </w:t>
            </w:r>
          </w:p>
        </w:tc>
        <w:tc>
          <w:tcPr>
            <w:tcW w:w="772" w:type="dxa"/>
            <w:tcBorders/>
            <w:shd w:fill="FFFFFF" w:val="clear"/>
            <w:vAlign w:val="bottom"/>
          </w:tcPr>
          <w:p>
            <w:pPr>
              <w:pStyle w:val="TableContents"/>
              <w:spacing w:before="0" w:after="283"/>
              <w:jc w:val="right"/>
              <w:rPr/>
            </w:pPr>
            <w:r>
              <w:rPr/>
              <w:t> </w:t>
            </w:r>
          </w:p>
        </w:tc>
        <w:tc>
          <w:tcPr>
            <w:tcW w:w="546" w:type="dxa"/>
            <w:tcBorders/>
            <w:shd w:fill="FFFFFF" w:val="clear"/>
            <w:vAlign w:val="bottom"/>
          </w:tcPr>
          <w:p>
            <w:pPr>
              <w:pStyle w:val="TableContents"/>
              <w:spacing w:before="0" w:after="283"/>
              <w:rPr>
                <w:rFonts w:ascii="times" w:hAnsi="times"/>
                <w:sz w:val="20"/>
              </w:rPr>
            </w:pPr>
            <w:r>
              <w:rPr>
                <w:rFonts w:ascii="times" w:hAnsi="times"/>
                <w:sz w:val="20"/>
              </w:rPr>
              <w:t xml:space="preserve">* </w:t>
            </w:r>
          </w:p>
        </w:tc>
      </w:tr>
      <w:tr>
        <w:trPr/>
        <w:tc>
          <w:tcPr>
            <w:tcW w:w="7964" w:type="dxa"/>
            <w:tcBorders/>
            <w:shd w:fill="FFFFFF" w:val="clear"/>
            <w:vAlign w:val="bottom"/>
          </w:tcPr>
          <w:p>
            <w:pPr>
              <w:pStyle w:val="TableContents"/>
              <w:spacing w:before="0" w:after="283"/>
              <w:rPr/>
            </w:pPr>
            <w:r>
              <w:rPr/>
              <w:t>​</w:t>
            </w:r>
          </w:p>
        </w:tc>
        <w:tc>
          <w:tcPr>
            <w:tcW w:w="545" w:type="dxa"/>
            <w:tcBorders/>
            <w:shd w:fill="FFFFFF" w:val="clear"/>
            <w:vAlign w:val="bottom"/>
          </w:tcPr>
          <w:p>
            <w:pPr>
              <w:pStyle w:val="TableContents"/>
              <w:spacing w:before="0" w:after="283"/>
              <w:rPr/>
            </w:pPr>
            <w:r>
              <w:rPr/>
              <w:t>​</w:t>
            </w:r>
          </w:p>
        </w:tc>
        <w:tc>
          <w:tcPr>
            <w:tcW w:w="378" w:type="dxa"/>
            <w:tcBorders>
              <w:bottom w:val="single" w:sz="8" w:space="0" w:color="000000"/>
            </w:tcBorders>
            <w:shd w:fill="FFFFFF" w:val="clear"/>
            <w:tcMar>
              <w:bottom w:w="28" w:type="dxa"/>
            </w:tcMar>
            <w:vAlign w:val="bottom"/>
          </w:tcPr>
          <w:p>
            <w:pPr>
              <w:pStyle w:val="TableContents"/>
              <w:spacing w:before="0" w:after="283"/>
              <w:rPr/>
            </w:pPr>
            <w:r>
              <w:rPr/>
              <w:t xml:space="preserve">​ </w:t>
            </w:r>
          </w:p>
        </w:tc>
        <w:tc>
          <w:tcPr>
            <w:tcW w:w="772" w:type="dxa"/>
            <w:tcBorders>
              <w:bottom w:val="single" w:sz="8" w:space="0" w:color="000000"/>
            </w:tcBorders>
            <w:shd w:fill="FFFFFF" w:val="clear"/>
            <w:tcMar>
              <w:bottom w:w="28" w:type="dxa"/>
            </w:tcMar>
            <w:vAlign w:val="bottom"/>
          </w:tcPr>
          <w:p>
            <w:pPr>
              <w:pStyle w:val="TableContents"/>
              <w:spacing w:before="0" w:after="283"/>
              <w:jc w:val="right"/>
              <w:rPr/>
            </w:pPr>
            <w:r>
              <w:rPr/>
              <w:t xml:space="preserve">​ </w:t>
            </w:r>
          </w:p>
        </w:tc>
        <w:tc>
          <w:tcPr>
            <w:tcW w:w="546" w:type="dxa"/>
            <w:tcBorders/>
            <w:shd w:fill="FFFFFF" w:val="clear"/>
            <w:vAlign w:val="bottom"/>
          </w:tcPr>
          <w:p>
            <w:pPr>
              <w:pStyle w:val="TableContents"/>
              <w:spacing w:before="0" w:after="283"/>
              <w:rPr/>
            </w:pPr>
            <w:r>
              <w:rPr/>
              <w:t>​</w:t>
            </w:r>
          </w:p>
        </w:tc>
      </w:tr>
      <w:tr>
        <w:trPr/>
        <w:tc>
          <w:tcPr>
            <w:tcW w:w="7964" w:type="dxa"/>
            <w:tcBorders/>
            <w:shd w:fill="CCEEFF" w:val="clear"/>
            <w:vAlign w:val="bottom"/>
          </w:tcPr>
          <w:p>
            <w:pPr>
              <w:pStyle w:val="TableContents"/>
              <w:spacing w:before="0" w:after="283"/>
              <w:ind w:left="200" w:right="0" w:hanging="200"/>
              <w:rPr>
                <w:rFonts w:ascii="times" w:hAnsi="times"/>
                <w:sz w:val="20"/>
              </w:rPr>
            </w:pPr>
            <w:r>
              <w:rPr>
                <w:rFonts w:ascii="times" w:hAnsi="times"/>
                <w:sz w:val="20"/>
              </w:rPr>
              <w:t>Total</w:t>
            </w:r>
          </w:p>
        </w:tc>
        <w:tc>
          <w:tcPr>
            <w:tcW w:w="545" w:type="dxa"/>
            <w:tcBorders/>
            <w:shd w:fill="CCEEFF" w:val="clear"/>
            <w:vAlign w:val="bottom"/>
          </w:tcPr>
          <w:p>
            <w:pPr>
              <w:pStyle w:val="TableContents"/>
              <w:spacing w:before="0" w:after="283"/>
              <w:rPr/>
            </w:pPr>
            <w:r>
              <w:rPr/>
              <w:t> </w:t>
            </w:r>
          </w:p>
        </w:tc>
        <w:tc>
          <w:tcPr>
            <w:tcW w:w="378" w:type="dxa"/>
            <w:tcBorders/>
            <w:shd w:fill="CCEEFF" w:val="clear"/>
            <w:vAlign w:val="bottom"/>
          </w:tcPr>
          <w:p>
            <w:pPr>
              <w:pStyle w:val="TableContents"/>
              <w:spacing w:before="0" w:after="283"/>
              <w:rPr>
                <w:rFonts w:ascii="times" w:hAnsi="times"/>
                <w:sz w:val="20"/>
              </w:rPr>
            </w:pPr>
            <w:r>
              <w:rPr>
                <w:rFonts w:ascii="times" w:hAnsi="times"/>
                <w:sz w:val="20"/>
              </w:rPr>
              <w:t>$</w:t>
            </w:r>
          </w:p>
        </w:tc>
        <w:tc>
          <w:tcPr>
            <w:tcW w:w="772" w:type="dxa"/>
            <w:tcBorders/>
            <w:shd w:fill="CCEEFF" w:val="clear"/>
            <w:vAlign w:val="bottom"/>
          </w:tcPr>
          <w:p>
            <w:pPr>
              <w:pStyle w:val="TableContents"/>
              <w:spacing w:before="0" w:after="283"/>
              <w:jc w:val="right"/>
              <w:rPr/>
            </w:pPr>
            <w:r>
              <w:rPr/>
              <w:t> </w:t>
            </w:r>
          </w:p>
        </w:tc>
        <w:tc>
          <w:tcPr>
            <w:tcW w:w="546" w:type="dxa"/>
            <w:tcBorders/>
            <w:shd w:fill="CCEEFF" w:val="clear"/>
            <w:vAlign w:val="bottom"/>
          </w:tcPr>
          <w:p>
            <w:pPr>
              <w:pStyle w:val="TableContents"/>
              <w:spacing w:before="0" w:after="283"/>
              <w:rPr>
                <w:rFonts w:ascii="times" w:hAnsi="times"/>
                <w:sz w:val="20"/>
              </w:rPr>
            </w:pPr>
            <w:r>
              <w:rPr>
                <w:rFonts w:ascii="times" w:hAnsi="times"/>
                <w:sz w:val="20"/>
              </w:rPr>
              <w:t xml:space="preserve">* </w:t>
            </w:r>
          </w:p>
        </w:tc>
      </w:tr>
      <w:tr>
        <w:trPr/>
        <w:tc>
          <w:tcPr>
            <w:tcW w:w="7964" w:type="dxa"/>
            <w:tcBorders/>
            <w:shd w:fill="FFFFFF" w:val="clear"/>
            <w:vAlign w:val="bottom"/>
          </w:tcPr>
          <w:p>
            <w:pPr>
              <w:pStyle w:val="TableContents"/>
              <w:spacing w:before="0" w:after="283"/>
              <w:rPr/>
            </w:pPr>
            <w:r>
              <w:rPr/>
              <w:t>​</w:t>
            </w:r>
          </w:p>
        </w:tc>
        <w:tc>
          <w:tcPr>
            <w:tcW w:w="545" w:type="dxa"/>
            <w:tcBorders/>
            <w:shd w:fill="FFFFFF" w:val="clear"/>
            <w:vAlign w:val="bottom"/>
          </w:tcPr>
          <w:p>
            <w:pPr>
              <w:pStyle w:val="TableContents"/>
              <w:spacing w:before="0" w:after="283"/>
              <w:rPr/>
            </w:pPr>
            <w:r>
              <w:rPr/>
              <w:t>​</w:t>
            </w:r>
          </w:p>
        </w:tc>
        <w:tc>
          <w:tcPr>
            <w:tcW w:w="378" w:type="dxa"/>
            <w:tcBorders>
              <w:bottom w:val="single" w:sz="8" w:space="0" w:color="000000"/>
            </w:tcBorders>
            <w:shd w:fill="FFFFFF" w:val="clear"/>
            <w:tcMar>
              <w:bottom w:w="28" w:type="dxa"/>
            </w:tcMar>
            <w:vAlign w:val="bottom"/>
          </w:tcPr>
          <w:p>
            <w:pPr>
              <w:pStyle w:val="TableContents"/>
              <w:spacing w:before="0" w:after="283"/>
              <w:rPr/>
            </w:pPr>
            <w:r>
              <w:rPr/>
              <w:t xml:space="preserve">​ </w:t>
            </w:r>
          </w:p>
        </w:tc>
        <w:tc>
          <w:tcPr>
            <w:tcW w:w="772" w:type="dxa"/>
            <w:tcBorders>
              <w:bottom w:val="single" w:sz="8" w:space="0" w:color="000000"/>
            </w:tcBorders>
            <w:shd w:fill="FFFFFF" w:val="clear"/>
            <w:tcMar>
              <w:bottom w:w="28" w:type="dxa"/>
            </w:tcMar>
            <w:vAlign w:val="bottom"/>
          </w:tcPr>
          <w:p>
            <w:pPr>
              <w:pStyle w:val="TableContents"/>
              <w:spacing w:before="0" w:after="283"/>
              <w:jc w:val="right"/>
              <w:rPr/>
            </w:pPr>
            <w:r>
              <w:rPr/>
              <w:t xml:space="preserve">​ </w:t>
            </w:r>
          </w:p>
        </w:tc>
        <w:tc>
          <w:tcPr>
            <w:tcW w:w="546" w:type="dxa"/>
            <w:tcBorders/>
            <w:shd w:fill="FFFFFF" w:val="clear"/>
            <w:vAlign w:val="bottom"/>
          </w:tcPr>
          <w:p>
            <w:pPr>
              <w:pStyle w:val="TableContents"/>
              <w:spacing w:before="0" w:after="283"/>
              <w:rPr/>
            </w:pPr>
            <w:r>
              <w:rPr/>
              <w:t>​</w:t>
            </w:r>
          </w:p>
        </w:tc>
      </w:tr>
      <w:tr>
        <w:trPr/>
        <w:tc>
          <w:tcPr>
            <w:tcW w:w="7964" w:type="dxa"/>
            <w:tcBorders/>
            <w:shd w:fill="FFFFFF" w:val="clear"/>
            <w:vAlign w:val="bottom"/>
          </w:tcPr>
          <w:p>
            <w:pPr>
              <w:pStyle w:val="TableContents"/>
              <w:spacing w:lineRule="atLeast" w:line="141" w:before="0" w:after="283"/>
              <w:rPr/>
            </w:pPr>
            <w:r>
              <w:rPr/>
              <w:t>​</w:t>
            </w:r>
          </w:p>
        </w:tc>
        <w:tc>
          <w:tcPr>
            <w:tcW w:w="545" w:type="dxa"/>
            <w:tcBorders/>
            <w:shd w:fill="FFFFFF" w:val="clear"/>
            <w:vAlign w:val="bottom"/>
          </w:tcPr>
          <w:p>
            <w:pPr>
              <w:pStyle w:val="TableContents"/>
              <w:spacing w:lineRule="atLeast" w:line="141" w:before="0" w:after="283"/>
              <w:rPr/>
            </w:pPr>
            <w:r>
              <w:rPr/>
              <w:t>​</w:t>
            </w:r>
          </w:p>
        </w:tc>
        <w:tc>
          <w:tcPr>
            <w:tcW w:w="378" w:type="dxa"/>
            <w:tcBorders/>
            <w:shd w:fill="FFFFFF" w:val="clear"/>
            <w:vAlign w:val="bottom"/>
          </w:tcPr>
          <w:p>
            <w:pPr>
              <w:pStyle w:val="TableContents"/>
              <w:spacing w:lineRule="atLeast" w:line="141" w:before="0" w:after="283"/>
              <w:rPr/>
            </w:pPr>
            <w:r>
              <w:rPr/>
              <w:t>​</w:t>
            </w:r>
          </w:p>
        </w:tc>
        <w:tc>
          <w:tcPr>
            <w:tcW w:w="772" w:type="dxa"/>
            <w:tcBorders/>
            <w:shd w:fill="FFFFFF" w:val="clear"/>
            <w:vAlign w:val="bottom"/>
          </w:tcPr>
          <w:p>
            <w:pPr>
              <w:pStyle w:val="TableContents"/>
              <w:spacing w:lineRule="atLeast" w:line="141" w:before="0" w:after="283"/>
              <w:jc w:val="right"/>
              <w:rPr/>
            </w:pPr>
            <w:r>
              <w:rPr/>
              <w:t>​</w:t>
            </w:r>
          </w:p>
        </w:tc>
        <w:tc>
          <w:tcPr>
            <w:tcW w:w="546" w:type="dxa"/>
            <w:tcBorders/>
            <w:shd w:fill="FFFFFF" w:val="clear"/>
            <w:vAlign w:val="bottom"/>
          </w:tcPr>
          <w:p>
            <w:pPr>
              <w:pStyle w:val="TableContents"/>
              <w:spacing w:lineRule="atLeast" w:line="141" w:before="0" w:after="283"/>
              <w:rPr/>
            </w:pPr>
            <w:r>
              <w:rPr/>
              <w:t>​</w:t>
            </w:r>
          </w:p>
        </w:tc>
      </w:tr>
      <w:tr>
        <w:trPr/>
        <w:tc>
          <w:tcPr>
            <w:tcW w:w="7964" w:type="dxa"/>
            <w:tcBorders/>
            <w:shd w:fill="FFFFFF" w:val="clear"/>
            <w:vAlign w:val="bottom"/>
          </w:tcPr>
          <w:p>
            <w:pPr>
              <w:pStyle w:val="TableContents"/>
              <w:spacing w:before="0" w:after="283"/>
              <w:rPr/>
            </w:pPr>
            <w:r>
              <w:rPr/>
              <w:t>​</w:t>
            </w:r>
          </w:p>
        </w:tc>
        <w:tc>
          <w:tcPr>
            <w:tcW w:w="545" w:type="dxa"/>
            <w:tcBorders/>
            <w:shd w:fill="FFFFFF" w:val="clear"/>
            <w:vAlign w:val="bottom"/>
          </w:tcPr>
          <w:p>
            <w:pPr>
              <w:pStyle w:val="TableContents"/>
              <w:spacing w:before="0" w:after="283"/>
              <w:rPr/>
            </w:pPr>
            <w:r>
              <w:rPr/>
              <w:t>​</w:t>
            </w:r>
          </w:p>
        </w:tc>
        <w:tc>
          <w:tcPr>
            <w:tcW w:w="378" w:type="dxa"/>
            <w:tcBorders>
              <w:bottom w:val="single" w:sz="8" w:space="0" w:color="000000"/>
            </w:tcBorders>
            <w:shd w:fill="FFFFFF" w:val="clear"/>
            <w:tcMar>
              <w:bottom w:w="28" w:type="dxa"/>
            </w:tcMar>
            <w:vAlign w:val="bottom"/>
          </w:tcPr>
          <w:p>
            <w:pPr>
              <w:pStyle w:val="TableContents"/>
              <w:spacing w:before="0" w:after="283"/>
              <w:rPr/>
            </w:pPr>
            <w:r>
              <w:rPr/>
              <w:t xml:space="preserve">​ </w:t>
            </w:r>
          </w:p>
        </w:tc>
        <w:tc>
          <w:tcPr>
            <w:tcW w:w="772" w:type="dxa"/>
            <w:tcBorders>
              <w:bottom w:val="single" w:sz="8" w:space="0" w:color="000000"/>
            </w:tcBorders>
            <w:shd w:fill="FFFFFF" w:val="clear"/>
            <w:tcMar>
              <w:bottom w:w="28" w:type="dxa"/>
            </w:tcMar>
            <w:vAlign w:val="bottom"/>
          </w:tcPr>
          <w:p>
            <w:pPr>
              <w:pStyle w:val="TableContents"/>
              <w:spacing w:before="0" w:after="283"/>
              <w:jc w:val="right"/>
              <w:rPr/>
            </w:pPr>
            <w:r>
              <w:rPr/>
              <w:t xml:space="preserve">​ </w:t>
            </w:r>
          </w:p>
        </w:tc>
        <w:tc>
          <w:tcPr>
            <w:tcW w:w="546" w:type="dxa"/>
            <w:tcBorders/>
            <w:shd w:fill="FFFFFF" w:val="clear"/>
            <w:vAlign w:val="bottom"/>
          </w:tcPr>
          <w:p>
            <w:pPr>
              <w:pStyle w:val="TableContents"/>
              <w:spacing w:before="0" w:after="283"/>
              <w:rPr/>
            </w:pPr>
            <w:r>
              <w:rPr/>
              <w:t xml:space="preserve">​ </w:t>
            </w:r>
          </w:p>
        </w:tc>
      </w:tr>
    </w:tbl>
    <w:p>
      <w:pPr>
        <w:pStyle w:val="HorizontalLine"/>
        <w:pBdr>
          <w:bottom w:val="single" w:sz="6" w:space="0" w:color="000000"/>
        </w:pBdr>
        <w:ind w:left="0" w:right="7552" w:hanging="0"/>
        <w:rPr/>
      </w:pPr>
      <w:r>
        <w:rPr/>
      </w:r>
    </w:p>
    <w:p>
      <w:pPr>
        <w:pStyle w:val="ListHeading"/>
        <w:spacing w:before="0" w:after="0"/>
        <w:jc w:val="left"/>
        <w:rPr>
          <w:rFonts w:ascii="times" w:hAnsi="times"/>
          <w:sz w:val="20"/>
        </w:rPr>
      </w:pPr>
      <w:r>
        <w:rPr>
          <w:rFonts w:ascii="times" w:hAnsi="times"/>
          <w:sz w:val="20"/>
        </w:rPr>
        <w:t>*</w:t>
      </w:r>
    </w:p>
    <w:p>
      <w:pPr>
        <w:pStyle w:val="ListContents"/>
        <w:spacing w:before="0" w:after="283"/>
        <w:jc w:val="left"/>
        <w:rPr>
          <w:rFonts w:ascii="times" w:hAnsi="times"/>
          <w:sz w:val="20"/>
        </w:rPr>
      </w:pPr>
      <w:r>
        <w:rPr>
          <w:rFonts w:ascii="times" w:hAnsi="times"/>
          <w:sz w:val="20"/>
        </w:rPr>
        <w:t xml:space="preserve">To be provided by a prospectus supplement or as an exhibit to a Report on Form 6-K that is incorporated by reference into this prospectus. </w:t>
      </w:r>
    </w:p>
    <w:p>
      <w:pPr>
        <w:pStyle w:val="TextBody"/>
        <w:jc w:val="center"/>
        <w:rPr>
          <w:rFonts w:ascii="times" w:hAnsi="times"/>
        </w:rPr>
      </w:pPr>
      <w:bookmarkStart w:id="417" w:name="toc_ek43504_12"/>
      <w:bookmarkStart w:id="418" w:name="ek43504_legal_matters"/>
      <w:bookmarkEnd w:id="417"/>
      <w:bookmarkEnd w:id="418"/>
      <w:r>
        <w:rPr>
          <w:rFonts w:ascii="times" w:hAnsi="times"/>
          <w:sz w:val="20"/>
        </w:rPr>
        <w:br/>
      </w:r>
      <w:r>
        <w:rPr>
          <w:rFonts w:ascii="times" w:hAnsi="times"/>
          <w:b/>
          <w:sz w:val="20"/>
        </w:rPr>
        <w:t xml:space="preserve">LEGAL MATTERS </w:t>
      </w:r>
    </w:p>
    <w:p>
      <w:pPr>
        <w:pStyle w:val="TextBody"/>
        <w:rPr/>
      </w:pPr>
      <w:r>
        <w:rPr/>
        <w:t>        </w:t>
      </w:r>
      <w:r>
        <w:rPr>
          <w:rFonts w:ascii="times" w:hAnsi="times"/>
          <w:sz w:val="20"/>
        </w:rPr>
        <w:t xml:space="preserve">The validity of the securities and certain other legal matters, including tax matters, with respect to the laws of the Republic of the Marshall Islands will be passed upon for us by our counsel as to Marshall Islands law, Cozen O'Connor, New York, New York. Certain other legal matters, including tax matters with respect to U.S. law, will be passed upon for us by Cravath, Swaine &amp; Moore LLP, New York, New York. </w:t>
      </w:r>
    </w:p>
    <w:p>
      <w:pPr>
        <w:pStyle w:val="TextBody"/>
        <w:jc w:val="center"/>
        <w:rPr>
          <w:rFonts w:ascii="times" w:hAnsi="times"/>
          <w:sz w:val="20"/>
        </w:rPr>
      </w:pPr>
      <w:r>
        <w:rPr>
          <w:rFonts w:ascii="times" w:hAnsi="times"/>
          <w:sz w:val="20"/>
        </w:rPr>
        <w:t>49</w:t>
      </w:r>
    </w:p>
    <w:p>
      <w:pPr>
        <w:pStyle w:val="HorizontalLine"/>
        <w:pBdr>
          <w:bottom w:val="single" w:sz="20" w:space="0" w:color="808080"/>
        </w:pBdr>
        <w:rPr/>
      </w:pPr>
      <w:r>
        <w:rPr/>
      </w:r>
      <w:r>
        <w:br w:type="page"/>
      </w:r>
    </w:p>
    <w:p>
      <w:pPr>
        <w:pStyle w:val="TextBody"/>
        <w:rPr/>
      </w:pPr>
      <w:hyperlink w:anchor="dg43504a_main_toc">
        <w:bookmarkStart w:id="419" w:name="page_ek43504_1_50"/>
        <w:bookmarkEnd w:id="419"/>
        <w:r>
          <w:rPr>
            <w:rStyle w:val="InternetLink"/>
            <w:rFonts w:ascii="times" w:hAnsi="times"/>
            <w:sz w:val="20"/>
          </w:rPr>
          <w:t>Table of Contents</w:t>
        </w:r>
      </w:hyperlink>
    </w:p>
    <w:p>
      <w:pPr>
        <w:pStyle w:val="TextBody"/>
        <w:jc w:val="center"/>
        <w:rPr>
          <w:rFonts w:ascii="times" w:hAnsi="times"/>
        </w:rPr>
      </w:pPr>
      <w:bookmarkStart w:id="420" w:name="toc_ek43504_13"/>
      <w:bookmarkStart w:id="421" w:name="ek43504_experts"/>
      <w:bookmarkEnd w:id="420"/>
      <w:bookmarkEnd w:id="421"/>
      <w:r>
        <w:rPr>
          <w:rFonts w:ascii="times" w:hAnsi="times"/>
          <w:sz w:val="20"/>
        </w:rPr>
        <w:br/>
      </w:r>
      <w:r>
        <w:rPr>
          <w:rFonts w:ascii="times" w:hAnsi="times"/>
          <w:b/>
          <w:sz w:val="20"/>
        </w:rPr>
        <w:t xml:space="preserve">EXPERTS </w:t>
      </w:r>
    </w:p>
    <w:p>
      <w:pPr>
        <w:pStyle w:val="TextBody"/>
        <w:rPr/>
      </w:pPr>
      <w:r>
        <w:rPr/>
        <w:t>        </w:t>
      </w:r>
      <w:r>
        <w:rPr>
          <w:rFonts w:ascii="times" w:hAnsi="times"/>
          <w:sz w:val="20"/>
        </w:rPr>
        <w:t xml:space="preserve">The financial statements incorporated in this Prospectus by reference from the Partnership's Annual Report on Form 20-F and the effectiveness of GasLog Partners LP's internal control over financial reporting have been audited by Deloitte LLP, an independent registered public accounting firm, as stated in their reports, which are incorporated herein by reference. Such financial statements have been so incorporated in reliance upon the reports of such firm given upon their authority as experts in accounting and auditing. </w:t>
      </w:r>
    </w:p>
    <w:p>
      <w:pPr>
        <w:pStyle w:val="TextBody"/>
        <w:rPr/>
      </w:pPr>
      <w:r>
        <w:rPr/>
        <w:t>        </w:t>
      </w:r>
      <w:r>
        <w:rPr>
          <w:rFonts w:ascii="times" w:hAnsi="times"/>
          <w:sz w:val="20"/>
        </w:rPr>
        <w:t xml:space="preserve">The offices of Deloitte LLP are located at 2 New Street Square, London, EC4A 3BZ, United Kingdom. </w:t>
      </w:r>
    </w:p>
    <w:p>
      <w:pPr>
        <w:pStyle w:val="TextBody"/>
        <w:jc w:val="center"/>
        <w:rPr>
          <w:rFonts w:ascii="times" w:hAnsi="times"/>
          <w:sz w:val="20"/>
        </w:rPr>
      </w:pPr>
      <w:r>
        <w:rPr>
          <w:rFonts w:ascii="times" w:hAnsi="times"/>
          <w:sz w:val="20"/>
        </w:rPr>
        <w:t>50</w:t>
      </w:r>
    </w:p>
    <w:p>
      <w:pPr>
        <w:pStyle w:val="HorizontalLine"/>
        <w:pBdr>
          <w:bottom w:val="single" w:sz="20" w:space="0" w:color="808080"/>
        </w:pBdr>
        <w:rPr/>
      </w:pPr>
      <w:r>
        <w:rPr/>
      </w:r>
      <w:r>
        <w:br w:type="page"/>
      </w:r>
    </w:p>
    <w:p>
      <w:pPr>
        <w:pStyle w:val="TextBody"/>
        <w:rPr/>
      </w:pPr>
      <w:hyperlink w:anchor="bE43504A_main_toc">
        <w:r>
          <w:rPr>
            <w:rStyle w:val="InternetLink"/>
            <w:rFonts w:ascii="times" w:hAnsi="times"/>
            <w:sz w:val="20"/>
          </w:rPr>
          <w:t>Table of Contents</w:t>
        </w:r>
      </w:hyperlink>
      <w:r>
        <w:rPr>
          <w:rFonts w:ascii="times" w:hAnsi="times"/>
          <w:sz w:val="20"/>
        </w:rPr>
        <w:t xml:space="preserve"> </w:t>
      </w:r>
    </w:p>
    <w:p>
      <w:pPr>
        <w:pStyle w:val="TextBody"/>
        <w:rPr/>
      </w:pPr>
      <w:r>
        <w:rPr/>
        <w:t> </w:t>
      </w:r>
    </w:p>
    <w:p>
      <w:pPr>
        <w:pStyle w:val="TextBody"/>
        <w:jc w:val="center"/>
        <w:rPr>
          <w:rFonts w:ascii="times" w:hAnsi="times"/>
          <w:b/>
          <w:sz w:val="24"/>
        </w:rPr>
      </w:pPr>
      <w:r>
        <w:rPr>
          <w:rFonts w:ascii="times" w:hAnsi="times"/>
          <w:b/>
          <w:sz w:val="24"/>
        </w:rPr>
        <w:t xml:space="preserve">$250,000,000 </w:t>
      </w:r>
    </w:p>
    <w:p>
      <w:pPr>
        <w:pStyle w:val="TextBody"/>
        <w:jc w:val="center"/>
        <w:rPr>
          <w:rFonts w:ascii="times" w:hAnsi="times"/>
          <w:b/>
          <w:sz w:val="28"/>
        </w:rPr>
      </w:pPr>
      <w:r>
        <w:rPr>
          <w:rFonts w:ascii="times" w:hAnsi="times"/>
          <w:b/>
          <w:sz w:val="28"/>
        </w:rPr>
        <w:t>GasLog Partners LP</w:t>
        <w:br/>
        <w:t xml:space="preserve">Common Units Representing Limited Partner Interests </w:t>
      </w:r>
    </w:p>
    <w:p>
      <w:pPr>
        <w:pStyle w:val="TextBody"/>
        <w:jc w:val="center"/>
        <w:rPr/>
      </w:pPr>
      <w:r>
        <w:rPr/>
        <w:drawing>
          <wp:inline distT="0" distB="0" distL="0" distR="0">
            <wp:extent cx="1466850" cy="10572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24"/>
                    <a:stretch>
                      <a:fillRect/>
                    </a:stretch>
                  </pic:blipFill>
                  <pic:spPr bwMode="auto">
                    <a:xfrm>
                      <a:off x="0" y="0"/>
                      <a:ext cx="1466850" cy="1057275"/>
                    </a:xfrm>
                    <a:prstGeom prst="rect">
                      <a:avLst/>
                    </a:prstGeom>
                  </pic:spPr>
                </pic:pic>
              </a:graphicData>
            </a:graphic>
          </wp:inline>
        </w:drawing>
      </w:r>
      <w:r>
        <w:rPr/>
        <w:t xml:space="preserve"> </w:t>
      </w:r>
    </w:p>
    <w:p>
      <w:pPr>
        <w:pStyle w:val="HorizontalLine"/>
        <w:pBdr>
          <w:bottom w:val="single" w:sz="6" w:space="0" w:color="000000"/>
        </w:pBdr>
        <w:ind w:left="3521" w:right="3521" w:hanging="0"/>
        <w:rPr/>
      </w:pPr>
      <w:r>
        <w:rPr/>
      </w:r>
    </w:p>
    <w:p>
      <w:pPr>
        <w:pStyle w:val="TextBody"/>
        <w:rPr>
          <w:b/>
          <w:sz w:val="28"/>
        </w:rPr>
      </w:pPr>
      <w:r>
        <w:rPr>
          <w:b/>
          <w:sz w:val="28"/>
        </w:rPr>
      </w:r>
    </w:p>
    <w:p>
      <w:pPr>
        <w:pStyle w:val="TextBody"/>
        <w:jc w:val="center"/>
        <w:rPr>
          <w:rFonts w:ascii="times" w:hAnsi="times"/>
          <w:b/>
          <w:sz w:val="24"/>
        </w:rPr>
      </w:pPr>
      <w:r>
        <w:rPr>
          <w:rFonts w:ascii="times" w:hAnsi="times"/>
          <w:b/>
          <w:sz w:val="24"/>
        </w:rPr>
        <w:t xml:space="preserve">PROSPECTUS SUPPLEMENT </w:t>
      </w:r>
    </w:p>
    <w:p>
      <w:pPr>
        <w:pStyle w:val="TextBody"/>
        <w:jc w:val="center"/>
        <w:rPr>
          <w:rFonts w:ascii="times" w:hAnsi="times"/>
          <w:sz w:val="20"/>
        </w:rPr>
      </w:pPr>
      <w:r>
        <w:rPr>
          <w:rFonts w:ascii="times" w:hAnsi="times"/>
          <w:sz w:val="20"/>
        </w:rPr>
        <w:t xml:space="preserve">March 31, 2021 </w:t>
      </w:r>
    </w:p>
    <w:p>
      <w:pPr>
        <w:pStyle w:val="HorizontalLine"/>
        <w:pBdr>
          <w:bottom w:val="single" w:sz="6" w:space="0" w:color="000000"/>
        </w:pBdr>
        <w:ind w:left="3521" w:right="3521" w:hanging="0"/>
        <w:rPr/>
      </w:pPr>
      <w:r>
        <w:rPr/>
      </w:r>
    </w:p>
    <w:p>
      <w:pPr>
        <w:pStyle w:val="TextBody"/>
        <w:rPr>
          <w:sz w:val="20"/>
        </w:rPr>
      </w:pPr>
      <w:r>
        <w:rPr>
          <w:sz w:val="20"/>
        </w:rPr>
      </w:r>
    </w:p>
    <w:p>
      <w:pPr>
        <w:pStyle w:val="TextBody"/>
        <w:rPr>
          <w:rFonts w:ascii="times" w:hAnsi="times"/>
          <w:b/>
          <w:sz w:val="20"/>
        </w:rPr>
      </w:pPr>
      <w:r>
        <w:rPr>
          <w:rFonts w:ascii="times" w:hAnsi="times"/>
          <w:b/>
          <w:sz w:val="20"/>
        </w:rPr>
        <w:t>Credit Agricole CIB Stifel</w:t>
      </w:r>
    </w:p>
    <w:p>
      <w:pPr>
        <w:pStyle w:val="HorizontalLine"/>
        <w:pBdr>
          <w:bottom w:val="single" w:sz="20" w:space="0" w:color="808080"/>
        </w:pBdr>
        <w:rPr/>
      </w:pPr>
      <w:r>
        <w:rPr/>
      </w:r>
      <w:r>
        <w:br w:type="page"/>
      </w:r>
    </w:p>
    <w:p>
      <w:pPr>
        <w:pStyle w:val="TextBody"/>
        <w:spacing w:before="0" w:after="283"/>
        <w:rPr/>
      </w:pPr>
      <w:r>
        <w:rPr/>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OpenSymbol">
    <w:altName w:val="Arial Unicode MS"/>
    <w:charset w:val="02"/>
    <w:family w:val="auto"/>
    <w:pitch w:val="default"/>
  </w:font>
  <w:font w:name="Liberation Sans">
    <w:altName w:val="Arial"/>
    <w:charset w:val="00"/>
    <w:family w:val="swiss"/>
    <w:pitch w:val="variable"/>
  </w:font>
  <w:font w:name="times">
    <w:altName w:val="Times New Roman"/>
    <w:charset w:val="00"/>
    <w:family w:val="auto"/>
    <w:pitch w:val="default"/>
  </w:font>
  <w:font w:name="Symbol">
    <w:charset w:val="02"/>
    <w:family w:val="auto"/>
    <w:pitch w:val="default"/>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none"/>
      <w:suff w:val="nothing"/>
      <w:lvlText w:val=""/>
      <w:lvlJc w:val="left"/>
      <w:pPr>
        <w:ind w:left="0" w:hanging="0"/>
      </w:pPr>
    </w:lvl>
    <w:lvl w:ilvl="1">
      <w:start w:val="1"/>
      <w:numFmt w:val="none"/>
      <w:suff w:val="nothing"/>
      <w:lvlText w:val=""/>
      <w:lvlJc w:val="left"/>
      <w:pPr>
        <w:ind w:left="0" w:hanging="0"/>
      </w:pPr>
    </w:lvl>
    <w:lvl w:ilvl="2">
      <w:start w:val="1"/>
      <w:numFmt w:val="none"/>
      <w:suff w:val="nothing"/>
      <w:lvlText w:val=""/>
      <w:lvlJc w:val="left"/>
      <w:pPr>
        <w:ind w:left="0" w:hanging="0"/>
      </w:pPr>
    </w:lvl>
    <w:lvl w:ilvl="3">
      <w:start w:val="1"/>
      <w:numFmt w:val="none"/>
      <w:suff w:val="nothing"/>
      <w:lvlText w:val=""/>
      <w:lvlJc w:val="left"/>
      <w:pPr>
        <w:ind w:left="0" w:hanging="0"/>
      </w:pPr>
    </w:lvl>
    <w:lvl w:ilvl="4">
      <w:start w:val="1"/>
      <w:numFmt w:val="none"/>
      <w:suff w:val="nothing"/>
      <w:lvlText w:val=""/>
      <w:lvlJc w:val="left"/>
      <w:pPr>
        <w:ind w:left="0" w:hanging="0"/>
      </w:pPr>
    </w:lvl>
    <w:lvl w:ilvl="5">
      <w:start w:val="1"/>
      <w:numFmt w:val="none"/>
      <w:suff w:val="nothing"/>
      <w:lvlText w:val=""/>
      <w:lvlJc w:val="left"/>
      <w:pPr>
        <w:ind w:left="0" w:hanging="0"/>
      </w:pPr>
    </w:lvl>
    <w:lvl w:ilvl="6">
      <w:start w:val="1"/>
      <w:numFmt w:val="none"/>
      <w:suff w:val="nothing"/>
      <w:lvlText w:val=""/>
      <w:lvlJc w:val="left"/>
      <w:pPr>
        <w:ind w:left="0" w:hanging="0"/>
      </w:pPr>
    </w:lvl>
    <w:lvl w:ilvl="7">
      <w:start w:val="1"/>
      <w:numFmt w:val="none"/>
      <w:suff w:val="nothing"/>
      <w:lvlText w:val=""/>
      <w:lvlJc w:val="left"/>
      <w:pPr>
        <w:ind w:left="0" w:hanging="0"/>
      </w:pPr>
    </w:lvl>
    <w:lvl w:ilvl="8">
      <w:start w:val="1"/>
      <w:numFmt w:val="none"/>
      <w:suff w:val="nothing"/>
      <w:lvlText w:val=""/>
      <w:lvlJc w:val="left"/>
      <w:pPr>
        <w:ind w:left="0" w:hanging="0"/>
      </w:pPr>
    </w:lvl>
  </w:abstractNum>
  <w:abstractNum w:abstractNumId="2">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3">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4">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5">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6">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7">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8">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9">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10">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11">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12">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13">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14">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15">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16">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17">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18">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19">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20">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21">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22">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23">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24">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25">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26">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27">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28">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29">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30">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31">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32">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33">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34">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35">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36">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37">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38">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39">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40">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41">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42">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43">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44">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45">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46">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47">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48">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49">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50">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51">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52">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53">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54">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55">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56">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57">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58">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59">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60">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61">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62">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63">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64">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65">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66">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67">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68">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69">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70">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71">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72">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73">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74">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75">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76">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77">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78">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79">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80">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81">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82">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83">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 w:numId="19">
    <w:abstractNumId w:val="19"/>
  </w:num>
  <w:num w:numId="20">
    <w:abstractNumId w:val="20"/>
  </w:num>
  <w:num w:numId="21">
    <w:abstractNumId w:val="21"/>
  </w:num>
  <w:num w:numId="22">
    <w:abstractNumId w:val="22"/>
  </w:num>
  <w:num w:numId="23">
    <w:abstractNumId w:val="23"/>
  </w:num>
  <w:num w:numId="24">
    <w:abstractNumId w:val="24"/>
  </w:num>
  <w:num w:numId="25">
    <w:abstractNumId w:val="25"/>
  </w:num>
  <w:num w:numId="26">
    <w:abstractNumId w:val="26"/>
  </w:num>
  <w:num w:numId="27">
    <w:abstractNumId w:val="27"/>
  </w:num>
  <w:num w:numId="28">
    <w:abstractNumId w:val="28"/>
  </w:num>
  <w:num w:numId="29">
    <w:abstractNumId w:val="29"/>
  </w:num>
  <w:num w:numId="30">
    <w:abstractNumId w:val="30"/>
  </w:num>
  <w:num w:numId="31">
    <w:abstractNumId w:val="31"/>
  </w:num>
  <w:num w:numId="32">
    <w:abstractNumId w:val="32"/>
  </w:num>
  <w:num w:numId="33">
    <w:abstractNumId w:val="33"/>
  </w:num>
  <w:num w:numId="34">
    <w:abstractNumId w:val="34"/>
  </w:num>
  <w:num w:numId="35">
    <w:abstractNumId w:val="35"/>
  </w:num>
  <w:num w:numId="36">
    <w:abstractNumId w:val="36"/>
  </w:num>
  <w:num w:numId="37">
    <w:abstractNumId w:val="37"/>
  </w:num>
  <w:num w:numId="38">
    <w:abstractNumId w:val="38"/>
  </w:num>
  <w:num w:numId="39">
    <w:abstractNumId w:val="39"/>
  </w:num>
  <w:num w:numId="40">
    <w:abstractNumId w:val="40"/>
  </w:num>
  <w:num w:numId="41">
    <w:abstractNumId w:val="41"/>
  </w:num>
  <w:num w:numId="42">
    <w:abstractNumId w:val="42"/>
  </w:num>
  <w:num w:numId="43">
    <w:abstractNumId w:val="43"/>
  </w:num>
  <w:num w:numId="44">
    <w:abstractNumId w:val="44"/>
  </w:num>
  <w:num w:numId="45">
    <w:abstractNumId w:val="45"/>
  </w:num>
  <w:num w:numId="46">
    <w:abstractNumId w:val="46"/>
  </w:num>
  <w:num w:numId="47">
    <w:abstractNumId w:val="47"/>
  </w:num>
  <w:num w:numId="48">
    <w:abstractNumId w:val="48"/>
  </w:num>
  <w:num w:numId="49">
    <w:abstractNumId w:val="49"/>
  </w:num>
  <w:num w:numId="50">
    <w:abstractNumId w:val="50"/>
  </w:num>
  <w:num w:numId="51">
    <w:abstractNumId w:val="51"/>
  </w:num>
  <w:num w:numId="52">
    <w:abstractNumId w:val="52"/>
  </w:num>
  <w:num w:numId="53">
    <w:abstractNumId w:val="53"/>
  </w:num>
  <w:num w:numId="54">
    <w:abstractNumId w:val="54"/>
  </w:num>
  <w:num w:numId="55">
    <w:abstractNumId w:val="55"/>
  </w:num>
  <w:num w:numId="56">
    <w:abstractNumId w:val="56"/>
  </w:num>
  <w:num w:numId="57">
    <w:abstractNumId w:val="57"/>
  </w:num>
  <w:num w:numId="58">
    <w:abstractNumId w:val="58"/>
  </w:num>
  <w:num w:numId="59">
    <w:abstractNumId w:val="59"/>
  </w:num>
  <w:num w:numId="60">
    <w:abstractNumId w:val="60"/>
  </w:num>
  <w:num w:numId="61">
    <w:abstractNumId w:val="61"/>
  </w:num>
  <w:num w:numId="62">
    <w:abstractNumId w:val="62"/>
  </w:num>
  <w:num w:numId="63">
    <w:abstractNumId w:val="63"/>
  </w:num>
  <w:num w:numId="64">
    <w:abstractNumId w:val="64"/>
  </w:num>
  <w:num w:numId="65">
    <w:abstractNumId w:val="65"/>
  </w:num>
  <w:num w:numId="66">
    <w:abstractNumId w:val="66"/>
  </w:num>
  <w:num w:numId="67">
    <w:abstractNumId w:val="67"/>
  </w:num>
  <w:num w:numId="68">
    <w:abstractNumId w:val="68"/>
  </w:num>
  <w:num w:numId="69">
    <w:abstractNumId w:val="69"/>
  </w:num>
  <w:num w:numId="70">
    <w:abstractNumId w:val="70"/>
  </w:num>
  <w:num w:numId="71">
    <w:abstractNumId w:val="71"/>
  </w:num>
  <w:num w:numId="72">
    <w:abstractNumId w:val="72"/>
  </w:num>
  <w:num w:numId="73">
    <w:abstractNumId w:val="73"/>
  </w:num>
  <w:num w:numId="74">
    <w:abstractNumId w:val="74"/>
  </w:num>
  <w:num w:numId="75">
    <w:abstractNumId w:val="75"/>
  </w:num>
  <w:num w:numId="76">
    <w:abstractNumId w:val="76"/>
  </w:num>
  <w:num w:numId="77">
    <w:abstractNumId w:val="77"/>
  </w:num>
  <w:num w:numId="78">
    <w:abstractNumId w:val="78"/>
  </w:num>
  <w:num w:numId="79">
    <w:abstractNumId w:val="79"/>
  </w:num>
  <w:num w:numId="80">
    <w:abstractNumId w:val="80"/>
  </w:num>
  <w:num w:numId="81">
    <w:abstractNumId w:val="81"/>
  </w:num>
  <w:num w:numId="82">
    <w:abstractNumId w:val="82"/>
  </w:num>
  <w:num w:numId="83">
    <w:abstractNumId w:val="83"/>
  </w:num>
</w:numbering>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WenQuanYi Zen Hei Sharp"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WenQuanYi Zen Hei Sharp"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character" w:styleId="Bullets">
    <w:name w:val="Bullets"/>
    <w:qFormat/>
    <w:rPr>
      <w:rFonts w:ascii="OpenSymbol" w:hAnsi="OpenSymbol" w:eastAsia="OpenSymbol" w:cs="OpenSymbol"/>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 w:type="paragraph" w:styleId="ListHeading">
    <w:name w:val="List Heading"/>
    <w:basedOn w:val="Normal"/>
    <w:next w:val="ListContents"/>
    <w:qFormat/>
    <w:pPr>
      <w:ind w:left="0" w:right="0" w:hanging="0"/>
    </w:pPr>
    <w:rPr/>
  </w:style>
  <w:style w:type="paragraph" w:styleId="ListContents">
    <w:name w:val="List Contents"/>
    <w:basedOn w:val="Normal"/>
    <w:qFormat/>
    <w:pPr>
      <w:ind w:left="567" w:right="0" w:hanging="0"/>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hyperlink" Target="http://www.sec.gov/Archives/edgar/data/1598655/000104746921000482/a2242951z20-f.htm" TargetMode="External"/><Relationship Id="rId6" Type="http://schemas.openxmlformats.org/officeDocument/2006/relationships/hyperlink" Target="http://www.sec.gov/Archives/edgar/data/1598655/000110465920057702/a20-18699_2ex99d2.htm" TargetMode="External"/><Relationship Id="rId7" Type="http://schemas.openxmlformats.org/officeDocument/2006/relationships/hyperlink" Target="http://www.sec.gov/Archives/edgar/data/1598655/000110465920090543/a20-22824_1ex99d2.htm" TargetMode="External"/><Relationship Id="rId8" Type="http://schemas.openxmlformats.org/officeDocument/2006/relationships/hyperlink" Target="http://www.sec.gov/Archives/edgar/data/1598655/000104746920001174/a2240809z20-f.htm" TargetMode="External"/><Relationship Id="rId9" Type="http://schemas.openxmlformats.org/officeDocument/2006/relationships/hyperlink" Target="http://www.sec.gov/Archives/edgar/data/1598655/000110465920069837/a20-21809_120fa.htm" TargetMode="External"/><Relationship Id="rId10" Type="http://schemas.openxmlformats.org/officeDocument/2006/relationships/hyperlink" Target="http://www.sec.gov/Archives/edgar/data/1598655/000110465920011598/a20-6860_16k.htm" TargetMode="External"/><Relationship Id="rId11" Type="http://schemas.openxmlformats.org/officeDocument/2006/relationships/hyperlink" Target="http://www.sec.gov/Archives/edgar/data/1598655/000110465920042150/a20-14719_16k.htm" TargetMode="External"/><Relationship Id="rId12" Type="http://schemas.openxmlformats.org/officeDocument/2006/relationships/hyperlink" Target="http://www.sec.gov/Archives/edgar/data/1598655/000110465920057702/a20-18699_26k.htm" TargetMode="External"/><Relationship Id="rId13" Type="http://schemas.openxmlformats.org/officeDocument/2006/relationships/hyperlink" Target="http://www.sec.gov/Archives/edgar/data/1598655/000110465920057705/a20-18699_36k.htm" TargetMode="External"/><Relationship Id="rId14" Type="http://schemas.openxmlformats.org/officeDocument/2006/relationships/hyperlink" Target="http://www.sec.gov/Archives/edgar/data/1598655/000110465920061653/a20-19548_16k.htm" TargetMode="External"/><Relationship Id="rId15" Type="http://schemas.openxmlformats.org/officeDocument/2006/relationships/hyperlink" Target="http://www.sec.gov/Archives/edgar/data/1598655/000110465920062033/a20-19548_26k.htm" TargetMode="External"/><Relationship Id="rId16" Type="http://schemas.openxmlformats.org/officeDocument/2006/relationships/hyperlink" Target="http://www.sec.gov/Archives/edgar/data/1598655/000110465920080587/a20-23919_16k.htm" TargetMode="External"/><Relationship Id="rId17" Type="http://schemas.openxmlformats.org/officeDocument/2006/relationships/hyperlink" Target="http://www.sec.gov/Archives/edgar/data/1598655/000110465920090543/a20-22824_16k.htm" TargetMode="External"/><Relationship Id="rId18" Type="http://schemas.openxmlformats.org/officeDocument/2006/relationships/hyperlink" Target="http://www.sec.gov/Archives/edgar/data/1598655/000110465920090545/a20-22824_36k.htm" TargetMode="External"/><Relationship Id="rId19" Type="http://schemas.openxmlformats.org/officeDocument/2006/relationships/hyperlink" Target="http://www.sec.gov/Archives/edgar/data/1598655/000110465920090547/a20-22824_46k.htm" TargetMode="External"/><Relationship Id="rId20" Type="http://schemas.openxmlformats.org/officeDocument/2006/relationships/hyperlink" Target="http://www.sec.gov/Archives/edgar/data/1598655/000095015714000423/form8-a12b.htm" TargetMode="External"/><Relationship Id="rId21" Type="http://schemas.openxmlformats.org/officeDocument/2006/relationships/hyperlink" Target="http://www.sec.gov/Archives/edgar/data/1598655/000093041317002125/c88400_8a12b.htm" TargetMode="External"/><Relationship Id="rId22" Type="http://schemas.openxmlformats.org/officeDocument/2006/relationships/hyperlink" Target="http://www.sec.gov/Archives/edgar/data/1598655/000110465918002626/a18-2138_78a12b.htm" TargetMode="External"/><Relationship Id="rId23" Type="http://schemas.openxmlformats.org/officeDocument/2006/relationships/hyperlink" Target="http://www.sec.gov/Archives/edgar/data/1598655/000110465918068776/a18-39522_88a12b.htm" TargetMode="External"/><Relationship Id="rId24" Type="http://schemas.openxmlformats.org/officeDocument/2006/relationships/image" Target="media/image4.jpeg"/><Relationship Id="rId25" Type="http://schemas.openxmlformats.org/officeDocument/2006/relationships/numbering" Target="numbering.xml"/><Relationship Id="rId26" Type="http://schemas.openxmlformats.org/officeDocument/2006/relationships/fontTable" Target="fontTable.xml"/><Relationship Id="rId2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123</Pages>
  <Words>58657</Words>
  <CharactersWithSpaces>362953</CharactersWithSpaces>
  <Paragraphs>7770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