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Form 6-K</w:t>
            </w:r>
          </w:p>
        </w:tc>
        <w:tc>
          <w:tcPr>
            <w:tcW w:w="700" w:type="dxa"/>
            <w:vAlign w:val="bottom"/>
          </w:tcPr>
          <w:p>
            <w:pPr>
              <w:spacing w:after="0"/>
              <w:rPr>
                <w:sz w:val="20"/>
                <w:szCs w:val="20"/>
                <w:color w:val="auto"/>
              </w:rPr>
            </w:pPr>
          </w:p>
        </w:tc>
      </w:tr>
      <w:tr>
        <w:trPr>
          <w:trHeight w:val="414"/>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00" w:type="dxa"/>
            <w:vAlign w:val="bottom"/>
          </w:tcPr>
          <w:p>
            <w:pPr>
              <w:spacing w:after="0"/>
              <w:rPr>
                <w:sz w:val="24"/>
                <w:szCs w:val="24"/>
                <w:color w:val="auto"/>
              </w:rPr>
            </w:pPr>
          </w:p>
        </w:tc>
      </w:t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EXCHANGE ACT OF 1934</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700" w:type="dxa"/>
            <w:vAlign w:val="bottom"/>
          </w:tcPr>
          <w:p>
            <w:pPr>
              <w:spacing w:after="0"/>
              <w:rPr>
                <w:sz w:val="24"/>
                <w:szCs w:val="24"/>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700" w:type="dxa"/>
            <w:vAlign w:val="bottom"/>
          </w:tcPr>
          <w:p>
            <w:pPr>
              <w:spacing w:after="0"/>
              <w:rPr>
                <w:sz w:val="24"/>
                <w:szCs w:val="24"/>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GasLog Partners LP</w:t>
            </w:r>
          </w:p>
        </w:tc>
        <w:tc>
          <w:tcPr>
            <w:tcW w:w="700" w:type="dxa"/>
            <w:vAlign w:val="bottom"/>
          </w:tcPr>
          <w:p>
            <w:pPr>
              <w:spacing w:after="0"/>
              <w:rPr>
                <w:sz w:val="24"/>
                <w:szCs w:val="24"/>
                <w:color w:val="auto"/>
              </w:rPr>
            </w:pPr>
          </w:p>
        </w:tc>
      </w:tr>
      <w:tr>
        <w:trPr>
          <w:trHeight w:val="230"/>
        </w:trPr>
        <w:tc>
          <w:tcPr>
            <w:tcW w:w="10760" w:type="dxa"/>
            <w:vAlign w:val="bottom"/>
          </w:tcPr>
          <w:p>
            <w:pPr>
              <w:jc w:val="center"/>
              <w:ind w:left="590"/>
              <w:spacing w:after="0"/>
              <w:rPr>
                <w:sz w:val="20"/>
                <w:szCs w:val="20"/>
                <w:color w:val="auto"/>
              </w:rPr>
            </w:pPr>
            <w:r>
              <w:rPr>
                <w:rFonts w:ascii="Arial" w:cs="Arial" w:eastAsia="Arial" w:hAnsi="Arial"/>
                <w:sz w:val="18"/>
                <w:szCs w:val="18"/>
                <w:color w:val="auto"/>
                <w:w w:val="91"/>
              </w:rPr>
              <w:t>(Translation of registrant’s name into English)</w:t>
            </w:r>
          </w:p>
        </w:tc>
        <w:tc>
          <w:tcPr>
            <w:tcW w:w="700" w:type="dxa"/>
            <w:vAlign w:val="bottom"/>
          </w:tcPr>
          <w:p>
            <w:pPr>
              <w:spacing w:after="0"/>
              <w:rPr>
                <w:sz w:val="20"/>
                <w:szCs w:val="20"/>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Gildo Pastor Center</w:t>
            </w:r>
          </w:p>
        </w:tc>
        <w:tc>
          <w:tcPr>
            <w:tcW w:w="700" w:type="dxa"/>
            <w:vAlign w:val="bottom"/>
          </w:tcPr>
          <w:p>
            <w:pPr>
              <w:spacing w:after="0"/>
              <w:rPr>
                <w:sz w:val="24"/>
                <w:szCs w:val="24"/>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7 Rue du Gabian</w:t>
            </w:r>
          </w:p>
        </w:tc>
        <w:tc>
          <w:tcPr>
            <w:tcW w:w="700" w:type="dxa"/>
            <w:vAlign w:val="bottom"/>
          </w:tcPr>
          <w:p>
            <w:pPr>
              <w:spacing w:after="0"/>
              <w:rPr>
                <w:sz w:val="18"/>
                <w:szCs w:val="18"/>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MC 98000, Monaco</w:t>
            </w:r>
          </w:p>
        </w:tc>
        <w:tc>
          <w:tcPr>
            <w:tcW w:w="700" w:type="dxa"/>
            <w:vAlign w:val="bottom"/>
          </w:tcPr>
          <w:p>
            <w:pPr>
              <w:spacing w:after="0"/>
              <w:rPr>
                <w:sz w:val="18"/>
                <w:szCs w:val="18"/>
                <w:color w:val="auto"/>
              </w:rPr>
            </w:pPr>
          </w:p>
        </w:tc>
      </w:tr>
      <w:tr>
        <w:trPr>
          <w:trHeight w:val="230"/>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00" w:type="dxa"/>
            <w:vAlign w:val="bottom"/>
          </w:tcPr>
          <w:p>
            <w:pPr>
              <w:spacing w:after="0"/>
              <w:rPr>
                <w:sz w:val="24"/>
                <w:szCs w:val="24"/>
                <w:color w:val="auto"/>
              </w:rPr>
            </w:pPr>
          </w:p>
        </w:tc>
      </w:tr>
      <w:tr>
        <w:trPr>
          <w:trHeight w:val="452"/>
        </w:trPr>
        <w:tc>
          <w:tcPr>
            <w:tcW w:w="10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00" w:type="dxa"/>
            <w:vAlign w:val="bottom"/>
          </w:tcPr>
          <w:p>
            <w:pPr>
              <w:spacing w:after="0"/>
              <w:rPr>
                <w:sz w:val="24"/>
                <w:szCs w:val="24"/>
                <w:color w:val="auto"/>
              </w:rPr>
            </w:pPr>
          </w:p>
        </w:tc>
      </w:tr>
      <w:tr>
        <w:trPr>
          <w:trHeight w:val="41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348"/>
        </w:trPr>
        <w:tc>
          <w:tcPr>
            <w:tcW w:w="10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right="40" w:firstLine="376"/>
        <w:spacing w:after="0" w:line="257" w:lineRule="auto"/>
        <w:rPr>
          <w:sz w:val="20"/>
          <w:szCs w:val="20"/>
          <w:color w:val="auto"/>
        </w:rPr>
      </w:pPr>
      <w:r>
        <w:rPr>
          <w:rFonts w:ascii="Arial" w:cs="Arial" w:eastAsia="Arial" w:hAnsi="Arial"/>
          <w:sz w:val="18"/>
          <w:szCs w:val="18"/>
          <w:color w:val="auto"/>
        </w:rPr>
        <w:t>Exhibits 3.2 and 10.1 to this Report on Form 6-K shall be incorporated by reference into our registration statement on Form F-3, as declared effective by the Securities and Exchange Commission on October 10, 2017 (Registration No. 333-220736),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spacing w:after="0"/>
              <w:rPr>
                <w:sz w:val="17"/>
                <w:szCs w:val="17"/>
                <w:color w:val="auto"/>
              </w:rPr>
            </w:pPr>
          </w:p>
        </w:tc>
        <w:tc>
          <w:tcPr>
            <w:tcW w:w="10620" w:type="dxa"/>
            <w:vAlign w:val="bottom"/>
          </w:tcPr>
          <w:p>
            <w:pPr>
              <w:ind w:left="4360"/>
              <w:spacing w:after="0"/>
              <w:rPr>
                <w:sz w:val="20"/>
                <w:szCs w:val="20"/>
                <w:color w:val="auto"/>
              </w:rPr>
            </w:pPr>
            <w:r>
              <w:rPr>
                <w:rFonts w:ascii="Arial" w:cs="Arial" w:eastAsia="Arial" w:hAnsi="Arial"/>
                <w:sz w:val="16"/>
                <w:szCs w:val="16"/>
                <w:color w:val="auto"/>
              </w:rPr>
              <w:t>EXHIBIT LIST</w:t>
            </w: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10620" w:type="dxa"/>
            <w:vAlign w:val="bottom"/>
          </w:tcPr>
          <w:p>
            <w:pPr>
              <w:ind w:left="320"/>
              <w:spacing w:after="0"/>
              <w:rPr>
                <w:sz w:val="20"/>
                <w:szCs w:val="20"/>
                <w:color w:val="auto"/>
              </w:rPr>
            </w:pPr>
            <w:r>
              <w:rPr>
                <w:rFonts w:ascii="Arial" w:cs="Arial" w:eastAsia="Arial" w:hAnsi="Arial"/>
                <w:sz w:val="18"/>
                <w:szCs w:val="18"/>
                <w:color w:val="auto"/>
              </w:rPr>
              <w:t>Description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620" w:type="dxa"/>
            <w:vAlign w:val="bottom"/>
          </w:tcPr>
          <w:p>
            <w:pPr>
              <w:ind w:left="320"/>
              <w:spacing w:after="0"/>
              <w:rPr>
                <w:sz w:val="20"/>
                <w:szCs w:val="20"/>
                <w:color w:val="auto"/>
              </w:rPr>
            </w:pPr>
            <w:r>
              <w:rPr>
                <w:rFonts w:ascii="Arial" w:cs="Arial" w:eastAsia="Arial" w:hAnsi="Arial"/>
                <w:sz w:val="18"/>
                <w:szCs w:val="18"/>
                <w:color w:val="auto"/>
              </w:rPr>
              <w:t>Fifth Amended and Restated Agreement of Limited Partnership of GasLog Partners LP</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20"/>
              <w:spacing w:after="0"/>
              <w:rPr>
                <w:sz w:val="20"/>
                <w:szCs w:val="20"/>
                <w:color w:val="auto"/>
              </w:rPr>
            </w:pPr>
            <w:r>
              <w:rPr>
                <w:rFonts w:ascii="Arial" w:cs="Arial" w:eastAsia="Arial" w:hAnsi="Arial"/>
                <w:sz w:val="18"/>
                <w:szCs w:val="18"/>
                <w:color w:val="auto"/>
              </w:rPr>
              <w:t>Exchange Agreement by and among GasLog Partners LP, GasLog Partners GP LLC and GasLog Ltd. dated November 27, 2018</w:t>
            </w:r>
          </w:p>
        </w:tc>
      </w:tr>
      <w:tr>
        <w:trPr>
          <w:trHeight w:val="348"/>
        </w:trPr>
        <w:tc>
          <w:tcPr>
            <w:tcW w:w="840" w:type="dxa"/>
            <w:vAlign w:val="bottom"/>
            <w:tcBorders>
              <w:bottom w:val="single" w:sz="8" w:color="808080"/>
            </w:tcBorders>
          </w:tcPr>
          <w:p>
            <w:pPr>
              <w:spacing w:after="0"/>
              <w:rPr>
                <w:sz w:val="24"/>
                <w:szCs w:val="24"/>
                <w:color w:val="auto"/>
              </w:rPr>
            </w:pPr>
          </w:p>
        </w:tc>
        <w:tc>
          <w:tcPr>
            <w:tcW w:w="10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2018</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9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64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2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449580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FIFTH AMENDED AND RESTATED</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AGREEMENT OF LIMITED PARTNERSHIP</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2480945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2498090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2710180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660" w:type="dxa"/>
            <w:vAlign w:val="bottom"/>
          </w:tcPr>
          <w:p>
            <w:pPr>
              <w:spacing w:after="0"/>
              <w:rPr>
                <w:sz w:val="24"/>
                <w:szCs w:val="24"/>
                <w:color w:val="auto"/>
              </w:rPr>
            </w:pPr>
          </w:p>
        </w:tc>
        <w:tc>
          <w:tcPr>
            <w:tcW w:w="8880" w:type="dxa"/>
            <w:vAlign w:val="bottom"/>
          </w:tcPr>
          <w:p>
            <w:pPr>
              <w:ind w:left="2900"/>
              <w:spacing w:after="0"/>
              <w:rPr>
                <w:sz w:val="20"/>
                <w:szCs w:val="20"/>
                <w:color w:val="auto"/>
              </w:rPr>
            </w:pPr>
            <w:r>
              <w:rPr>
                <w:rFonts w:ascii="Arial" w:cs="Arial" w:eastAsia="Arial" w:hAnsi="Arial"/>
                <w:sz w:val="22"/>
                <w:szCs w:val="22"/>
                <w:b w:val="1"/>
                <w:bCs w:val="1"/>
                <w:color w:val="auto"/>
              </w:rPr>
              <w:t>TABLE OF CONTENTS</w:t>
            </w:r>
          </w:p>
        </w:tc>
        <w:tc>
          <w:tcPr>
            <w:tcW w:w="920" w:type="dxa"/>
            <w:vAlign w:val="bottom"/>
          </w:tcPr>
          <w:p>
            <w:pPr>
              <w:spacing w:after="0"/>
              <w:rPr>
                <w:sz w:val="24"/>
                <w:szCs w:val="24"/>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ARTICLE I</w:t>
            </w:r>
          </w:p>
        </w:tc>
        <w:tc>
          <w:tcPr>
            <w:tcW w:w="8880" w:type="dxa"/>
            <w:vAlign w:val="bottom"/>
          </w:tcPr>
          <w:p>
            <w:pPr>
              <w:ind w:left="320"/>
              <w:spacing w:after="0"/>
              <w:rPr>
                <w:sz w:val="20"/>
                <w:szCs w:val="20"/>
                <w:color w:val="auto"/>
              </w:rPr>
            </w:pPr>
            <w:r>
              <w:rPr>
                <w:rFonts w:ascii="Arial" w:cs="Arial" w:eastAsia="Arial" w:hAnsi="Arial"/>
                <w:sz w:val="22"/>
                <w:szCs w:val="22"/>
                <w:color w:val="auto"/>
              </w:rPr>
              <w:t>DEFINITIONS AND CONSTRUCTION</w:t>
            </w:r>
          </w:p>
        </w:tc>
        <w:tc>
          <w:tcPr>
            <w:tcW w:w="9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1.1.</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Definitions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75"/>
        </w:trPr>
        <w:tc>
          <w:tcPr>
            <w:tcW w:w="1660" w:type="dxa"/>
            <w:vAlign w:val="bottom"/>
          </w:tcPr>
          <w:p>
            <w:pPr>
              <w:ind w:left="340"/>
              <w:spacing w:after="0"/>
              <w:rPr>
                <w:sz w:val="20"/>
                <w:szCs w:val="20"/>
                <w:color w:val="auto"/>
              </w:rPr>
            </w:pPr>
            <w:r>
              <w:rPr>
                <w:rFonts w:ascii="Arial" w:cs="Arial" w:eastAsia="Arial" w:hAnsi="Arial"/>
                <w:sz w:val="22"/>
                <w:szCs w:val="22"/>
                <w:color w:val="auto"/>
              </w:rPr>
              <w:t>Section 1.2.</w:t>
            </w:r>
          </w:p>
        </w:tc>
        <w:tc>
          <w:tcPr>
            <w:tcW w:w="8880" w:type="dxa"/>
            <w:vAlign w:val="bottom"/>
          </w:tcPr>
          <w:p>
            <w:pPr>
              <w:ind w:left="320"/>
              <w:spacing w:after="0"/>
              <w:rPr>
                <w:sz w:val="20"/>
                <w:szCs w:val="20"/>
                <w:color w:val="auto"/>
              </w:rPr>
            </w:pPr>
            <w:r>
              <w:rPr>
                <w:rFonts w:ascii="Arial" w:cs="Arial" w:eastAsia="Arial" w:hAnsi="Arial"/>
                <w:sz w:val="22"/>
                <w:szCs w:val="22"/>
                <w:color w:val="auto"/>
              </w:rPr>
              <w:t>Construction</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II</w:t>
            </w:r>
          </w:p>
        </w:tc>
        <w:tc>
          <w:tcPr>
            <w:tcW w:w="8880" w:type="dxa"/>
            <w:vAlign w:val="bottom"/>
          </w:tcPr>
          <w:p>
            <w:pPr>
              <w:ind w:left="320"/>
              <w:spacing w:after="0"/>
              <w:rPr>
                <w:sz w:val="20"/>
                <w:szCs w:val="20"/>
                <w:color w:val="auto"/>
              </w:rPr>
            </w:pPr>
            <w:r>
              <w:rPr>
                <w:rFonts w:ascii="Arial" w:cs="Arial" w:eastAsia="Arial" w:hAnsi="Arial"/>
                <w:sz w:val="22"/>
                <w:szCs w:val="22"/>
                <w:color w:val="auto"/>
              </w:rPr>
              <w:t>ORGANIZATION</w:t>
            </w:r>
          </w:p>
        </w:tc>
        <w:tc>
          <w:tcPr>
            <w:tcW w:w="9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2.1.</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Formation</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2.2.</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Name</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2.3.</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Registered Office; Registered Agent; Principal Office; Other Offices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2.4.</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Purpose and Business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2.5.</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Powers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2.6.</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Term</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5"/>
        </w:trPr>
        <w:tc>
          <w:tcPr>
            <w:tcW w:w="1660" w:type="dxa"/>
            <w:vAlign w:val="bottom"/>
          </w:tcPr>
          <w:p>
            <w:pPr>
              <w:ind w:left="340"/>
              <w:spacing w:after="0"/>
              <w:rPr>
                <w:sz w:val="20"/>
                <w:szCs w:val="20"/>
                <w:color w:val="auto"/>
              </w:rPr>
            </w:pPr>
            <w:r>
              <w:rPr>
                <w:rFonts w:ascii="Arial" w:cs="Arial" w:eastAsia="Arial" w:hAnsi="Arial"/>
                <w:sz w:val="22"/>
                <w:szCs w:val="22"/>
                <w:color w:val="auto"/>
              </w:rPr>
              <w:t>Section 2.7.</w:t>
            </w:r>
          </w:p>
        </w:tc>
        <w:tc>
          <w:tcPr>
            <w:tcW w:w="8880" w:type="dxa"/>
            <w:vAlign w:val="bottom"/>
          </w:tcPr>
          <w:p>
            <w:pPr>
              <w:ind w:left="320"/>
              <w:spacing w:after="0"/>
              <w:rPr>
                <w:sz w:val="20"/>
                <w:szCs w:val="20"/>
                <w:color w:val="auto"/>
              </w:rPr>
            </w:pPr>
            <w:r>
              <w:rPr>
                <w:rFonts w:ascii="Arial" w:cs="Arial" w:eastAsia="Arial" w:hAnsi="Arial"/>
                <w:sz w:val="22"/>
                <w:szCs w:val="22"/>
                <w:color w:val="auto"/>
              </w:rPr>
              <w:t>Title to Partnership Assets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III</w:t>
            </w:r>
          </w:p>
        </w:tc>
        <w:tc>
          <w:tcPr>
            <w:tcW w:w="8880" w:type="dxa"/>
            <w:vAlign w:val="bottom"/>
          </w:tcPr>
          <w:p>
            <w:pPr>
              <w:ind w:left="320"/>
              <w:spacing w:after="0"/>
              <w:rPr>
                <w:sz w:val="20"/>
                <w:szCs w:val="20"/>
                <w:color w:val="auto"/>
              </w:rPr>
            </w:pPr>
            <w:r>
              <w:rPr>
                <w:rFonts w:ascii="Arial" w:cs="Arial" w:eastAsia="Arial" w:hAnsi="Arial"/>
                <w:sz w:val="22"/>
                <w:szCs w:val="22"/>
                <w:color w:val="auto"/>
              </w:rPr>
              <w:t>RIGHTS OF LIMITED PARTNERS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3.1.</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Limitation of Liability</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3.2.</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Management of Business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3.3.</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Outside Activities of the Limited Partners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5"/>
        </w:trPr>
        <w:tc>
          <w:tcPr>
            <w:tcW w:w="1660" w:type="dxa"/>
            <w:vAlign w:val="bottom"/>
          </w:tcPr>
          <w:p>
            <w:pPr>
              <w:ind w:left="340"/>
              <w:spacing w:after="0"/>
              <w:rPr>
                <w:sz w:val="20"/>
                <w:szCs w:val="20"/>
                <w:color w:val="auto"/>
              </w:rPr>
            </w:pPr>
            <w:r>
              <w:rPr>
                <w:rFonts w:ascii="Arial" w:cs="Arial" w:eastAsia="Arial" w:hAnsi="Arial"/>
                <w:sz w:val="22"/>
                <w:szCs w:val="22"/>
                <w:color w:val="auto"/>
              </w:rPr>
              <w:t>Section 3.4.</w:t>
            </w:r>
          </w:p>
        </w:tc>
        <w:tc>
          <w:tcPr>
            <w:tcW w:w="8880" w:type="dxa"/>
            <w:vAlign w:val="bottom"/>
          </w:tcPr>
          <w:p>
            <w:pPr>
              <w:ind w:left="320"/>
              <w:spacing w:after="0"/>
              <w:rPr>
                <w:sz w:val="20"/>
                <w:szCs w:val="20"/>
                <w:color w:val="auto"/>
              </w:rPr>
            </w:pPr>
            <w:r>
              <w:rPr>
                <w:rFonts w:ascii="Arial" w:cs="Arial" w:eastAsia="Arial" w:hAnsi="Arial"/>
                <w:sz w:val="22"/>
                <w:szCs w:val="22"/>
                <w:color w:val="auto"/>
              </w:rPr>
              <w:t>Rights of Limited Partners</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IV</w:t>
            </w:r>
          </w:p>
        </w:tc>
        <w:tc>
          <w:tcPr>
            <w:tcW w:w="8880" w:type="dxa"/>
            <w:vAlign w:val="bottom"/>
          </w:tcPr>
          <w:p>
            <w:pPr>
              <w:ind w:left="320"/>
              <w:spacing w:after="0"/>
              <w:rPr>
                <w:sz w:val="20"/>
                <w:szCs w:val="20"/>
                <w:color w:val="auto"/>
              </w:rPr>
            </w:pPr>
            <w:r>
              <w:rPr>
                <w:rFonts w:ascii="Arial" w:cs="Arial" w:eastAsia="Arial" w:hAnsi="Arial"/>
                <w:sz w:val="22"/>
                <w:szCs w:val="22"/>
                <w:color w:val="auto"/>
              </w:rPr>
              <w:t>CERTIFICATES; RECORD HOLDERS; TRANSFER OF PARTNERSHIP INTERESTS</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4.1.</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Certificates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4.2.</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Mutilated, Destroyed, Lost or Stolen Certificates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4.3.</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Record Holders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4.4.</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Transfer Generally</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4.5.</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Registration and Transfer of Limited Partner Interests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4.6.</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Transfer of the General Partner’s General Partner Interest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4.7.</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Transfer of Incentive Distribution Rights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5"/>
        </w:trPr>
        <w:tc>
          <w:tcPr>
            <w:tcW w:w="1660" w:type="dxa"/>
            <w:vAlign w:val="bottom"/>
          </w:tcPr>
          <w:p>
            <w:pPr>
              <w:ind w:left="340"/>
              <w:spacing w:after="0"/>
              <w:rPr>
                <w:sz w:val="20"/>
                <w:szCs w:val="20"/>
                <w:color w:val="auto"/>
              </w:rPr>
            </w:pPr>
            <w:r>
              <w:rPr>
                <w:rFonts w:ascii="Arial" w:cs="Arial" w:eastAsia="Arial" w:hAnsi="Arial"/>
                <w:sz w:val="22"/>
                <w:szCs w:val="22"/>
                <w:color w:val="auto"/>
              </w:rPr>
              <w:t>Section 4.8.</w:t>
            </w:r>
          </w:p>
        </w:tc>
        <w:tc>
          <w:tcPr>
            <w:tcW w:w="8880" w:type="dxa"/>
            <w:vAlign w:val="bottom"/>
          </w:tcPr>
          <w:p>
            <w:pPr>
              <w:ind w:left="320"/>
              <w:spacing w:after="0"/>
              <w:rPr>
                <w:sz w:val="20"/>
                <w:szCs w:val="20"/>
                <w:color w:val="auto"/>
              </w:rPr>
            </w:pPr>
            <w:r>
              <w:rPr>
                <w:rFonts w:ascii="Arial" w:cs="Arial" w:eastAsia="Arial" w:hAnsi="Arial"/>
                <w:sz w:val="22"/>
                <w:szCs w:val="22"/>
                <w:color w:val="auto"/>
              </w:rPr>
              <w:t>Restrictions on Transfers</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V</w:t>
            </w:r>
          </w:p>
        </w:tc>
        <w:tc>
          <w:tcPr>
            <w:tcW w:w="8880" w:type="dxa"/>
            <w:vAlign w:val="bottom"/>
          </w:tcPr>
          <w:p>
            <w:pPr>
              <w:ind w:left="320"/>
              <w:spacing w:after="0"/>
              <w:rPr>
                <w:sz w:val="20"/>
                <w:szCs w:val="20"/>
                <w:color w:val="auto"/>
              </w:rPr>
            </w:pPr>
            <w:r>
              <w:rPr>
                <w:rFonts w:ascii="Arial" w:cs="Arial" w:eastAsia="Arial" w:hAnsi="Arial"/>
                <w:sz w:val="22"/>
                <w:szCs w:val="22"/>
                <w:color w:val="auto"/>
              </w:rPr>
              <w:t>CAPITAL CONTRIBUTIONS AND ISSUANCE OF PARTNERSHIP INTERESTS</w:t>
            </w:r>
          </w:p>
        </w:tc>
        <w:tc>
          <w:tcPr>
            <w:tcW w:w="9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5.1.</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Contributions Prior to the Closing Date</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5.2.</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w w:val="98"/>
              </w:rPr>
              <w:t>Initial Unit Issuances; Tax Election; Initial Contributors and Redemption of Common Units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5.3.</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Interest and Withdrawal</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5.4.</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Issuances of Additional Partnership Interests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5.5.</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Limitations on Issuance of Additional Partnership Interests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5.6.</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Limited Preemptive Right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5.7.</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Splits and Combinations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660" w:type="dxa"/>
            <w:vAlign w:val="bottom"/>
          </w:tcPr>
          <w:p>
            <w:pPr>
              <w:ind w:left="340"/>
              <w:spacing w:after="0" w:line="243" w:lineRule="exact"/>
              <w:rPr>
                <w:sz w:val="20"/>
                <w:szCs w:val="20"/>
                <w:color w:val="auto"/>
              </w:rPr>
            </w:pPr>
            <w:r>
              <w:rPr>
                <w:rFonts w:ascii="Arial" w:cs="Arial" w:eastAsia="Arial" w:hAnsi="Arial"/>
                <w:sz w:val="22"/>
                <w:szCs w:val="22"/>
                <w:color w:val="auto"/>
              </w:rPr>
              <w:t>Section 5.8.</w:t>
            </w:r>
          </w:p>
        </w:tc>
        <w:tc>
          <w:tcPr>
            <w:tcW w:w="8880" w:type="dxa"/>
            <w:vAlign w:val="bottom"/>
          </w:tcPr>
          <w:p>
            <w:pPr>
              <w:ind w:left="320"/>
              <w:spacing w:after="0" w:line="243" w:lineRule="exact"/>
              <w:rPr>
                <w:sz w:val="20"/>
                <w:szCs w:val="20"/>
                <w:color w:val="auto"/>
              </w:rPr>
            </w:pPr>
            <w:r>
              <w:rPr>
                <w:rFonts w:ascii="Arial" w:cs="Arial" w:eastAsia="Arial" w:hAnsi="Arial"/>
                <w:sz w:val="22"/>
                <w:szCs w:val="22"/>
                <w:color w:val="auto"/>
              </w:rPr>
              <w:t>Fully Paid and Non-Assessable Nature of Limited Partner Interests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75"/>
        </w:trPr>
        <w:tc>
          <w:tcPr>
            <w:tcW w:w="1660" w:type="dxa"/>
            <w:vAlign w:val="bottom"/>
          </w:tcPr>
          <w:p>
            <w:pPr>
              <w:ind w:left="340"/>
              <w:spacing w:after="0"/>
              <w:rPr>
                <w:sz w:val="20"/>
                <w:szCs w:val="20"/>
                <w:color w:val="auto"/>
              </w:rPr>
            </w:pPr>
            <w:r>
              <w:rPr>
                <w:rFonts w:ascii="Arial" w:cs="Arial" w:eastAsia="Arial" w:hAnsi="Arial"/>
                <w:sz w:val="22"/>
                <w:szCs w:val="22"/>
                <w:color w:val="auto"/>
              </w:rPr>
              <w:t>Section 5.9.</w:t>
            </w:r>
          </w:p>
        </w:tc>
        <w:tc>
          <w:tcPr>
            <w:tcW w:w="8880" w:type="dxa"/>
            <w:vAlign w:val="bottom"/>
          </w:tcPr>
          <w:p>
            <w:pPr>
              <w:ind w:left="320"/>
              <w:spacing w:after="0"/>
              <w:rPr>
                <w:sz w:val="20"/>
                <w:szCs w:val="20"/>
                <w:color w:val="auto"/>
              </w:rPr>
            </w:pPr>
            <w:r>
              <w:rPr>
                <w:rFonts w:ascii="Arial" w:cs="Arial" w:eastAsia="Arial" w:hAnsi="Arial"/>
                <w:sz w:val="22"/>
                <w:szCs w:val="22"/>
                <w:color w:val="auto"/>
              </w:rPr>
              <w:t>Issuance of Common Units in Connection with Reset of Incentive Distribution Rights</w:t>
            </w:r>
          </w:p>
        </w:tc>
        <w:tc>
          <w:tcPr>
            <w:tcW w:w="9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1660" w:type="dxa"/>
            <w:vAlign w:val="bottom"/>
          </w:tcPr>
          <w:p>
            <w:pPr>
              <w:spacing w:after="0"/>
              <w:rPr>
                <w:sz w:val="20"/>
                <w:szCs w:val="20"/>
                <w:color w:val="auto"/>
              </w:rPr>
            </w:pPr>
            <w:r>
              <w:rPr>
                <w:rFonts w:ascii="Arial" w:cs="Arial" w:eastAsia="Arial" w:hAnsi="Arial"/>
                <w:sz w:val="22"/>
                <w:szCs w:val="22"/>
                <w:color w:val="auto"/>
              </w:rPr>
              <w:t>ARTICLE VI</w:t>
            </w:r>
          </w:p>
        </w:tc>
        <w:tc>
          <w:tcPr>
            <w:tcW w:w="8880" w:type="dxa"/>
            <w:vAlign w:val="bottom"/>
          </w:tcPr>
          <w:p>
            <w:pPr>
              <w:ind w:left="320"/>
              <w:spacing w:after="0"/>
              <w:rPr>
                <w:sz w:val="20"/>
                <w:szCs w:val="20"/>
                <w:color w:val="auto"/>
              </w:rPr>
            </w:pPr>
            <w:r>
              <w:rPr>
                <w:rFonts w:ascii="Arial" w:cs="Arial" w:eastAsia="Arial" w:hAnsi="Arial"/>
                <w:sz w:val="22"/>
                <w:szCs w:val="22"/>
                <w:color w:val="auto"/>
              </w:rPr>
              <w:t>DISTRIBUTIONS</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59"/>
        </w:trPr>
        <w:tc>
          <w:tcPr>
            <w:tcW w:w="1660" w:type="dxa"/>
            <w:vAlign w:val="bottom"/>
          </w:tcPr>
          <w:p>
            <w:pPr>
              <w:spacing w:after="0"/>
              <w:rPr>
                <w:sz w:val="24"/>
                <w:szCs w:val="24"/>
                <w:color w:val="auto"/>
              </w:rPr>
            </w:pPr>
          </w:p>
        </w:tc>
        <w:tc>
          <w:tcPr>
            <w:tcW w:w="8880" w:type="dxa"/>
            <w:vAlign w:val="bottom"/>
          </w:tcPr>
          <w:p>
            <w:pPr>
              <w:ind w:left="4020"/>
              <w:spacing w:after="0"/>
              <w:rPr>
                <w:sz w:val="20"/>
                <w:szCs w:val="20"/>
                <w:color w:val="auto"/>
              </w:rPr>
            </w:pPr>
            <w:r>
              <w:rPr>
                <w:rFonts w:ascii="Arial" w:cs="Arial" w:eastAsia="Arial" w:hAnsi="Arial"/>
                <w:sz w:val="22"/>
                <w:szCs w:val="22"/>
                <w:color w:val="auto"/>
              </w:rPr>
              <w:t>i</w:t>
            </w:r>
          </w:p>
        </w:tc>
        <w:tc>
          <w:tcPr>
            <w:tcW w:w="920" w:type="dxa"/>
            <w:vAlign w:val="bottom"/>
          </w:tcPr>
          <w:p>
            <w:pPr>
              <w:spacing w:after="0"/>
              <w:rPr>
                <w:sz w:val="24"/>
                <w:szCs w:val="24"/>
                <w:color w:val="auto"/>
              </w:rPr>
            </w:pPr>
          </w:p>
        </w:tc>
      </w:tr>
      <w:tr>
        <w:trPr>
          <w:trHeight w:val="122"/>
        </w:trPr>
        <w:tc>
          <w:tcPr>
            <w:tcW w:w="1660" w:type="dxa"/>
            <w:vAlign w:val="bottom"/>
            <w:tcBorders>
              <w:bottom w:val="single" w:sz="8" w:color="808080"/>
            </w:tcBorders>
          </w:tcPr>
          <w:p>
            <w:pPr>
              <w:spacing w:after="0"/>
              <w:rPr>
                <w:sz w:val="10"/>
                <w:szCs w:val="10"/>
                <w:color w:val="auto"/>
              </w:rPr>
            </w:pPr>
          </w:p>
        </w:tc>
        <w:tc>
          <w:tcPr>
            <w:tcW w:w="88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720" w:type="dxa"/>
            <w:vAlign w:val="bottom"/>
          </w:tcPr>
          <w:p>
            <w:pPr>
              <w:ind w:left="340"/>
              <w:spacing w:after="0"/>
              <w:rPr>
                <w:sz w:val="20"/>
                <w:szCs w:val="20"/>
                <w:color w:val="auto"/>
              </w:rPr>
            </w:pPr>
            <w:r>
              <w:rPr>
                <w:rFonts w:ascii="Arial" w:cs="Arial" w:eastAsia="Arial" w:hAnsi="Arial"/>
                <w:sz w:val="22"/>
                <w:szCs w:val="22"/>
                <w:color w:val="auto"/>
              </w:rPr>
              <w:t>Section 6.1.</w:t>
            </w:r>
          </w:p>
        </w:tc>
        <w:tc>
          <w:tcPr>
            <w:tcW w:w="9060" w:type="dxa"/>
            <w:vAlign w:val="bottom"/>
          </w:tcPr>
          <w:p>
            <w:pPr>
              <w:ind w:left="260"/>
              <w:spacing w:after="0"/>
              <w:rPr>
                <w:sz w:val="20"/>
                <w:szCs w:val="20"/>
                <w:color w:val="auto"/>
              </w:rPr>
            </w:pPr>
            <w:r>
              <w:rPr>
                <w:rFonts w:ascii="Arial" w:cs="Arial" w:eastAsia="Arial" w:hAnsi="Arial"/>
                <w:sz w:val="22"/>
                <w:szCs w:val="22"/>
                <w:color w:val="auto"/>
              </w:rPr>
              <w:t>Allocations</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6.2.</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Requirement and Characterization of Distributions; Distributions to Record Holders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6.3.</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Distributions of Available Cash from Operating Surplus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6.4.</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Distributions of Available Cash from Capital Surplus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6.5.</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Adjustment of Minimum Quarterly Distribution and Target Distribution Levels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6.6.</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Special Provisions Relating to the Holders of Incentive Distribution Rights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75"/>
        </w:trPr>
        <w:tc>
          <w:tcPr>
            <w:tcW w:w="1720" w:type="dxa"/>
            <w:vAlign w:val="bottom"/>
          </w:tcPr>
          <w:p>
            <w:pPr>
              <w:ind w:left="340"/>
              <w:spacing w:after="0"/>
              <w:rPr>
                <w:sz w:val="20"/>
                <w:szCs w:val="20"/>
                <w:color w:val="auto"/>
              </w:rPr>
            </w:pPr>
            <w:r>
              <w:rPr>
                <w:rFonts w:ascii="Arial" w:cs="Arial" w:eastAsia="Arial" w:hAnsi="Arial"/>
                <w:sz w:val="22"/>
                <w:szCs w:val="22"/>
                <w:color w:val="auto"/>
              </w:rPr>
              <w:t>Section 6.7.</w:t>
            </w:r>
          </w:p>
        </w:tc>
        <w:tc>
          <w:tcPr>
            <w:tcW w:w="9060" w:type="dxa"/>
            <w:vAlign w:val="bottom"/>
          </w:tcPr>
          <w:p>
            <w:pPr>
              <w:ind w:left="260"/>
              <w:spacing w:after="0"/>
              <w:rPr>
                <w:sz w:val="20"/>
                <w:szCs w:val="20"/>
                <w:color w:val="auto"/>
              </w:rPr>
            </w:pPr>
            <w:r>
              <w:rPr>
                <w:rFonts w:ascii="Arial" w:cs="Arial" w:eastAsia="Arial" w:hAnsi="Arial"/>
                <w:sz w:val="22"/>
                <w:szCs w:val="22"/>
                <w:color w:val="auto"/>
              </w:rPr>
              <w:t>Additional Term of Incentive Distribution Rights</w:t>
            </w:r>
          </w:p>
        </w:tc>
        <w:tc>
          <w:tcPr>
            <w:tcW w:w="6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55"/>
        </w:trPr>
        <w:tc>
          <w:tcPr>
            <w:tcW w:w="1720" w:type="dxa"/>
            <w:vAlign w:val="bottom"/>
          </w:tcPr>
          <w:p>
            <w:pPr>
              <w:spacing w:after="0"/>
              <w:rPr>
                <w:sz w:val="20"/>
                <w:szCs w:val="20"/>
                <w:color w:val="auto"/>
              </w:rPr>
            </w:pPr>
            <w:r>
              <w:rPr>
                <w:rFonts w:ascii="Arial" w:cs="Arial" w:eastAsia="Arial" w:hAnsi="Arial"/>
                <w:sz w:val="22"/>
                <w:szCs w:val="22"/>
                <w:color w:val="auto"/>
              </w:rPr>
              <w:t>ARTICLE VII</w:t>
            </w:r>
          </w:p>
        </w:tc>
        <w:tc>
          <w:tcPr>
            <w:tcW w:w="9060" w:type="dxa"/>
            <w:vAlign w:val="bottom"/>
          </w:tcPr>
          <w:p>
            <w:pPr>
              <w:ind w:left="260"/>
              <w:spacing w:after="0"/>
              <w:rPr>
                <w:sz w:val="20"/>
                <w:szCs w:val="20"/>
                <w:color w:val="auto"/>
              </w:rPr>
            </w:pPr>
            <w:r>
              <w:rPr>
                <w:rFonts w:ascii="Arial" w:cs="Arial" w:eastAsia="Arial" w:hAnsi="Arial"/>
                <w:sz w:val="22"/>
                <w:szCs w:val="22"/>
                <w:color w:val="auto"/>
              </w:rPr>
              <w:t>MANAGEMENT AND OPERATION OF BUSINESS</w:t>
            </w:r>
          </w:p>
        </w:tc>
        <w:tc>
          <w:tcPr>
            <w:tcW w:w="6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Management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7.2.</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Election and Appointment; Term; Manner of Acting</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7.3.</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Nominations of Elected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7.4.</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Removal of Members of Board of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7.5.</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Resignations of Members of the Board of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7.6.</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Vacancies on the Board of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7.7.</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Meetings; Committees; Chairman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7.8.</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Officers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7.9.</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Compensation of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7.10.</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Certificate of Limited Partnership</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7.11.</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Restrictions on the Authority of the Board of Directors and the General Partner</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7.12.</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Reimbursement of the General Partner</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7.13.</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Outside Activities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7.14.</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w w:val="93"/>
              </w:rPr>
              <w:t>Loans from the General Partner; Loans or Contributions from the Partnership or Group Members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7.15.</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Indemnification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7.16.</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Liability of Indemnitees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7.17.</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Resolution of Conflicts of Interest; Standards of Conduct and Modification of Duties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7.18.</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Other Matters Concerning the General Partner and the Board of Directors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7.19.</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Purchase or Sale of Partnership Interests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7.20.</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Registration Rights of the General Partner and its Affiliates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75"/>
        </w:trPr>
        <w:tc>
          <w:tcPr>
            <w:tcW w:w="1720" w:type="dxa"/>
            <w:vAlign w:val="bottom"/>
          </w:tcPr>
          <w:p>
            <w:pPr>
              <w:ind w:left="340"/>
              <w:spacing w:after="0"/>
              <w:rPr>
                <w:sz w:val="20"/>
                <w:szCs w:val="20"/>
                <w:color w:val="auto"/>
              </w:rPr>
            </w:pPr>
            <w:r>
              <w:rPr>
                <w:rFonts w:ascii="Arial" w:cs="Arial" w:eastAsia="Arial" w:hAnsi="Arial"/>
                <w:sz w:val="22"/>
                <w:szCs w:val="22"/>
                <w:color w:val="auto"/>
              </w:rPr>
              <w:t>Section 7.21.</w:t>
            </w:r>
          </w:p>
        </w:tc>
        <w:tc>
          <w:tcPr>
            <w:tcW w:w="9060" w:type="dxa"/>
            <w:vAlign w:val="bottom"/>
          </w:tcPr>
          <w:p>
            <w:pPr>
              <w:ind w:left="260"/>
              <w:spacing w:after="0"/>
              <w:rPr>
                <w:sz w:val="20"/>
                <w:szCs w:val="20"/>
                <w:color w:val="auto"/>
              </w:rPr>
            </w:pPr>
            <w:r>
              <w:rPr>
                <w:rFonts w:ascii="Arial" w:cs="Arial" w:eastAsia="Arial" w:hAnsi="Arial"/>
                <w:sz w:val="22"/>
                <w:szCs w:val="22"/>
                <w:color w:val="auto"/>
              </w:rPr>
              <w:t>Reliance by Third Parties</w:t>
            </w:r>
          </w:p>
        </w:tc>
        <w:tc>
          <w:tcPr>
            <w:tcW w:w="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1720" w:type="dxa"/>
            <w:vAlign w:val="bottom"/>
          </w:tcPr>
          <w:p>
            <w:pPr>
              <w:spacing w:after="0"/>
              <w:rPr>
                <w:sz w:val="20"/>
                <w:szCs w:val="20"/>
                <w:color w:val="auto"/>
              </w:rPr>
            </w:pPr>
            <w:r>
              <w:rPr>
                <w:rFonts w:ascii="Arial" w:cs="Arial" w:eastAsia="Arial" w:hAnsi="Arial"/>
                <w:sz w:val="22"/>
                <w:szCs w:val="22"/>
                <w:color w:val="auto"/>
              </w:rPr>
              <w:t>ARTICLE VIII</w:t>
            </w:r>
          </w:p>
        </w:tc>
        <w:tc>
          <w:tcPr>
            <w:tcW w:w="9060" w:type="dxa"/>
            <w:vAlign w:val="bottom"/>
          </w:tcPr>
          <w:p>
            <w:pPr>
              <w:ind w:left="260"/>
              <w:spacing w:after="0"/>
              <w:rPr>
                <w:sz w:val="20"/>
                <w:szCs w:val="20"/>
                <w:color w:val="auto"/>
              </w:rPr>
            </w:pPr>
            <w:r>
              <w:rPr>
                <w:rFonts w:ascii="Arial" w:cs="Arial" w:eastAsia="Arial" w:hAnsi="Arial"/>
                <w:sz w:val="22"/>
                <w:szCs w:val="22"/>
                <w:color w:val="auto"/>
              </w:rPr>
              <w:t>BOOKS, RECORDS, ACCOUNTING AND REPORTS</w:t>
            </w:r>
          </w:p>
        </w:tc>
        <w:tc>
          <w:tcPr>
            <w:tcW w:w="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8.1.</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Records and Accounting</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8.2.</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Fiscal Year</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5"/>
        </w:trPr>
        <w:tc>
          <w:tcPr>
            <w:tcW w:w="1720" w:type="dxa"/>
            <w:vAlign w:val="bottom"/>
          </w:tcPr>
          <w:p>
            <w:pPr>
              <w:ind w:left="340"/>
              <w:spacing w:after="0"/>
              <w:rPr>
                <w:sz w:val="20"/>
                <w:szCs w:val="20"/>
                <w:color w:val="auto"/>
              </w:rPr>
            </w:pPr>
            <w:r>
              <w:rPr>
                <w:rFonts w:ascii="Arial" w:cs="Arial" w:eastAsia="Arial" w:hAnsi="Arial"/>
                <w:sz w:val="22"/>
                <w:szCs w:val="22"/>
                <w:color w:val="auto"/>
              </w:rPr>
              <w:t>Section 8.3.</w:t>
            </w:r>
          </w:p>
        </w:tc>
        <w:tc>
          <w:tcPr>
            <w:tcW w:w="9060" w:type="dxa"/>
            <w:vAlign w:val="bottom"/>
          </w:tcPr>
          <w:p>
            <w:pPr>
              <w:ind w:left="260"/>
              <w:spacing w:after="0"/>
              <w:rPr>
                <w:sz w:val="20"/>
                <w:szCs w:val="20"/>
                <w:color w:val="auto"/>
              </w:rPr>
            </w:pPr>
            <w:r>
              <w:rPr>
                <w:rFonts w:ascii="Arial" w:cs="Arial" w:eastAsia="Arial" w:hAnsi="Arial"/>
                <w:sz w:val="22"/>
                <w:szCs w:val="22"/>
                <w:color w:val="auto"/>
              </w:rPr>
              <w:t>Reports</w:t>
            </w:r>
          </w:p>
        </w:tc>
        <w:tc>
          <w:tcPr>
            <w:tcW w:w="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55"/>
        </w:trPr>
        <w:tc>
          <w:tcPr>
            <w:tcW w:w="1720" w:type="dxa"/>
            <w:vAlign w:val="bottom"/>
          </w:tcPr>
          <w:p>
            <w:pPr>
              <w:spacing w:after="0"/>
              <w:rPr>
                <w:sz w:val="20"/>
                <w:szCs w:val="20"/>
                <w:color w:val="auto"/>
              </w:rPr>
            </w:pPr>
            <w:r>
              <w:rPr>
                <w:rFonts w:ascii="Arial" w:cs="Arial" w:eastAsia="Arial" w:hAnsi="Arial"/>
                <w:sz w:val="22"/>
                <w:szCs w:val="22"/>
                <w:color w:val="auto"/>
              </w:rPr>
              <w:t>ARTICLE IX</w:t>
            </w:r>
          </w:p>
        </w:tc>
        <w:tc>
          <w:tcPr>
            <w:tcW w:w="9060" w:type="dxa"/>
            <w:vAlign w:val="bottom"/>
          </w:tcPr>
          <w:p>
            <w:pPr>
              <w:ind w:left="260"/>
              <w:spacing w:after="0"/>
              <w:rPr>
                <w:sz w:val="20"/>
                <w:szCs w:val="20"/>
                <w:color w:val="auto"/>
              </w:rPr>
            </w:pPr>
            <w:r>
              <w:rPr>
                <w:rFonts w:ascii="Arial" w:cs="Arial" w:eastAsia="Arial" w:hAnsi="Arial"/>
                <w:sz w:val="22"/>
                <w:szCs w:val="22"/>
                <w:color w:val="auto"/>
              </w:rPr>
              <w:t>TAX MATTERS</w:t>
            </w:r>
          </w:p>
        </w:tc>
        <w:tc>
          <w:tcPr>
            <w:tcW w:w="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720" w:type="dxa"/>
            <w:vAlign w:val="bottom"/>
          </w:tcPr>
          <w:p>
            <w:pPr>
              <w:ind w:left="340"/>
              <w:spacing w:after="0" w:line="243" w:lineRule="exact"/>
              <w:rPr>
                <w:sz w:val="20"/>
                <w:szCs w:val="20"/>
                <w:color w:val="auto"/>
              </w:rPr>
            </w:pPr>
            <w:r>
              <w:rPr>
                <w:rFonts w:ascii="Arial" w:cs="Arial" w:eastAsia="Arial" w:hAnsi="Arial"/>
                <w:sz w:val="22"/>
                <w:szCs w:val="22"/>
                <w:color w:val="auto"/>
              </w:rPr>
              <w:t>Section 9.1.</w:t>
            </w:r>
          </w:p>
        </w:tc>
        <w:tc>
          <w:tcPr>
            <w:tcW w:w="9060" w:type="dxa"/>
            <w:vAlign w:val="bottom"/>
          </w:tcPr>
          <w:p>
            <w:pPr>
              <w:ind w:left="260"/>
              <w:spacing w:after="0" w:line="243" w:lineRule="exact"/>
              <w:rPr>
                <w:sz w:val="20"/>
                <w:szCs w:val="20"/>
                <w:color w:val="auto"/>
              </w:rPr>
            </w:pPr>
            <w:r>
              <w:rPr>
                <w:rFonts w:ascii="Arial" w:cs="Arial" w:eastAsia="Arial" w:hAnsi="Arial"/>
                <w:sz w:val="22"/>
                <w:szCs w:val="22"/>
                <w:color w:val="auto"/>
              </w:rPr>
              <w:t>Tax Elections and Information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5"/>
        </w:trPr>
        <w:tc>
          <w:tcPr>
            <w:tcW w:w="1720" w:type="dxa"/>
            <w:vAlign w:val="bottom"/>
          </w:tcPr>
          <w:p>
            <w:pPr>
              <w:ind w:left="340"/>
              <w:spacing w:after="0"/>
              <w:rPr>
                <w:sz w:val="20"/>
                <w:szCs w:val="20"/>
                <w:color w:val="auto"/>
              </w:rPr>
            </w:pPr>
            <w:r>
              <w:rPr>
                <w:rFonts w:ascii="Arial" w:cs="Arial" w:eastAsia="Arial" w:hAnsi="Arial"/>
                <w:sz w:val="22"/>
                <w:szCs w:val="22"/>
                <w:color w:val="auto"/>
              </w:rPr>
              <w:t>Section 9.2.</w:t>
            </w:r>
          </w:p>
        </w:tc>
        <w:tc>
          <w:tcPr>
            <w:tcW w:w="9060" w:type="dxa"/>
            <w:vAlign w:val="bottom"/>
          </w:tcPr>
          <w:p>
            <w:pPr>
              <w:ind w:left="260"/>
              <w:spacing w:after="0"/>
              <w:rPr>
                <w:sz w:val="20"/>
                <w:szCs w:val="20"/>
                <w:color w:val="auto"/>
              </w:rPr>
            </w:pPr>
            <w:r>
              <w:rPr>
                <w:rFonts w:ascii="Arial" w:cs="Arial" w:eastAsia="Arial" w:hAnsi="Arial"/>
                <w:sz w:val="22"/>
                <w:szCs w:val="22"/>
                <w:color w:val="auto"/>
              </w:rPr>
              <w:t>Tax Withholding</w:t>
            </w:r>
          </w:p>
        </w:tc>
        <w:tc>
          <w:tcPr>
            <w:tcW w:w="64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9.3.</w:t>
            </w:r>
          </w:p>
        </w:tc>
        <w:tc>
          <w:tcPr>
            <w:tcW w:w="8840" w:type="dxa"/>
            <w:vAlign w:val="bottom"/>
          </w:tcPr>
          <w:p>
            <w:pPr>
              <w:ind w:left="200"/>
              <w:spacing w:after="0"/>
              <w:rPr>
                <w:sz w:val="20"/>
                <w:szCs w:val="20"/>
                <w:color w:val="auto"/>
              </w:rPr>
            </w:pPr>
            <w:r>
              <w:rPr>
                <w:rFonts w:ascii="Arial" w:cs="Arial" w:eastAsia="Arial" w:hAnsi="Arial"/>
                <w:sz w:val="22"/>
                <w:szCs w:val="22"/>
                <w:color w:val="auto"/>
              </w:rPr>
              <w:t>Conduct of Operations</w:t>
            </w:r>
          </w:p>
        </w:tc>
        <w:tc>
          <w:tcPr>
            <w:tcW w:w="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w:t>
            </w:r>
          </w:p>
        </w:tc>
        <w:tc>
          <w:tcPr>
            <w:tcW w:w="8840" w:type="dxa"/>
            <w:vAlign w:val="bottom"/>
          </w:tcPr>
          <w:p>
            <w:pPr>
              <w:ind w:left="200"/>
              <w:spacing w:after="0"/>
              <w:rPr>
                <w:sz w:val="20"/>
                <w:szCs w:val="20"/>
                <w:color w:val="auto"/>
              </w:rPr>
            </w:pPr>
            <w:r>
              <w:rPr>
                <w:rFonts w:ascii="Arial" w:cs="Arial" w:eastAsia="Arial" w:hAnsi="Arial"/>
                <w:sz w:val="22"/>
                <w:szCs w:val="22"/>
                <w:color w:val="auto"/>
              </w:rPr>
              <w:t>ADMISSION OF PARTNERS</w:t>
            </w:r>
          </w:p>
        </w:tc>
        <w:tc>
          <w:tcPr>
            <w:tcW w:w="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10.1.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Admission of Initial Limited Partners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10.2.</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Admission of Additional Limited Partners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10.3.</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Admission of Successor General Partner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10.4.</w:t>
            </w:r>
          </w:p>
        </w:tc>
        <w:tc>
          <w:tcPr>
            <w:tcW w:w="8840" w:type="dxa"/>
            <w:vAlign w:val="bottom"/>
          </w:tcPr>
          <w:p>
            <w:pPr>
              <w:ind w:left="200"/>
              <w:spacing w:after="0"/>
              <w:rPr>
                <w:sz w:val="20"/>
                <w:szCs w:val="20"/>
                <w:color w:val="auto"/>
              </w:rPr>
            </w:pPr>
            <w:r>
              <w:rPr>
                <w:rFonts w:ascii="Arial" w:cs="Arial" w:eastAsia="Arial" w:hAnsi="Arial"/>
                <w:sz w:val="22"/>
                <w:szCs w:val="22"/>
                <w:color w:val="auto"/>
              </w:rPr>
              <w:t>Amendment of Agreement and Certificate of Limited Partnership</w:t>
            </w:r>
          </w:p>
        </w:tc>
        <w:tc>
          <w:tcPr>
            <w:tcW w:w="8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XI</w:t>
            </w:r>
          </w:p>
        </w:tc>
        <w:tc>
          <w:tcPr>
            <w:tcW w:w="8840" w:type="dxa"/>
            <w:vAlign w:val="bottom"/>
          </w:tcPr>
          <w:p>
            <w:pPr>
              <w:ind w:left="200"/>
              <w:spacing w:after="0"/>
              <w:rPr>
                <w:sz w:val="20"/>
                <w:szCs w:val="20"/>
                <w:color w:val="auto"/>
              </w:rPr>
            </w:pPr>
            <w:r>
              <w:rPr>
                <w:rFonts w:ascii="Arial" w:cs="Arial" w:eastAsia="Arial" w:hAnsi="Arial"/>
                <w:sz w:val="22"/>
                <w:szCs w:val="22"/>
                <w:color w:val="auto"/>
              </w:rPr>
              <w:t>WITHDRAWAL OR REMOVAL OF PARTNERS</w:t>
            </w:r>
          </w:p>
        </w:tc>
        <w:tc>
          <w:tcPr>
            <w:tcW w:w="8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11.1.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Withdrawal of the General Partner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11.2.</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Removal of the General Partner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11.3.</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Interest of Departing General Partner and Successor General Partner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11.4.</w:t>
            </w:r>
          </w:p>
        </w:tc>
        <w:tc>
          <w:tcPr>
            <w:tcW w:w="8840" w:type="dxa"/>
            <w:vAlign w:val="bottom"/>
          </w:tcPr>
          <w:p>
            <w:pPr>
              <w:ind w:left="200"/>
              <w:spacing w:after="0"/>
              <w:rPr>
                <w:sz w:val="20"/>
                <w:szCs w:val="20"/>
                <w:color w:val="auto"/>
              </w:rPr>
            </w:pPr>
            <w:r>
              <w:rPr>
                <w:rFonts w:ascii="Arial" w:cs="Arial" w:eastAsia="Arial" w:hAnsi="Arial"/>
                <w:sz w:val="22"/>
                <w:szCs w:val="22"/>
                <w:color w:val="auto"/>
              </w:rPr>
              <w:t>Withdrawal of Limited Partners</w:t>
            </w:r>
          </w:p>
        </w:tc>
        <w:tc>
          <w:tcPr>
            <w:tcW w:w="80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XII</w:t>
            </w:r>
          </w:p>
        </w:tc>
        <w:tc>
          <w:tcPr>
            <w:tcW w:w="8840" w:type="dxa"/>
            <w:vAlign w:val="bottom"/>
          </w:tcPr>
          <w:p>
            <w:pPr>
              <w:ind w:left="200"/>
              <w:spacing w:after="0"/>
              <w:rPr>
                <w:sz w:val="20"/>
                <w:szCs w:val="20"/>
                <w:color w:val="auto"/>
              </w:rPr>
            </w:pPr>
            <w:r>
              <w:rPr>
                <w:rFonts w:ascii="Arial" w:cs="Arial" w:eastAsia="Arial" w:hAnsi="Arial"/>
                <w:sz w:val="22"/>
                <w:szCs w:val="22"/>
                <w:color w:val="auto"/>
              </w:rPr>
              <w:t>DISSOLUTION AND LIQUIDATION</w:t>
            </w:r>
          </w:p>
        </w:tc>
        <w:tc>
          <w:tcPr>
            <w:tcW w:w="80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Dissolution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12.2.</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Continuation of the Business of the Partnership After Dissolution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12.3.</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Liquidating Trustee</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12.4.</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Liquidation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12.5.</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Cancellation of Certificate of Limited Partnership</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12.6.</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Return of Contributions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12.7.</w:t>
            </w:r>
          </w:p>
        </w:tc>
        <w:tc>
          <w:tcPr>
            <w:tcW w:w="8840" w:type="dxa"/>
            <w:vAlign w:val="bottom"/>
          </w:tcPr>
          <w:p>
            <w:pPr>
              <w:ind w:left="200"/>
              <w:spacing w:after="0"/>
              <w:rPr>
                <w:sz w:val="20"/>
                <w:szCs w:val="20"/>
                <w:color w:val="auto"/>
              </w:rPr>
            </w:pPr>
            <w:r>
              <w:rPr>
                <w:rFonts w:ascii="Arial" w:cs="Arial" w:eastAsia="Arial" w:hAnsi="Arial"/>
                <w:sz w:val="22"/>
                <w:szCs w:val="22"/>
                <w:color w:val="auto"/>
              </w:rPr>
              <w:t>Waiver of Partition</w:t>
            </w:r>
          </w:p>
        </w:tc>
        <w:tc>
          <w:tcPr>
            <w:tcW w:w="8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XIII</w:t>
            </w:r>
          </w:p>
        </w:tc>
        <w:tc>
          <w:tcPr>
            <w:tcW w:w="8840" w:type="dxa"/>
            <w:vAlign w:val="bottom"/>
          </w:tcPr>
          <w:p>
            <w:pPr>
              <w:ind w:left="200"/>
              <w:spacing w:after="0"/>
              <w:rPr>
                <w:sz w:val="20"/>
                <w:szCs w:val="20"/>
                <w:color w:val="auto"/>
              </w:rPr>
            </w:pPr>
            <w:r>
              <w:rPr>
                <w:rFonts w:ascii="Arial" w:cs="Arial" w:eastAsia="Arial" w:hAnsi="Arial"/>
                <w:sz w:val="22"/>
                <w:szCs w:val="22"/>
                <w:color w:val="auto"/>
              </w:rPr>
              <w:t>AMENDMENT OF PARTNERSHIP AGREEMENT; MEETINGS; RECORD DATE</w:t>
            </w:r>
          </w:p>
        </w:tc>
        <w:tc>
          <w:tcPr>
            <w:tcW w:w="8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w w:val="95"/>
              </w:rPr>
              <w:t>Amendments to be Adopted Without Approval of the Limited Partners or the General Partner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13.2.</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Amendment Procedures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13.3.</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Amendment Requirements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13.4.</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Special Meetings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13.5.</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Notice of a Meeting</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13.6.</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Record Date</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13.7.</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Adjournment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13.8.</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Waiver of Notice; Approval of Meeting; Approval of Minutes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13.9.</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Quorum and Voting</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13.10.</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Conduct of a Meeting</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13.11.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Action Without a Meeting</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13.12.</w:t>
            </w:r>
          </w:p>
        </w:tc>
        <w:tc>
          <w:tcPr>
            <w:tcW w:w="8840" w:type="dxa"/>
            <w:vAlign w:val="bottom"/>
          </w:tcPr>
          <w:p>
            <w:pPr>
              <w:ind w:left="200"/>
              <w:spacing w:after="0"/>
              <w:rPr>
                <w:sz w:val="20"/>
                <w:szCs w:val="20"/>
                <w:color w:val="auto"/>
              </w:rPr>
            </w:pPr>
            <w:r>
              <w:rPr>
                <w:rFonts w:ascii="Arial" w:cs="Arial" w:eastAsia="Arial" w:hAnsi="Arial"/>
                <w:sz w:val="22"/>
                <w:szCs w:val="22"/>
                <w:color w:val="auto"/>
              </w:rPr>
              <w:t>Right to Vote and Related Matters</w:t>
            </w:r>
          </w:p>
        </w:tc>
        <w:tc>
          <w:tcPr>
            <w:tcW w:w="80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XIV</w:t>
            </w:r>
          </w:p>
        </w:tc>
        <w:tc>
          <w:tcPr>
            <w:tcW w:w="8840" w:type="dxa"/>
            <w:vAlign w:val="bottom"/>
          </w:tcPr>
          <w:p>
            <w:pPr>
              <w:ind w:left="200"/>
              <w:spacing w:after="0"/>
              <w:rPr>
                <w:sz w:val="20"/>
                <w:szCs w:val="20"/>
                <w:color w:val="auto"/>
              </w:rPr>
            </w:pPr>
            <w:r>
              <w:rPr>
                <w:rFonts w:ascii="Arial" w:cs="Arial" w:eastAsia="Arial" w:hAnsi="Arial"/>
                <w:sz w:val="22"/>
                <w:szCs w:val="22"/>
                <w:color w:val="auto"/>
              </w:rPr>
              <w:t>MERGER, CONSOLIDATION OR CONVERSION</w:t>
            </w:r>
          </w:p>
        </w:tc>
        <w:tc>
          <w:tcPr>
            <w:tcW w:w="80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14.1.</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Authority</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14.2.</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Procedure for Merger, Consolidation or Conversion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14.3.</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Approval by Limited Partners of Merger, Consolidation or Conversion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14.4.</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Certificate of Merger or Conversion</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14.5.</w:t>
            </w:r>
          </w:p>
        </w:tc>
        <w:tc>
          <w:tcPr>
            <w:tcW w:w="8840" w:type="dxa"/>
            <w:vAlign w:val="bottom"/>
          </w:tcPr>
          <w:p>
            <w:pPr>
              <w:ind w:left="200"/>
              <w:spacing w:after="0" w:line="243" w:lineRule="exact"/>
              <w:rPr>
                <w:sz w:val="20"/>
                <w:szCs w:val="20"/>
                <w:color w:val="auto"/>
              </w:rPr>
            </w:pPr>
            <w:r>
              <w:rPr>
                <w:rFonts w:ascii="Arial" w:cs="Arial" w:eastAsia="Arial" w:hAnsi="Arial"/>
                <w:sz w:val="22"/>
                <w:szCs w:val="22"/>
                <w:color w:val="auto"/>
              </w:rPr>
              <w:t>Amendment of Partnership Agreement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14.6.</w:t>
            </w:r>
          </w:p>
        </w:tc>
        <w:tc>
          <w:tcPr>
            <w:tcW w:w="8840" w:type="dxa"/>
            <w:vAlign w:val="bottom"/>
          </w:tcPr>
          <w:p>
            <w:pPr>
              <w:ind w:left="200"/>
              <w:spacing w:after="0"/>
              <w:rPr>
                <w:sz w:val="20"/>
                <w:szCs w:val="20"/>
                <w:color w:val="auto"/>
              </w:rPr>
            </w:pPr>
            <w:r>
              <w:rPr>
                <w:rFonts w:ascii="Arial" w:cs="Arial" w:eastAsia="Arial" w:hAnsi="Arial"/>
                <w:sz w:val="22"/>
                <w:szCs w:val="22"/>
                <w:color w:val="auto"/>
              </w:rPr>
              <w:t>Effect of Merger, Consolidation or Conversion</w:t>
            </w:r>
          </w:p>
        </w:tc>
        <w:tc>
          <w:tcPr>
            <w:tcW w:w="80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0"/>
                <w:szCs w:val="20"/>
                <w:color w:val="auto"/>
              </w:rPr>
            </w:pPr>
            <w:r>
              <w:rPr>
                <w:rFonts w:ascii="Arial" w:cs="Arial" w:eastAsia="Arial" w:hAnsi="Arial"/>
                <w:sz w:val="22"/>
                <w:szCs w:val="22"/>
                <w:color w:val="auto"/>
              </w:rPr>
              <w:t>ARTICLE XV</w:t>
            </w:r>
          </w:p>
        </w:tc>
        <w:tc>
          <w:tcPr>
            <w:tcW w:w="8720" w:type="dxa"/>
            <w:vAlign w:val="bottom"/>
          </w:tcPr>
          <w:p>
            <w:pPr>
              <w:ind w:left="200"/>
              <w:spacing w:after="0"/>
              <w:rPr>
                <w:sz w:val="20"/>
                <w:szCs w:val="20"/>
                <w:color w:val="auto"/>
              </w:rPr>
            </w:pPr>
            <w:r>
              <w:rPr>
                <w:rFonts w:ascii="Arial" w:cs="Arial" w:eastAsia="Arial" w:hAnsi="Arial"/>
                <w:sz w:val="22"/>
                <w:szCs w:val="22"/>
                <w:color w:val="auto"/>
              </w:rPr>
              <w:t>RIGHT TO ACQUIRE LIMITED PARTNER INTERESTS</w:t>
            </w:r>
          </w:p>
        </w:tc>
        <w:tc>
          <w:tcPr>
            <w:tcW w:w="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15.1.</w:t>
            </w:r>
          </w:p>
        </w:tc>
        <w:tc>
          <w:tcPr>
            <w:tcW w:w="8720" w:type="dxa"/>
            <w:vAlign w:val="bottom"/>
          </w:tcPr>
          <w:p>
            <w:pPr>
              <w:ind w:left="200"/>
              <w:spacing w:after="0"/>
              <w:rPr>
                <w:sz w:val="20"/>
                <w:szCs w:val="20"/>
                <w:color w:val="auto"/>
              </w:rPr>
            </w:pPr>
            <w:r>
              <w:rPr>
                <w:rFonts w:ascii="Arial" w:cs="Arial" w:eastAsia="Arial" w:hAnsi="Arial"/>
                <w:sz w:val="22"/>
                <w:szCs w:val="22"/>
                <w:color w:val="auto"/>
              </w:rPr>
              <w:t>Right to Acquire Limited Partner Interests</w:t>
            </w:r>
          </w:p>
        </w:tc>
        <w:tc>
          <w:tcPr>
            <w:tcW w:w="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XVI</w:t>
            </w:r>
          </w:p>
        </w:tc>
        <w:tc>
          <w:tcPr>
            <w:tcW w:w="8720" w:type="dxa"/>
            <w:vAlign w:val="bottom"/>
          </w:tcPr>
          <w:p>
            <w:pPr>
              <w:ind w:left="200"/>
              <w:spacing w:after="0"/>
              <w:rPr>
                <w:sz w:val="20"/>
                <w:szCs w:val="20"/>
                <w:color w:val="auto"/>
              </w:rPr>
            </w:pPr>
            <w:r>
              <w:rPr>
                <w:rFonts w:ascii="Arial" w:cs="Arial" w:eastAsia="Arial" w:hAnsi="Arial"/>
                <w:sz w:val="22"/>
                <w:szCs w:val="22"/>
                <w:color w:val="auto"/>
              </w:rPr>
              <w:t>SERIES A CUMULATIVE REDEEMABLE PERPETUAL FIXED TO FLOATING RATE</w:t>
            </w:r>
          </w:p>
        </w:tc>
        <w:tc>
          <w:tcPr>
            <w:tcW w:w="960" w:type="dxa"/>
            <w:vAlign w:val="bottom"/>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PREFERENCE 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16.1.</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Designations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16.2.</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16.3.</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Distributions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16.4.</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Liquidation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16.5.</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Voting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16.6.</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Optional Redemption</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16.7.</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Rank</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16.8.</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 Sinking Fund</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16.9.</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Record Holders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16.10.</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16.11.</w:t>
            </w:r>
          </w:p>
        </w:tc>
        <w:tc>
          <w:tcPr>
            <w:tcW w:w="8720" w:type="dxa"/>
            <w:vAlign w:val="bottom"/>
          </w:tcPr>
          <w:p>
            <w:pPr>
              <w:ind w:left="200"/>
              <w:spacing w:after="0"/>
              <w:rPr>
                <w:sz w:val="20"/>
                <w:szCs w:val="20"/>
                <w:color w:val="auto"/>
              </w:rPr>
            </w:pPr>
            <w:r>
              <w:rPr>
                <w:rFonts w:ascii="Arial" w:cs="Arial" w:eastAsia="Arial" w:hAnsi="Arial"/>
                <w:sz w:val="22"/>
                <w:szCs w:val="22"/>
                <w:color w:val="auto"/>
              </w:rPr>
              <w:t>Other Rights; Fiduciary Duties</w:t>
            </w:r>
          </w:p>
        </w:tc>
        <w:tc>
          <w:tcPr>
            <w:tcW w:w="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XVII</w:t>
            </w:r>
          </w:p>
        </w:tc>
        <w:tc>
          <w:tcPr>
            <w:tcW w:w="8720" w:type="dxa"/>
            <w:vAlign w:val="bottom"/>
          </w:tcPr>
          <w:p>
            <w:pPr>
              <w:ind w:left="200"/>
              <w:spacing w:after="0"/>
              <w:rPr>
                <w:sz w:val="20"/>
                <w:szCs w:val="20"/>
                <w:color w:val="auto"/>
              </w:rPr>
            </w:pPr>
            <w:r>
              <w:rPr>
                <w:rFonts w:ascii="Arial" w:cs="Arial" w:eastAsia="Arial" w:hAnsi="Arial"/>
                <w:sz w:val="22"/>
                <w:szCs w:val="22"/>
                <w:color w:val="auto"/>
              </w:rPr>
              <w:t>SERIES B CUMULATIVE REDEEMABLE PERPETUAL FIXED TO FLOATING RATE</w:t>
            </w:r>
          </w:p>
        </w:tc>
        <w:tc>
          <w:tcPr>
            <w:tcW w:w="960" w:type="dxa"/>
            <w:vAlign w:val="bottom"/>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PREFERENCE 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17.1.</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Designations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17.2.</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17.3.</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Distributions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17.4.</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Liquidation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17.5.</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Voting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17.6.</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Optional Redemption</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17.7.</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Rank</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17.8.</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 Sinking Fund</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17.9.</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Record Holders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17.10.</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17.11.</w:t>
            </w:r>
          </w:p>
        </w:tc>
        <w:tc>
          <w:tcPr>
            <w:tcW w:w="8720" w:type="dxa"/>
            <w:vAlign w:val="bottom"/>
          </w:tcPr>
          <w:p>
            <w:pPr>
              <w:ind w:left="200"/>
              <w:spacing w:after="0"/>
              <w:rPr>
                <w:sz w:val="20"/>
                <w:szCs w:val="20"/>
                <w:color w:val="auto"/>
              </w:rPr>
            </w:pPr>
            <w:r>
              <w:rPr>
                <w:rFonts w:ascii="Arial" w:cs="Arial" w:eastAsia="Arial" w:hAnsi="Arial"/>
                <w:sz w:val="22"/>
                <w:szCs w:val="22"/>
                <w:color w:val="auto"/>
              </w:rPr>
              <w:t>Other Rights; Fiduciary Duties</w:t>
            </w:r>
          </w:p>
        </w:tc>
        <w:tc>
          <w:tcPr>
            <w:tcW w:w="96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ARTICLE XVIII</w:t>
            </w:r>
          </w:p>
        </w:tc>
        <w:tc>
          <w:tcPr>
            <w:tcW w:w="8720" w:type="dxa"/>
            <w:vAlign w:val="bottom"/>
          </w:tcPr>
          <w:p>
            <w:pPr>
              <w:ind w:left="200"/>
              <w:spacing w:after="0"/>
              <w:rPr>
                <w:sz w:val="20"/>
                <w:szCs w:val="20"/>
                <w:color w:val="auto"/>
              </w:rPr>
            </w:pPr>
            <w:r>
              <w:rPr>
                <w:rFonts w:ascii="Arial" w:cs="Arial" w:eastAsia="Arial" w:hAnsi="Arial"/>
                <w:sz w:val="22"/>
                <w:szCs w:val="22"/>
                <w:color w:val="auto"/>
              </w:rPr>
              <w:t>SERIES C CUMULATIVE REDEEMABLE PERPETUAL FIXED TO FLOATING RATE</w:t>
            </w:r>
          </w:p>
        </w:tc>
        <w:tc>
          <w:tcPr>
            <w:tcW w:w="960" w:type="dxa"/>
            <w:vAlign w:val="bottom"/>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PREFERENCE 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18.1.</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Designations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18.2.</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Units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18.3.</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Distributions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18.4.</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Liquidation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18.5.</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Voting Rights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18.6.</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Optional Redemption</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18.7.</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Rank</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18.8.</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 Sinking Fund</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18.9.</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Record Holders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780" w:type="dxa"/>
            <w:vAlign w:val="bottom"/>
          </w:tcPr>
          <w:p>
            <w:pPr>
              <w:ind w:left="340"/>
              <w:spacing w:after="0" w:line="243" w:lineRule="exact"/>
              <w:rPr>
                <w:sz w:val="20"/>
                <w:szCs w:val="20"/>
                <w:color w:val="auto"/>
              </w:rPr>
            </w:pPr>
            <w:r>
              <w:rPr>
                <w:rFonts w:ascii="Arial" w:cs="Arial" w:eastAsia="Arial" w:hAnsi="Arial"/>
                <w:sz w:val="22"/>
                <w:szCs w:val="22"/>
                <w:color w:val="auto"/>
              </w:rPr>
              <w:t>Section 18.10.</w:t>
            </w:r>
          </w:p>
        </w:tc>
        <w:tc>
          <w:tcPr>
            <w:tcW w:w="872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75"/>
        </w:trPr>
        <w:tc>
          <w:tcPr>
            <w:tcW w:w="1780" w:type="dxa"/>
            <w:vAlign w:val="bottom"/>
          </w:tcPr>
          <w:p>
            <w:pPr>
              <w:ind w:left="340"/>
              <w:spacing w:after="0"/>
              <w:rPr>
                <w:sz w:val="20"/>
                <w:szCs w:val="20"/>
                <w:color w:val="auto"/>
              </w:rPr>
            </w:pPr>
            <w:r>
              <w:rPr>
                <w:rFonts w:ascii="Arial" w:cs="Arial" w:eastAsia="Arial" w:hAnsi="Arial"/>
                <w:sz w:val="22"/>
                <w:szCs w:val="22"/>
                <w:color w:val="auto"/>
              </w:rPr>
              <w:t>Section 18.11.</w:t>
            </w:r>
          </w:p>
        </w:tc>
        <w:tc>
          <w:tcPr>
            <w:tcW w:w="8720" w:type="dxa"/>
            <w:vAlign w:val="bottom"/>
          </w:tcPr>
          <w:p>
            <w:pPr>
              <w:ind w:left="200"/>
              <w:spacing w:after="0"/>
              <w:rPr>
                <w:sz w:val="20"/>
                <w:szCs w:val="20"/>
                <w:color w:val="auto"/>
              </w:rPr>
            </w:pPr>
            <w:r>
              <w:rPr>
                <w:rFonts w:ascii="Arial" w:cs="Arial" w:eastAsia="Arial" w:hAnsi="Arial"/>
                <w:sz w:val="22"/>
                <w:szCs w:val="22"/>
                <w:color w:val="auto"/>
              </w:rPr>
              <w:t>Other Rights; Fiduciary Duties</w:t>
            </w:r>
          </w:p>
        </w:tc>
        <w:tc>
          <w:tcPr>
            <w:tcW w:w="96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486"/>
        </w:trPr>
        <w:tc>
          <w:tcPr>
            <w:tcW w:w="1780" w:type="dxa"/>
            <w:vAlign w:val="bottom"/>
          </w:tcPr>
          <w:p>
            <w:pPr>
              <w:spacing w:after="0"/>
              <w:rPr>
                <w:sz w:val="20"/>
                <w:szCs w:val="20"/>
                <w:color w:val="auto"/>
              </w:rPr>
            </w:pPr>
            <w:r>
              <w:rPr>
                <w:rFonts w:ascii="Arial" w:cs="Arial" w:eastAsia="Arial" w:hAnsi="Arial"/>
                <w:sz w:val="22"/>
                <w:szCs w:val="22"/>
                <w:color w:val="auto"/>
              </w:rPr>
              <w:t>ARTICLE XIV</w:t>
            </w:r>
          </w:p>
        </w:tc>
        <w:tc>
          <w:tcPr>
            <w:tcW w:w="8720" w:type="dxa"/>
            <w:vAlign w:val="bottom"/>
          </w:tcPr>
          <w:p>
            <w:pPr>
              <w:ind w:left="200"/>
              <w:spacing w:after="0"/>
              <w:rPr>
                <w:sz w:val="20"/>
                <w:szCs w:val="20"/>
                <w:color w:val="auto"/>
              </w:rPr>
            </w:pPr>
            <w:r>
              <w:rPr>
                <w:rFonts w:ascii="Arial" w:cs="Arial" w:eastAsia="Arial" w:hAnsi="Arial"/>
                <w:sz w:val="22"/>
                <w:szCs w:val="22"/>
                <w:color w:val="auto"/>
              </w:rPr>
              <w:t>GENERAL PROVISIONS</w:t>
            </w:r>
          </w:p>
        </w:tc>
        <w:tc>
          <w:tcPr>
            <w:tcW w:w="96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459"/>
        </w:trPr>
        <w:tc>
          <w:tcPr>
            <w:tcW w:w="1780" w:type="dxa"/>
            <w:vAlign w:val="bottom"/>
          </w:tcPr>
          <w:p>
            <w:pPr>
              <w:spacing w:after="0"/>
              <w:rPr>
                <w:sz w:val="24"/>
                <w:szCs w:val="24"/>
                <w:color w:val="auto"/>
              </w:rPr>
            </w:pPr>
          </w:p>
        </w:tc>
        <w:tc>
          <w:tcPr>
            <w:tcW w:w="8720" w:type="dxa"/>
            <w:vAlign w:val="bottom"/>
          </w:tcPr>
          <w:p>
            <w:pPr>
              <w:ind w:left="3860"/>
              <w:spacing w:after="0"/>
              <w:rPr>
                <w:sz w:val="20"/>
                <w:szCs w:val="20"/>
                <w:color w:val="auto"/>
              </w:rPr>
            </w:pPr>
            <w:r>
              <w:rPr>
                <w:rFonts w:ascii="Arial" w:cs="Arial" w:eastAsia="Arial" w:hAnsi="Arial"/>
                <w:sz w:val="22"/>
                <w:szCs w:val="22"/>
                <w:color w:val="auto"/>
              </w:rPr>
              <w:t>iv</w:t>
            </w:r>
          </w:p>
        </w:tc>
        <w:tc>
          <w:tcPr>
            <w:tcW w:w="960" w:type="dxa"/>
            <w:vAlign w:val="bottom"/>
          </w:tcPr>
          <w:p>
            <w:pPr>
              <w:spacing w:after="0"/>
              <w:rPr>
                <w:sz w:val="24"/>
                <w:szCs w:val="24"/>
                <w:color w:val="auto"/>
              </w:rPr>
            </w:pPr>
          </w:p>
        </w:tc>
      </w:tr>
      <w:tr>
        <w:trPr>
          <w:trHeight w:val="122"/>
        </w:trPr>
        <w:tc>
          <w:tcPr>
            <w:tcW w:w="178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Arial" w:cs="Arial" w:eastAsia="Arial" w:hAnsi="Arial"/>
                <w:sz w:val="22"/>
                <w:szCs w:val="22"/>
                <w:color w:val="auto"/>
              </w:rPr>
              <w:t>Section 19.1.</w:t>
            </w:r>
          </w:p>
        </w:tc>
        <w:tc>
          <w:tcPr>
            <w:tcW w:w="6840" w:type="dxa"/>
            <w:vAlign w:val="bottom"/>
          </w:tcPr>
          <w:p>
            <w:pPr>
              <w:ind w:left="200"/>
              <w:spacing w:after="0"/>
              <w:rPr>
                <w:sz w:val="20"/>
                <w:szCs w:val="20"/>
                <w:color w:val="auto"/>
              </w:rPr>
            </w:pPr>
            <w:r>
              <w:rPr>
                <w:rFonts w:ascii="Arial" w:cs="Arial" w:eastAsia="Arial" w:hAnsi="Arial"/>
                <w:sz w:val="22"/>
                <w:szCs w:val="22"/>
                <w:color w:val="auto"/>
              </w:rPr>
              <w:t>Addresses and Notices</w:t>
            </w:r>
          </w:p>
        </w:tc>
        <w:tc>
          <w:tcPr>
            <w:tcW w:w="280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19.2.</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Further Action</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19.3.</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Binding Effect</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19.4.</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Integration</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19.5.</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Creditors</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19.6.</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Waiver</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19.7.</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Counterparts</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19.8.</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Applicable Law; Forum, Venue and Jurisdiction</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19.9.</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Invalidity of Provisions</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19.10.</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Consent of Partners</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color w:val="auto"/>
              </w:rPr>
              <w:t>Section 19.11.</w:t>
            </w:r>
          </w:p>
        </w:tc>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Facsimile Signatures</w:t>
            </w:r>
          </w:p>
        </w:tc>
        <w:tc>
          <w:tcPr>
            <w:tcW w:w="28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75"/>
        </w:trPr>
        <w:tc>
          <w:tcPr>
            <w:tcW w:w="1440" w:type="dxa"/>
            <w:vAlign w:val="bottom"/>
          </w:tcPr>
          <w:p>
            <w:pPr>
              <w:spacing w:after="0"/>
              <w:rPr>
                <w:sz w:val="20"/>
                <w:szCs w:val="20"/>
                <w:color w:val="auto"/>
              </w:rPr>
            </w:pPr>
            <w:r>
              <w:rPr>
                <w:rFonts w:ascii="Arial" w:cs="Arial" w:eastAsia="Arial" w:hAnsi="Arial"/>
                <w:sz w:val="22"/>
                <w:szCs w:val="22"/>
                <w:color w:val="auto"/>
              </w:rPr>
              <w:t>Section 19.12.</w:t>
            </w:r>
          </w:p>
        </w:tc>
        <w:tc>
          <w:tcPr>
            <w:tcW w:w="6840" w:type="dxa"/>
            <w:vAlign w:val="bottom"/>
          </w:tcPr>
          <w:p>
            <w:pPr>
              <w:ind w:left="200"/>
              <w:spacing w:after="0"/>
              <w:rPr>
                <w:sz w:val="20"/>
                <w:szCs w:val="20"/>
                <w:color w:val="auto"/>
              </w:rPr>
            </w:pPr>
            <w:r>
              <w:rPr>
                <w:rFonts w:ascii="Arial" w:cs="Arial" w:eastAsia="Arial" w:hAnsi="Arial"/>
                <w:sz w:val="22"/>
                <w:szCs w:val="22"/>
                <w:color w:val="auto"/>
              </w:rPr>
              <w:t>Third-Party Beneficiaries</w:t>
            </w:r>
          </w:p>
        </w:tc>
        <w:tc>
          <w:tcPr>
            <w:tcW w:w="2800" w:type="dxa"/>
            <w:vAlign w:val="bottom"/>
          </w:tcPr>
          <w:p>
            <w:pPr>
              <w:jc w:val="right"/>
              <w:spacing w:after="0"/>
              <w:rPr>
                <w:sz w:val="20"/>
                <w:szCs w:val="20"/>
                <w:color w:val="auto"/>
              </w:rPr>
            </w:pPr>
            <w:r>
              <w:rPr>
                <w:rFonts w:ascii="Arial" w:cs="Arial" w:eastAsia="Arial" w:hAnsi="Arial"/>
                <w:sz w:val="22"/>
                <w:szCs w:val="22"/>
                <w:color w:val="auto"/>
              </w:rPr>
              <w:t>110</w:t>
            </w:r>
          </w:p>
        </w:tc>
      </w:tr>
    </w:tbl>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32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FORM OF FIFTH AMENDED AND RESTATED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1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THIS FIFTH AMENDED AND RESTATED AGREEMENT OF LIMITED PARTNERSHIP OF GASLOG PARTNERS LP, dated as of November 27, 2018, is entered into by and between GasLog Partners GP LLC, a Marshall Islands limited liability company, as the General Partner and the Limited Partners, together with any other Persons who become Partners in the Partnership or parties hereto as provided herein, and is effective as of the Effective Time.</w:t>
      </w:r>
    </w:p>
    <w:p>
      <w:pPr>
        <w:spacing w:after="0" w:line="17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WHEREAS, the General Partner and the other parties thereto entered into that certain Fourth Amended and Restated Agreement of Limited Partnership of the Partnership (the “</w:t>
      </w:r>
      <w:r>
        <w:rPr>
          <w:rFonts w:ascii="Arial" w:cs="Arial" w:eastAsia="Arial" w:hAnsi="Arial"/>
          <w:sz w:val="19"/>
          <w:szCs w:val="19"/>
          <w:b w:val="1"/>
          <w:bCs w:val="1"/>
          <w:color w:val="auto"/>
        </w:rPr>
        <w:t>Fourth Amended Agreement</w:t>
      </w:r>
      <w:r>
        <w:rPr>
          <w:rFonts w:ascii="Arial" w:cs="Arial" w:eastAsia="Arial" w:hAnsi="Arial"/>
          <w:sz w:val="19"/>
          <w:szCs w:val="19"/>
          <w:color w:val="auto"/>
        </w:rPr>
        <w:t>”) on November 15, 2018;</w:t>
      </w:r>
    </w:p>
    <w:p>
      <w:pPr>
        <w:spacing w:after="0" w:line="10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WHEREAS, the Partnership, GasLog and the General Partner have entered into an Exchange Agreement, dated as of November 27, 2018 (the “</w:t>
      </w:r>
      <w:r>
        <w:rPr>
          <w:rFonts w:ascii="Arial" w:cs="Arial" w:eastAsia="Arial" w:hAnsi="Arial"/>
          <w:sz w:val="19"/>
          <w:szCs w:val="19"/>
          <w:b w:val="1"/>
          <w:bCs w:val="1"/>
          <w:color w:val="auto"/>
        </w:rPr>
        <w:t>Exchange Agreement</w:t>
      </w:r>
      <w:r>
        <w:rPr>
          <w:rFonts w:ascii="Arial" w:cs="Arial" w:eastAsia="Arial" w:hAnsi="Arial"/>
          <w:sz w:val="19"/>
          <w:szCs w:val="19"/>
          <w:color w:val="auto"/>
        </w:rPr>
        <w:t>”), whereby GasLog has agreed to contribute to the Partnership its Incentive Distribution Rights under the Fourth Amended Agreement in exchange for (i) the issuance by the Partnership to GasLog of a new class of Incentive Distribution Rights to be issued by the Partnership under this Agreement, having the rights, preferences, privileges and restrictions set forth herein and (ii) the payment by the Partnership to GasLog of the amount of $25 million in cash;</w:t>
      </w:r>
    </w:p>
    <w:p>
      <w:pPr>
        <w:spacing w:after="0" w:line="148" w:lineRule="exact"/>
        <w:rPr>
          <w:sz w:val="20"/>
          <w:szCs w:val="20"/>
          <w:color w:val="auto"/>
        </w:rPr>
      </w:pPr>
    </w:p>
    <w:p>
      <w:pPr>
        <w:ind w:right="80" w:firstLine="1297"/>
        <w:spacing w:after="0" w:line="275" w:lineRule="auto"/>
        <w:rPr>
          <w:sz w:val="20"/>
          <w:szCs w:val="20"/>
          <w:color w:val="auto"/>
        </w:rPr>
      </w:pPr>
      <w:r>
        <w:rPr>
          <w:rFonts w:ascii="Arial" w:cs="Arial" w:eastAsia="Arial" w:hAnsi="Arial"/>
          <w:sz w:val="19"/>
          <w:szCs w:val="19"/>
          <w:color w:val="auto"/>
        </w:rPr>
        <w:t xml:space="preserve">WHEREAS, Section 13.1(h)(iii) of the Fourth Amended Agreement provides that the Partnership’s Board of Directors, without the approval of any Limited Partner, may amend any provision of the Fourth Amended Agreement, and execute, swear to, acknowledge, deliver, file and record whatever documents may be required in connection therewith, to reflect 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 any modification of the Incentive Distribution Rights made in connection with the issuance of additional Partnership Interests or rights to acquire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that any such modifications to the Incentive Distribution Rights and the related issuance of Partnership Interests have received Special Approval; and</w:t>
      </w:r>
    </w:p>
    <w:p>
      <w:pPr>
        <w:spacing w:after="0" w:line="158"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color w:val="auto"/>
        </w:rPr>
        <w:t>WHEREAS, the Board of Directors has adopted this Agreement pursuant to Section 13.1(h)(iii) of the Fourth Amended Agreement after having determined that the amendments to the Fourth Amended Agreement (i) are necessary or appropriate in connection with a modification of the Incentive Distribution Rights made in connection with the issuance of additional Partnership Interests or rights to acquire Partnership Interests, and such modifications to the Incentive Distributions Rights and the related issuance of Partnership Interests contemplated by this Agreement have received Special Approval, and (ii) to the extent not necessary or appropriate in connection with a modification of the Incentive Distribution Rights made in connection with the issuance of additional Partnership Interests or rights to acquire Partnership Interests, do not, as determined by the Board of Directors, adversely affect the rights of the Limited Partners (including any particular class or series of Partnership Interests as compared to other classes or series of Partnership Interests) in any material respect.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ind w:right="620" w:firstLine="1297"/>
        <w:spacing w:after="0" w:line="251" w:lineRule="auto"/>
        <w:rPr>
          <w:sz w:val="20"/>
          <w:szCs w:val="20"/>
          <w:color w:val="auto"/>
        </w:rPr>
      </w:pPr>
      <w:r>
        <w:rPr>
          <w:rFonts w:ascii="Arial" w:cs="Arial" w:eastAsia="Arial" w:hAnsi="Arial"/>
          <w:sz w:val="22"/>
          <w:szCs w:val="22"/>
          <w:color w:val="auto"/>
        </w:rPr>
        <w:t>NOW, THEREFORE, the Board of Directors and the General Partner do hereby amend and restate the Fourth Amended Agreement to provide, in its entirety,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173"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xml:space="preserve">” means any transaction in which any Group Member acquires (through an asset acquisition, merger, stock acquisition or other form of investment) control over all or a portion of the assets, properties or business of another Person for the purpose of increasing the operating capacity and/or asset base of the Partnership Group from the operating capacity and/or asset base of the Partnership Group existing immediately prior to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acquisition of properties or assets of another Person that is made solely for investment purposes shall not constitute an Acquisition under this Agreement.</w:t>
      </w:r>
    </w:p>
    <w:p>
      <w:pPr>
        <w:spacing w:after="0" w:line="14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Operating Surplus</w:t>
      </w:r>
      <w:r>
        <w:rPr>
          <w:rFonts w:ascii="Arial" w:cs="Arial" w:eastAsia="Arial" w:hAnsi="Arial"/>
          <w:sz w:val="19"/>
          <w:szCs w:val="19"/>
          <w:color w:val="auto"/>
        </w:rPr>
        <w:t>” means, with respect to any period, Operating Surplus generated with respect to such period (a) less (i) the amount of any net increase in Working Capital Borrowings (or the Partnership’s proportionate share of any net increase in Working Capital Borrowings in the case of Subsidiaries that are not wholly-owned) with respect to such period and</w:t>
      </w:r>
    </w:p>
    <w:p>
      <w:pPr>
        <w:spacing w:after="0" w:line="2" w:lineRule="exact"/>
        <w:rPr>
          <w:sz w:val="20"/>
          <w:szCs w:val="20"/>
          <w:color w:val="auto"/>
        </w:rPr>
      </w:pPr>
    </w:p>
    <w:p>
      <w:pPr>
        <w:ind w:right="60" w:firstLine="8"/>
        <w:spacing w:after="0" w:line="267" w:lineRule="auto"/>
        <w:tabs>
          <w:tab w:leader="none" w:pos="318"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amount of any net decrease in cash reserves for Operating Expenditures (or the Partnership’s proportionate share of any net decrease in cash reserves for Operating Expenditures in the case of Subsidiaries that are not wholly-owned) over such period to the extent such reduction does not relate to an Operating Expenditure made with respect to such period, and (b) plus (i) the amount of any net decrease in Working Capital Borrowings (or the Partnership’s proportionate share of any net decrease in Working Capital Borrowings in the case of Subsidiaries that are not wholly-owned) with respect to such period; (ii) the amount of any net increase in cash reserves (or the Partnership’s proportionate share of any net increase in cash reserves in the case of Subsidiaries that are not wholly-owned) for Operating Expenditures over such period to the extent such reserve is required (A) by any debt instrument for the repayment of principal, interest or premium or (B) for any Series A Payments, Series B Payments or Series C Payments; and</w:t>
      </w:r>
    </w:p>
    <w:p>
      <w:pPr>
        <w:ind w:right="120" w:firstLine="8"/>
        <w:spacing w:after="0" w:line="267" w:lineRule="auto"/>
        <w:tabs>
          <w:tab w:leader="none" w:pos="378"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the amount of any net decrease made in subsequent periods in cash reserves for Operating Expenditures initially established with respect to such period to the extent such decrease results in a reduction in Adjusted Operating Surplus in subsequent periods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Adjusted Operating Surplus does not include that portion of Operating Surplus included in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the definition of Operating Surplus. Adjusted Operating Surplus includes that portion of Operating Surplus in </w:t>
      </w:r>
      <w:r>
        <w:rPr>
          <w:rFonts w:ascii="Arial" w:cs="Arial" w:eastAsia="Arial" w:hAnsi="Arial"/>
          <w:sz w:val="19"/>
          <w:szCs w:val="19"/>
          <w:u w:val="single" w:color="auto"/>
          <w:color w:val="auto"/>
        </w:rPr>
        <w:t>clause (a)</w:t>
      </w:r>
    </w:p>
    <w:p>
      <w:pPr>
        <w:ind w:left="320" w:hanging="312"/>
        <w:spacing w:after="0"/>
        <w:tabs>
          <w:tab w:leader="none" w:pos="320" w:val="left"/>
        </w:tabs>
        <w:numPr>
          <w:ilvl w:val="0"/>
          <w:numId w:val="2"/>
        </w:numPr>
        <w:rPr>
          <w:rFonts w:ascii="Arial" w:cs="Arial" w:eastAsia="Arial" w:hAnsi="Arial"/>
          <w:sz w:val="22"/>
          <w:szCs w:val="22"/>
          <w:u w:val="single" w:color="auto"/>
          <w:color w:val="auto"/>
        </w:rPr>
      </w:pPr>
      <w:r>
        <w:rPr>
          <w:rFonts w:ascii="Arial" w:cs="Arial" w:eastAsia="Arial" w:hAnsi="Arial"/>
          <w:sz w:val="22"/>
          <w:szCs w:val="22"/>
          <w:color w:val="auto"/>
        </w:rPr>
        <w:t>of the definition of Operating Surplus only to the extent that cash is received by the Partnership Group.</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intermediaries controls, is controlled by or is under common control with, the Person in question. As used herein, the term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Person, whether through ownership of voting securities, by contract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 w:name="page12"/>
    <w:bookmarkEnd w:id="1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Quantity of 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06"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173"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Fifth Amended and Restated Agreement of Limited Partnership of GasLog Partners LP, as it may be amended, supplemented or restated from time to time.</w:t>
      </w:r>
    </w:p>
    <w:p>
      <w:pPr>
        <w:spacing w:after="0" w:line="173"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xml:space="preserve">” means the meeting of Limited Partners to be held every year, commencing in 2015, to elect the Elected Directors as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to vote on any other matters brought before the meeting in accordance with this Agreement.</w:t>
      </w:r>
    </w:p>
    <w:p>
      <w:pPr>
        <w:spacing w:after="0" w:line="186" w:lineRule="exact"/>
        <w:rPr>
          <w:sz w:val="20"/>
          <w:szCs w:val="20"/>
          <w:color w:val="auto"/>
        </w:rPr>
      </w:pPr>
    </w:p>
    <w:p>
      <w:pPr>
        <w:ind w:right="94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Appointed Directors</w:t>
      </w:r>
      <w:r>
        <w:rPr>
          <w:rFonts w:ascii="Arial" w:cs="Arial" w:eastAsia="Arial" w:hAnsi="Arial"/>
          <w:sz w:val="21"/>
          <w:szCs w:val="21"/>
          <w:color w:val="auto"/>
        </w:rPr>
        <w:t xml:space="preserve">” means the members of the Board of Directors appointed by the General Partner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w:t>
      </w:r>
    </w:p>
    <w:p>
      <w:pPr>
        <w:spacing w:after="0" w:line="151"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Preference Distributions on any series of Preference Units for any Quarter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initial 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18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48"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Audit Committee</w:t>
      </w:r>
      <w:r>
        <w:rPr>
          <w:rFonts w:ascii="Arial" w:cs="Arial" w:eastAsia="Arial" w:hAnsi="Arial"/>
          <w:sz w:val="19"/>
          <w:szCs w:val="19"/>
          <w:color w:val="auto"/>
        </w:rPr>
        <w:t>” means a committee of the Board of Directors, which, within one year of the effective date of the Registration Statement, will be composed of a minimum of three members of the Board of Directors then serving who meet the independence standards 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Cash</w:t>
      </w:r>
      <w:r>
        <w:rPr>
          <w:rFonts w:ascii="Arial" w:cs="Arial" w:eastAsia="Arial" w:hAnsi="Arial"/>
          <w:sz w:val="22"/>
          <w:szCs w:val="22"/>
          <w:color w:val="auto"/>
        </w:rPr>
        <w:t>” means, with respect to any Quarter ending prior to the Liquidation Date:</w:t>
      </w:r>
    </w:p>
    <w:p>
      <w:pPr>
        <w:spacing w:after="0" w:line="206" w:lineRule="exact"/>
        <w:rPr>
          <w:sz w:val="20"/>
          <w:szCs w:val="20"/>
          <w:color w:val="auto"/>
        </w:rPr>
      </w:pPr>
    </w:p>
    <w:p>
      <w:pPr>
        <w:jc w:val="both"/>
        <w:ind w:left="660" w:right="80" w:firstLine="645"/>
        <w:spacing w:after="0" w:line="297" w:lineRule="auto"/>
        <w:tabs>
          <w:tab w:leader="none" w:pos="1602"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2" w:name="page13"/>
    <w:bookmarkEnd w:id="12"/>
    <w:p>
      <w:pPr>
        <w:ind w:left="660" w:right="40"/>
        <w:spacing w:after="0" w:line="235" w:lineRule="auto"/>
        <w:rPr>
          <w:sz w:val="20"/>
          <w:szCs w:val="20"/>
          <w:color w:val="auto"/>
        </w:rPr>
      </w:pPr>
      <w:r>
        <w:rPr>
          <w:rFonts w:ascii="Arial" w:cs="Arial" w:eastAsia="Arial" w:hAnsi="Arial"/>
          <w:sz w:val="22"/>
          <w:szCs w:val="22"/>
          <w:color w:val="auto"/>
        </w:rPr>
        <w:t>cash and cash equivalents in the case of Subsidiaries that are not wholly-owned) on hand on the date of determination of Available Cash with respect to such Quarter resulting from Working Capital Borrowings made subsequent to the end of such Quarter, and (iii) all cash and cash equivalents on hand on the date of determination of Available Cash resulting from cash distributions received after the end of such Quarter from any Group Member’s equity interest in any Person (other than a Subsidiary), which distributions are paid by such Person in respect of operations conducted by such Person during such Quarter, less</w:t>
      </w:r>
    </w:p>
    <w:p>
      <w:pPr>
        <w:spacing w:after="0" w:line="188" w:lineRule="exact"/>
        <w:rPr>
          <w:sz w:val="20"/>
          <w:szCs w:val="20"/>
          <w:color w:val="auto"/>
        </w:rPr>
      </w:pPr>
    </w:p>
    <w:p>
      <w:pPr>
        <w:ind w:left="660" w:right="20" w:firstLine="645"/>
        <w:spacing w:after="0" w:line="272" w:lineRule="auto"/>
        <w:tabs>
          <w:tab w:leader="none" w:pos="1614"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Series B Payments and Series C Payments and/or (iv) provide funds for distributions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in respect of any one or more of the next four Quarters;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may not establish cash reserves pursuant to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if the effect of establishing such reserves would be that the Partnership is unable to distribute the Minimum Quarterly Distribution on all Common Units with respect to such Quarter;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157" w:lineRule="exact"/>
        <w:rPr>
          <w:sz w:val="20"/>
          <w:szCs w:val="20"/>
          <w:color w:val="auto"/>
        </w:rPr>
      </w:pPr>
    </w:p>
    <w:p>
      <w:pPr>
        <w:ind w:right="220" w:firstLine="1297"/>
        <w:spacing w:after="0" w:line="251"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i w:val="1"/>
          <w:iCs w:val="1"/>
          <w:color w:val="auto"/>
        </w:rPr>
        <w:t>Available Cash</w:t>
      </w:r>
      <w:r>
        <w:rPr>
          <w:rFonts w:ascii="Arial" w:cs="Arial" w:eastAsia="Arial" w:hAnsi="Arial"/>
          <w:sz w:val="22"/>
          <w:szCs w:val="22"/>
          <w:color w:val="auto"/>
        </w:rPr>
        <w:t>” with respect to the Quarter in which the Liquidation Date occurs and any subsequent Quarter shall equal zero.</w:t>
      </w:r>
    </w:p>
    <w:p>
      <w:pPr>
        <w:spacing w:after="0" w:line="173"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Cash Derived from Non-GasLog Acquisitions</w:t>
      </w:r>
      <w:r>
        <w:rPr>
          <w:rFonts w:ascii="Arial" w:cs="Arial" w:eastAsia="Arial" w:hAnsi="Arial"/>
          <w:sz w:val="19"/>
          <w:szCs w:val="19"/>
          <w:color w:val="auto"/>
        </w:rPr>
        <w:t>” means, with respect to any Quarter ending prior to the Liquidation Date, all amounts of cash and cash equivalents on hand at the end of such Quarter generated and deriving from each Non-GasLog Acquisition, with the sum of cash and cash equivalents for each Non-GasLog Acquisition multiplied by the Non-GasLog Share with respect to such Non-GasLog Acquisition, if applicable. In calculating the amount of cash and cash equivalents generated and deriving from each Non-GasLog Acquisition with respect to any Quarter, the Partnership:</w:t>
      </w:r>
    </w:p>
    <w:p>
      <w:pPr>
        <w:spacing w:after="0" w:line="148" w:lineRule="exact"/>
        <w:rPr>
          <w:sz w:val="20"/>
          <w:szCs w:val="20"/>
          <w:color w:val="auto"/>
        </w:rPr>
      </w:pPr>
    </w:p>
    <w:p>
      <w:pPr>
        <w:ind w:left="660" w:firstLine="645"/>
        <w:spacing w:after="0" w:line="258" w:lineRule="auto"/>
        <w:tabs>
          <w:tab w:leader="none" w:pos="1602" w:val="left"/>
        </w:tabs>
        <w:numPr>
          <w:ilvl w:val="0"/>
          <w:numId w:val="5"/>
        </w:numPr>
        <w:rPr>
          <w:rFonts w:ascii="Arial" w:cs="Arial" w:eastAsia="Arial" w:hAnsi="Arial"/>
          <w:sz w:val="21"/>
          <w:szCs w:val="21"/>
          <w:color w:val="auto"/>
        </w:rPr>
      </w:pPr>
      <w:r>
        <w:rPr>
          <w:rFonts w:ascii="Arial" w:cs="Arial" w:eastAsia="Arial" w:hAnsi="Arial"/>
          <w:sz w:val="21"/>
          <w:szCs w:val="21"/>
          <w:color w:val="auto"/>
        </w:rPr>
        <w:t>shall include, without limitation, amounts of cash and cash equivalents generated and deriving from the operation of the vessel or other assets constituting each Non-GasLog Acquisition, lease thereof to any third party or sale, transfer or disposition by the Partnership Group of any equity or other ownership interest therein;</w:t>
      </w:r>
    </w:p>
    <w:p>
      <w:pPr>
        <w:spacing w:after="0" w:line="166" w:lineRule="exact"/>
        <w:rPr>
          <w:rFonts w:ascii="Arial" w:cs="Arial" w:eastAsia="Arial" w:hAnsi="Arial"/>
          <w:sz w:val="21"/>
          <w:szCs w:val="21"/>
          <w:color w:val="auto"/>
        </w:rPr>
      </w:pPr>
    </w:p>
    <w:p>
      <w:pPr>
        <w:ind w:left="660" w:right="740" w:firstLine="645"/>
        <w:spacing w:after="0"/>
        <w:tabs>
          <w:tab w:leader="none" w:pos="1614"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deduct related expenses of the operation of the vessel or other assets constituting each Non-GasLog Acquisition, including the sum of such Non-GasLog Acquisition’s total voyage and operating expenses, costs and commissions, vessel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 w:name="page14"/>
    <w:bookmarkEnd w:id="13"/>
    <w:p>
      <w:pPr>
        <w:ind w:left="660" w:right="20"/>
        <w:spacing w:after="0" w:line="287" w:lineRule="auto"/>
        <w:rPr>
          <w:sz w:val="20"/>
          <w:szCs w:val="20"/>
          <w:color w:val="auto"/>
        </w:rPr>
      </w:pPr>
      <w:r>
        <w:rPr>
          <w:rFonts w:ascii="Arial" w:cs="Arial" w:eastAsia="Arial" w:hAnsi="Arial"/>
          <w:sz w:val="19"/>
          <w:szCs w:val="19"/>
          <w:color w:val="auto"/>
        </w:rPr>
        <w:t xml:space="preserve">operating costs or debt service costs, as well as a reasonably proportional allocation of, </w:t>
      </w:r>
      <w:r>
        <w:rPr>
          <w:rFonts w:ascii="Arial" w:cs="Arial" w:eastAsia="Arial" w:hAnsi="Arial"/>
          <w:sz w:val="19"/>
          <w:szCs w:val="19"/>
          <w:i w:val="1"/>
          <w:iCs w:val="1"/>
          <w:color w:val="auto"/>
        </w:rPr>
        <w:t>inter alia</w:t>
      </w:r>
      <w:r>
        <w:rPr>
          <w:rFonts w:ascii="Arial" w:cs="Arial" w:eastAsia="Arial" w:hAnsi="Arial"/>
          <w:sz w:val="19"/>
          <w:szCs w:val="19"/>
          <w:color w:val="auto"/>
        </w:rPr>
        <w:t>, unallocated general and administrative expenses or any corporate financing expenses or distributions (debt or equity type issued by the Partnership for general corporate purposes), realized gains/(losses) on corporate debt hedging instruments and realized gains/(losses) on corporate foreign currency hedging instruments, in each case actually incurred by the Partnership Group; and</w:t>
      </w:r>
    </w:p>
    <w:p>
      <w:pPr>
        <w:spacing w:after="0" w:line="143" w:lineRule="exact"/>
        <w:rPr>
          <w:sz w:val="20"/>
          <w:szCs w:val="20"/>
          <w:color w:val="auto"/>
        </w:rPr>
      </w:pPr>
    </w:p>
    <w:p>
      <w:pPr>
        <w:ind w:left="660" w:right="20" w:firstLine="645"/>
        <w:spacing w:after="0" w:line="235" w:lineRule="auto"/>
        <w:tabs>
          <w:tab w:leader="none" w:pos="160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shall deduct the total amount of each Non-GasLog Acquisition’s reasonably proportionate shares of any cash reserves (or of the Partnership’s proportionate share of cash reserves in the case of Subsidiaries that are not wholly-owned) established by the Board of Directors pursuant to </w:t>
      </w:r>
      <w:r>
        <w:rPr>
          <w:rFonts w:ascii="Arial" w:cs="Arial" w:eastAsia="Arial" w:hAnsi="Arial"/>
          <w:sz w:val="22"/>
          <w:szCs w:val="22"/>
          <w:u w:val="single" w:color="auto"/>
          <w:color w:val="auto"/>
        </w:rPr>
        <w:t>clause (b)(i)</w:t>
      </w:r>
      <w:r>
        <w:rPr>
          <w:rFonts w:ascii="Arial" w:cs="Arial" w:eastAsia="Arial" w:hAnsi="Arial"/>
          <w:sz w:val="22"/>
          <w:szCs w:val="22"/>
          <w:color w:val="auto"/>
        </w:rPr>
        <w:t xml:space="preserve">,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(b)(iii)</w:t>
      </w:r>
      <w:r>
        <w:rPr>
          <w:rFonts w:ascii="Arial" w:cs="Arial" w:eastAsia="Arial" w:hAnsi="Arial"/>
          <w:sz w:val="22"/>
          <w:szCs w:val="22"/>
          <w:color w:val="auto"/>
        </w:rPr>
        <w:t xml:space="preserve"> of the definition of “Available Cash” and on hand at the end of such Quarter, with each such proportion, which shall not be more than 100% nor less than zero, calculated as the total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over the aggregate total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“Available Cash”;</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 that (i) each specific amount calculated pursuant to this definition shall actually have the effect of increasing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decreasing (as the case may be) Available Cash Derived from Non-GasLog Acquisitions no more than once in connection with the calculation of any reduction to distributions actually distributed to the holders of the Incentive Distribution Rights pursuant to </w:t>
      </w:r>
      <w:r>
        <w:rPr>
          <w:rFonts w:ascii="Arial" w:cs="Arial" w:eastAsia="Arial" w:hAnsi="Arial"/>
          <w:sz w:val="21"/>
          <w:szCs w:val="21"/>
          <w:u w:val="single" w:color="auto"/>
          <w:color w:val="auto"/>
        </w:rPr>
        <w:t>Section 6.6(b)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12.4(d)</w:t>
      </w:r>
      <w:r>
        <w:rPr>
          <w:rFonts w:ascii="Arial" w:cs="Arial" w:eastAsia="Arial" w:hAnsi="Arial"/>
          <w:sz w:val="21"/>
          <w:szCs w:val="21"/>
          <w:color w:val="auto"/>
        </w:rPr>
        <w:t>, (ii) Available Cash Derived from Non-GasLog Acquisitions may equal but shall in no event be less than zero and (iii) Available Cash Derived from Non-GasLog Acquisitions shall be zero for any periods prior to the consummation of the acquisition by the Partnership Group of its first Non-GasLog Acquisition.</w:t>
      </w:r>
    </w:p>
    <w:p>
      <w:pPr>
        <w:spacing w:after="0" w:line="177" w:lineRule="exact"/>
        <w:rPr>
          <w:sz w:val="20"/>
          <w:szCs w:val="20"/>
          <w:color w:val="auto"/>
        </w:rPr>
      </w:pPr>
    </w:p>
    <w:p>
      <w:pPr>
        <w:ind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16.5(b)</w:t>
      </w:r>
      <w:r>
        <w:rPr>
          <w:rFonts w:ascii="Arial" w:cs="Arial" w:eastAsia="Arial" w:hAnsi="Arial"/>
          <w:sz w:val="19"/>
          <w:szCs w:val="19"/>
          <w:color w:val="auto"/>
        </w:rPr>
        <w:t>,</w:t>
      </w:r>
    </w:p>
    <w:p>
      <w:pPr>
        <w:spacing w:after="0" w:line="2"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and a majority of whom are not United States citizens or residents, which,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oversees and directs the operations, management and policies of the Partnership. The Board of Directors shall constitute a committee within the meaning of Section 30(2)(g) of the Marshall Islands Act.</w:t>
      </w:r>
    </w:p>
    <w:p>
      <w:pPr>
        <w:spacing w:after="0" w:line="144" w:lineRule="exact"/>
        <w:rPr>
          <w:sz w:val="20"/>
          <w:szCs w:val="20"/>
          <w:color w:val="auto"/>
        </w:rPr>
      </w:pPr>
    </w:p>
    <w:p>
      <w:pPr>
        <w:ind w:right="1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05" w:lineRule="exact"/>
        <w:rPr>
          <w:sz w:val="20"/>
          <w:szCs w:val="20"/>
          <w:color w:val="auto"/>
        </w:rPr>
      </w:pPr>
    </w:p>
    <w:p>
      <w:pPr>
        <w:ind w:right="4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Agent</w:t>
      </w:r>
      <w:r>
        <w:rPr>
          <w:rFonts w:ascii="Arial" w:cs="Arial" w:eastAsia="Arial" w:hAnsi="Arial"/>
          <w:sz w:val="22"/>
          <w:szCs w:val="22"/>
          <w:color w:val="auto"/>
        </w:rPr>
        <w:t>” means a bank, trust company or other Person (including the Partnership and any of its Affiliates) as may be appointed from time to time by the Partnership to act as the calculation agent for the Series B Preference Units and the Series C Preference Units.</w:t>
      </w:r>
    </w:p>
    <w:p>
      <w:pPr>
        <w:spacing w:after="0" w:line="186"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 Contribution</w:t>
      </w:r>
      <w:r>
        <w:rPr>
          <w:rFonts w:ascii="Arial" w:cs="Arial" w:eastAsia="Arial" w:hAnsi="Arial"/>
          <w:sz w:val="21"/>
          <w:szCs w:val="21"/>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4" w:name="page15"/>
    <w:bookmarkEnd w:id="14"/>
    <w:p>
      <w:pPr>
        <w:ind w:right="100"/>
        <w:spacing w:after="0" w:line="251" w:lineRule="auto"/>
        <w:rPr>
          <w:sz w:val="20"/>
          <w:szCs w:val="20"/>
          <w:color w:val="auto"/>
        </w:rPr>
      </w:pPr>
      <w:r>
        <w:rPr>
          <w:rFonts w:ascii="Arial" w:cs="Arial" w:eastAsia="Arial" w:hAnsi="Arial"/>
          <w:sz w:val="22"/>
          <w:szCs w:val="22"/>
          <w:color w:val="auto"/>
        </w:rPr>
        <w:t>cash that the General Partner is entitled to receive but otherwise waives such that the Partnership retains such cash or (ii) Common Units that the General Partner contributes to the Partnership.</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Improvement</w:t>
      </w:r>
      <w:r>
        <w:rPr>
          <w:rFonts w:ascii="Arial" w:cs="Arial" w:eastAsia="Arial" w:hAnsi="Arial"/>
          <w:sz w:val="19"/>
          <w:szCs w:val="19"/>
          <w:color w:val="auto"/>
        </w:rPr>
        <w:t>” means any (a) addition or improvement to the capital assets owned by any Group Member,</w:t>
      </w:r>
    </w:p>
    <w:p>
      <w:pPr>
        <w:spacing w:after="0" w:line="4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acquisition of existing, construction of new or improvement or replacement of existing, capital assets by any Group Member or</w:t>
      </w:r>
    </w:p>
    <w:p>
      <w:pPr>
        <w:spacing w:after="0" w:line="24" w:lineRule="exact"/>
        <w:rPr>
          <w:rFonts w:ascii="Arial" w:cs="Arial" w:eastAsia="Arial" w:hAnsi="Arial"/>
          <w:sz w:val="19"/>
          <w:szCs w:val="19"/>
          <w:color w:val="auto"/>
        </w:rPr>
      </w:pPr>
    </w:p>
    <w:p>
      <w:pPr>
        <w:ind w:firstLine="8"/>
        <w:spacing w:after="0" w:line="243" w:lineRule="auto"/>
        <w:tabs>
          <w:tab w:leader="none" w:pos="294"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capital contribution by a Group Member to a Person that is not a Subsidiary, in which a Group Member has, or after such capital contribution will have, an equity interest, to fund the Group Member’s pro rata share of the cost of the addition or improvement to or the acquisition of existing, or the construction of new, or the improvement or replacement of existing, capital assets by such Person, in each case if such addition, improvement, replacement, acquisition or construction is made to increase the operating capacity and/or asset base of the Partnership Group from the operating capacity and/or asset base of the Partnership Group or such Person, as the case may be, existing immediately prior to such addition, improvement, replacement, acquisition or construction;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any such addition, improvement, acquisition or construction that is made solely for investment purposes</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constitute a Capital Improvement.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Surplus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06" w:lineRule="exact"/>
        <w:rPr>
          <w:sz w:val="20"/>
          <w:szCs w:val="20"/>
          <w:color w:val="auto"/>
        </w:rPr>
      </w:pPr>
    </w:p>
    <w:p>
      <w:pPr>
        <w:jc w:val="both"/>
        <w:ind w:right="4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186"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w:t>
      </w:r>
      <w:r>
        <w:rPr>
          <w:rFonts w:ascii="Arial" w:cs="Arial" w:eastAsia="Arial" w:hAnsi="Arial"/>
          <w:sz w:val="22"/>
          <w:szCs w:val="22"/>
          <w:color w:val="auto"/>
        </w:rPr>
        <w:t xml:space="preserve">” means a certificate (a)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with respect to Common Units,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with respect to Series A Preference Units,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this Agreement with respect to Series B Preference Units and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to this Agreement with respect to Series C Preference Units, (b) issued in global or book entry form in accordance with the rules and regulations of the Depositary or (c) in such 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91" w:lineRule="exact"/>
        <w:rPr>
          <w:sz w:val="20"/>
          <w:szCs w:val="20"/>
          <w:color w:val="auto"/>
        </w:rPr>
      </w:pPr>
    </w:p>
    <w:p>
      <w:pPr>
        <w:jc w:val="both"/>
        <w:ind w:right="1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xml:space="preserve">” means the Certificate of Limited Partnership of the Partnership filed with the Registrar of Corporations of The Marshall Islands as referenced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as such Certificate of Limited Partnership may be amended, supplemented or restated from time to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first date on which Common Units were sold by the Partnership to the Underwriters pursuant to the provisions of the Underwriting Agreement.</w:t>
      </w:r>
    </w:p>
    <w:p>
      <w:pPr>
        <w:spacing w:after="0" w:line="173"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Price</w:t>
      </w:r>
      <w:r>
        <w:rPr>
          <w:rFonts w:ascii="Arial" w:cs="Arial" w:eastAsia="Arial" w:hAnsi="Arial"/>
          <w:sz w:val="22"/>
          <w:szCs w:val="22"/>
          <w:color w:val="auto"/>
        </w:rPr>
        <w:t>” means, in respect of any class or series of Limited Partner Interests, as of the date of determination, the last sale price on such day, regular way, or in case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9"/>
          <w:szCs w:val="19"/>
          <w:color w:val="auto"/>
        </w:rPr>
        <w:t>no such sale takes place on such day, the average of the closing bid and ask prices on such day, 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162" w:lineRule="exact"/>
        <w:rPr>
          <w:sz w:val="20"/>
          <w:szCs w:val="20"/>
          <w:color w:val="auto"/>
        </w:rPr>
      </w:pPr>
    </w:p>
    <w:p>
      <w:pPr>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 and in effect from time to time. Any reference herein to a specific section or sections of the Code shall be deemed to include a reference to any corresponding provision of any successor law.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06" w:lineRule="exact"/>
        <w:rPr>
          <w:sz w:val="20"/>
          <w:szCs w:val="20"/>
          <w:color w:val="auto"/>
        </w:rPr>
      </w:pPr>
    </w:p>
    <w:p>
      <w:pPr>
        <w:jc w:val="both"/>
        <w:ind w:right="7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Commences Commercial Service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Commenced Commercial Service</w:t>
      </w:r>
      <w:r>
        <w:rPr>
          <w:rFonts w:ascii="Arial" w:cs="Arial" w:eastAsia="Arial" w:hAnsi="Arial"/>
          <w:sz w:val="22"/>
          <w:szCs w:val="22"/>
          <w:color w:val="auto"/>
        </w:rPr>
        <w:t>” shall mean the date a Capital Improvement is first put into commercial service by a Group Member following, if applicable, completion of construction, acquisition, development and testing.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ind w:right="6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Unit</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Common Units in this Agreement.</w:t>
      </w:r>
    </w:p>
    <w:p>
      <w:pPr>
        <w:spacing w:after="0" w:line="105" w:lineRule="exact"/>
        <w:rPr>
          <w:sz w:val="20"/>
          <w:szCs w:val="20"/>
          <w:color w:val="auto"/>
        </w:rPr>
      </w:pPr>
    </w:p>
    <w:p>
      <w:pPr>
        <w:ind w:right="10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Conflicts Committee</w:t>
      </w:r>
      <w:r>
        <w:rPr>
          <w:rFonts w:ascii="Arial" w:cs="Arial" w:eastAsia="Arial" w:hAnsi="Arial"/>
          <w:sz w:val="19"/>
          <w:szCs w:val="19"/>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58"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6" w:name="page17"/>
    <w:bookmarkEnd w:id="16"/>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Agreement</w:t>
      </w:r>
      <w:r>
        <w:rPr>
          <w:rFonts w:ascii="Arial" w:cs="Arial" w:eastAsia="Arial" w:hAnsi="Arial"/>
          <w:sz w:val="19"/>
          <w:szCs w:val="19"/>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34"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Market Price</w:t>
      </w:r>
      <w:r>
        <w:rPr>
          <w:rFonts w:ascii="Arial" w:cs="Arial" w:eastAsia="Arial" w:hAnsi="Arial"/>
          <w:sz w:val="22"/>
          <w:szCs w:val="22"/>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pacing w:after="0" w:line="186"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Issuance and Distribution</w:t>
      </w:r>
      <w:r>
        <w:rPr>
          <w:rFonts w:ascii="Arial" w:cs="Arial" w:eastAsia="Arial" w:hAnsi="Arial"/>
          <w:sz w:val="19"/>
          <w:szCs w:val="19"/>
          <w:color w:val="auto"/>
        </w:rPr>
        <w:t xml:space="preserve">” means both (a) the issuance by the Partnership of additional Common Units that is equal to the excess, if any, of (x) 1,260,000 minus (y) the aggregate number, if any, of Common Units actually purchased by and issued to the Underwriters pursuant to the Over- Allotment Option on the Option Closing Date(s), and (b) 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if any.</w:t>
      </w:r>
    </w:p>
    <w:p>
      <w:pPr>
        <w:spacing w:after="0" w:line="151"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3"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5:00 P.M. Eastern time on the date of this Agreement.</w:t>
      </w:r>
    </w:p>
    <w:p>
      <w:pPr>
        <w:spacing w:after="0" w:line="206"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Elected Directors</w:t>
      </w:r>
      <w:r>
        <w:rPr>
          <w:rFonts w:ascii="Arial" w:cs="Arial" w:eastAsia="Arial" w:hAnsi="Arial"/>
          <w:sz w:val="19"/>
          <w:szCs w:val="19"/>
          <w:color w:val="auto"/>
        </w:rPr>
        <w:t xml:space="preserve">” means the members of the Board of Directors who are elected as such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at least two (and subject to </w:t>
      </w:r>
      <w:r>
        <w:rPr>
          <w:rFonts w:ascii="Arial" w:cs="Arial" w:eastAsia="Arial" w:hAnsi="Arial"/>
          <w:sz w:val="19"/>
          <w:szCs w:val="19"/>
          <w:u w:val="single" w:color="auto"/>
          <w:color w:val="auto"/>
        </w:rPr>
        <w:t>Section 7.2(d)</w:t>
      </w:r>
      <w:r>
        <w:rPr>
          <w:rFonts w:ascii="Arial" w:cs="Arial" w:eastAsia="Arial" w:hAnsi="Arial"/>
          <w:sz w:val="19"/>
          <w:szCs w:val="19"/>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Series B Preference Units or Series C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59" w:lineRule="exact"/>
        <w:rPr>
          <w:sz w:val="20"/>
          <w:szCs w:val="20"/>
          <w:color w:val="auto"/>
        </w:rPr>
      </w:pPr>
    </w:p>
    <w:p>
      <w:pPr>
        <w:ind w:right="12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Estimated Maintenance and Replacement Capital Expenditures</w:t>
      </w:r>
      <w:r>
        <w:rPr>
          <w:rFonts w:ascii="Arial" w:cs="Arial" w:eastAsia="Arial" w:hAnsi="Arial"/>
          <w:sz w:val="21"/>
          <w:szCs w:val="21"/>
          <w:color w:val="auto"/>
        </w:rPr>
        <w:t>” means an estimate made in good faith by the Board of Directors (with the concurrence of the Conflicts Committee) of the average quarterly Maintenance and Replacement Capital Expenditures that the Partnership will need to incur to maintain over the long-term the operating capacity and asset base of the Partnership Group (including the Partnership’s proportionate share of the average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9"/>
          <w:szCs w:val="19"/>
          <w:color w:val="auto"/>
        </w:rPr>
        <w:t xml:space="preserve">quarterly Maintenance and Replacement Capital Expenditures of its Subsidiaries that are not wholly-owned) existing at the time the estimate is made. The Board of Directors (with the concurrence of the Conflicts Committee) will be permitted to make such estimate in any manner it determines reasonable. Beginning after the Closing Date, the estimate will be made at least annually and whenever an event occurs that is likely to result in a material adjustment to the amount of Maintenance and Replacement Capital Expenditures on a long-term basis. The Partnership shall disclose to its Partners any change in the amount of Estimated Maintenance and Replacement Capital Expenditures in its reports made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to the extent not previously disclosed. Any adjustments to Estimated Maintenance and Replacement Capital Expenditures shall be prospective only.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06"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Agreement</w:t>
      </w:r>
      <w:r>
        <w:rPr>
          <w:rFonts w:ascii="Arial" w:cs="Arial" w:eastAsia="Arial" w:hAnsi="Arial"/>
          <w:sz w:val="22"/>
          <w:szCs w:val="22"/>
          <w:color w:val="auto"/>
        </w:rPr>
        <w:t>” has the meaning assigned to such term in the Recitals.</w:t>
      </w:r>
    </w:p>
    <w:p>
      <w:pPr>
        <w:spacing w:after="0" w:line="206" w:lineRule="exact"/>
        <w:rPr>
          <w:sz w:val="20"/>
          <w:szCs w:val="20"/>
          <w:color w:val="auto"/>
        </w:rPr>
      </w:pPr>
    </w:p>
    <w:p>
      <w:pPr>
        <w:ind w:right="60"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Expansion Capital Expenditures</w:t>
      </w:r>
      <w:r>
        <w:rPr>
          <w:rFonts w:ascii="Arial" w:cs="Arial" w:eastAsia="Arial" w:hAnsi="Arial"/>
          <w:sz w:val="21"/>
          <w:szCs w:val="21"/>
          <w:color w:val="auto"/>
        </w:rPr>
        <w:t>” means cash expenditures for Acquisitions or Capital Improvements. Expansion Capital Expenditures shall not include Maintenance and Replacement Capital Expenditures or Investment Capital Expenditures. Expansion Capital Expenditures shall include interest payments (and related fees) on debt incurred and distributions on equity issued, in each case, to fund the construction of a Capital Improvement and paid in respect of the period beginning on the date that a Group Member enters into a binding obligation to commence construction of the Capital Improvement and ending on the earlier to occur of the date that such Capital Improvement Commences Commercial Service or the date that such Capital Improvement is abandoned or disposed of. Debt incurred or equity issued to fund any such construction period interest payments, or such construction period distributions on equity paid in respect of such period shall also be deemed to be debt incurred or equity issued, as the case may be, to fund the construction of a Capital Improvement, and the Incremental Incentive Distributions paid in respect of such newly issued equity shall be deemed to be distributions paid on equity issued to finance the construction of a Capital Improvement.</w:t>
      </w:r>
    </w:p>
    <w:p>
      <w:pPr>
        <w:spacing w:after="0" w:line="190" w:lineRule="exact"/>
        <w:rPr>
          <w:sz w:val="20"/>
          <w:szCs w:val="20"/>
          <w:color w:val="auto"/>
        </w:rPr>
      </w:pPr>
    </w:p>
    <w:p>
      <w:pPr>
        <w:jc w:val="both"/>
        <w:ind w:right="8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Target Distribution</w:t>
      </w:r>
      <w:r>
        <w:rPr>
          <w:rFonts w:ascii="Arial" w:cs="Arial" w:eastAsia="Arial" w:hAnsi="Arial"/>
          <w:sz w:val="21"/>
          <w:szCs w:val="21"/>
          <w:color w:val="auto"/>
        </w:rPr>
        <w:t xml:space="preserve">” means $0.43125 per Unit per Quarter (or, with respect to the period commencing on the Closing Date and ending on June 30, 2014, it means the product of $0.43125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6.5</w:t>
      </w:r>
      <w:r>
        <w:rPr>
          <w:rFonts w:ascii="Arial" w:cs="Arial" w:eastAsia="Arial" w:hAnsi="Arial"/>
          <w:sz w:val="21"/>
          <w:szCs w:val="21"/>
          <w:color w:val="auto"/>
        </w:rPr>
        <w:t>.</w:t>
      </w:r>
    </w:p>
    <w:p>
      <w:pPr>
        <w:spacing w:after="0" w:line="174"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Fully Diluted Weighted Average Basis</w:t>
      </w:r>
      <w:r>
        <w:rPr>
          <w:rFonts w:ascii="Arial" w:cs="Arial" w:eastAsia="Arial" w:hAnsi="Arial"/>
          <w:sz w:val="19"/>
          <w:szCs w:val="19"/>
          <w:color w:val="auto"/>
        </w:rPr>
        <w:t>” means, when calculating the number of Outstanding Units for any period, a basis that includes (a) the weighted average number of Outstanding Units plus (b) all Partnership Interests and options, rights, warrants and appreciation rights relating to an equity interest in the Partnership (i) that are convertible into or exercisable or exchangeable for Units or for which Units are issuable, (ii) whose conversion, exercise or exchange price is less than the Current Market Price on the date of such calculation, (iii) that may be converted into or exercised or exchanged for such Units prior to or during the Quarter immediately following the end of the period for which the calculation is being made without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9"/>
          <w:szCs w:val="19"/>
          <w:color w:val="auto"/>
        </w:rPr>
        <w:t xml:space="preserve">satisfaction of any contingency beyond the control of the holder other than the payment of consideration and the compliance with administrative mechanics applicable to such conversion, exercise or exchange and (iv) that were not converted into or exercised or exchanged for such Units during the period for which the calculation is being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consideration will be paid to any Group Member in connection with such conversion, exercise or exchange, the number of Units to be included in such calculation shall be that number equal to the difference between (y) the number of Units issuable upon such conversion, exercise or exchange and (z) the number of Units that such consideration would purchase at the Current Market Price.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206"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w:t>
      </w:r>
      <w:r>
        <w:rPr>
          <w:rFonts w:ascii="Arial" w:cs="Arial" w:eastAsia="Arial" w:hAnsi="Arial"/>
          <w:sz w:val="22"/>
          <w:szCs w:val="22"/>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186" w:lineRule="exact"/>
        <w:rPr>
          <w:sz w:val="20"/>
          <w:szCs w:val="20"/>
          <w:color w:val="auto"/>
        </w:rPr>
      </w:pPr>
    </w:p>
    <w:p>
      <w:pPr>
        <w:jc w:val="both"/>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 Interest</w:t>
      </w:r>
      <w:r>
        <w:rPr>
          <w:rFonts w:ascii="Arial" w:cs="Arial" w:eastAsia="Arial" w:hAnsi="Arial"/>
          <w:sz w:val="21"/>
          <w:szCs w:val="21"/>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74"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w:t>
      </w:r>
      <w:r>
        <w:rPr>
          <w:rFonts w:ascii="Arial" w:cs="Arial" w:eastAsia="Arial" w:hAnsi="Arial"/>
          <w:sz w:val="22"/>
          <w:szCs w:val="22"/>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06"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ind w:right="18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Hedge Contract</w:t>
      </w:r>
      <w:r>
        <w:rPr>
          <w:rFonts w:ascii="Arial" w:cs="Arial" w:eastAsia="Arial" w:hAnsi="Arial"/>
          <w:sz w:val="21"/>
          <w:szCs w:val="21"/>
          <w:color w:val="auto"/>
        </w:rPr>
        <w:t>” means any exchange, swap, forward, future, cap, floor, collar or other similar agreement or arrangement entered into for the purpose of hedging the Partnership Group’s exposure to fluctuations in the price of interest rates, currencies or commodities in their operations and not for speculative purposes.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06"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Distribution Right</w:t>
      </w:r>
      <w:r>
        <w:rPr>
          <w:rFonts w:ascii="Arial" w:cs="Arial" w:eastAsia="Arial" w:hAnsi="Arial"/>
          <w:sz w:val="19"/>
          <w:szCs w:val="19"/>
          <w:color w:val="auto"/>
        </w:rPr>
        <w:t>” means, (i) prior to the Effective Time, the class of non-voting Limited Partner Interest issued under the Fourth Amended Agreement and owned on the date hereof by GasLog, and (ii) as of the Effective Time, the class of non-voting Limited Partner Interest issued to GasLog in exchange for the contribution by GasLog of the class of Incentive Distribution Rights owned by it (as described in clause (i) above) as contemplated by the Exchange Agreement,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158"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Distributions</w:t>
      </w:r>
      <w:r>
        <w:rPr>
          <w:rFonts w:ascii="Arial" w:cs="Arial" w:eastAsia="Arial" w:hAnsi="Arial"/>
          <w:sz w:val="22"/>
          <w:szCs w:val="22"/>
          <w:color w:val="auto"/>
        </w:rPr>
        <w:t xml:space="preserve">” means, subject to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any amount of cash distributed to the holders of the Incentive Distribution Rights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and the last sentence of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Distributions Reduction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Incremental Incentive Distributions</w:t>
      </w:r>
      <w:r>
        <w:rPr>
          <w:rFonts w:ascii="Arial" w:cs="Arial" w:eastAsia="Arial" w:hAnsi="Arial"/>
          <w:sz w:val="22"/>
          <w:szCs w:val="22"/>
          <w:color w:val="auto"/>
        </w:rPr>
        <w:t xml:space="preserve">” means, with respect to any newly issued equity securities of the Partnership, the incremental amount of any Incentive Distributions payable under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based solely upon the amount of distributions paid in respect of such newly issued equity securities.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right="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 Person shall not be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0" w:name="page21"/>
    <w:bookmarkEnd w:id="20"/>
    <w:p>
      <w:pPr>
        <w:ind w:right="60"/>
        <w:spacing w:after="0"/>
        <w:rPr>
          <w:sz w:val="20"/>
          <w:szCs w:val="20"/>
          <w:color w:val="auto"/>
        </w:rPr>
      </w:pPr>
      <w:r>
        <w:rPr>
          <w:rFonts w:ascii="Arial" w:cs="Arial" w:eastAsia="Arial" w:hAnsi="Arial"/>
          <w:sz w:val="22"/>
          <w:szCs w:val="22"/>
          <w:color w:val="auto"/>
        </w:rPr>
        <w:t>Indemnitee by reason of providing, on a fee-for-services basis, trustee, fiduciary or custodial services), (f) the members of the Board of Directors, (g) the Officers, and (h) any other Person the Board of Directors designates as an “</w:t>
      </w:r>
      <w:r>
        <w:rPr>
          <w:rFonts w:ascii="Arial" w:cs="Arial" w:eastAsia="Arial" w:hAnsi="Arial"/>
          <w:sz w:val="22"/>
          <w:szCs w:val="22"/>
          <w:i w:val="1"/>
          <w:iCs w:val="1"/>
          <w:color w:val="auto"/>
        </w:rPr>
        <w:t>Indemnitee</w:t>
      </w:r>
      <w:r>
        <w:rPr>
          <w:rFonts w:ascii="Arial" w:cs="Arial" w:eastAsia="Arial" w:hAnsi="Arial"/>
          <w:sz w:val="22"/>
          <w:szCs w:val="22"/>
          <w:color w:val="auto"/>
        </w:rPr>
        <w:t>” for purposes of this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Common Units</w:t>
      </w:r>
      <w:r>
        <w:rPr>
          <w:rFonts w:ascii="Arial" w:cs="Arial" w:eastAsia="Arial" w:hAnsi="Arial"/>
          <w:sz w:val="22"/>
          <w:szCs w:val="22"/>
          <w:color w:val="auto"/>
        </w:rPr>
        <w:t>” means the Common Units sold in the Initial Offering.</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General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Partners</w:t>
      </w:r>
      <w:r>
        <w:rPr>
          <w:rFonts w:ascii="Arial" w:cs="Arial" w:eastAsia="Arial" w:hAnsi="Arial"/>
          <w:sz w:val="22"/>
          <w:szCs w:val="22"/>
          <w:color w:val="auto"/>
        </w:rPr>
        <w:t xml:space="preserve">” means GasLog and the Underwriters, in each case upon being admitted as Partners to the Partnership in accordance with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3" w:lineRule="exact"/>
        <w:rPr>
          <w:sz w:val="20"/>
          <w:szCs w:val="20"/>
          <w:color w:val="auto"/>
        </w:rPr>
      </w:pPr>
    </w:p>
    <w:p>
      <w:pPr>
        <w:ind w:right="4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means the initial public offering and sale of Common Units to the public, as described in the Registration Statement, including any Common Units sold pursuant to the exercise of the Over-Allotment Option.</w:t>
      </w:r>
    </w:p>
    <w:p>
      <w:pPr>
        <w:spacing w:after="0" w:line="10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Unit Price</w:t>
      </w:r>
      <w:r>
        <w:rPr>
          <w:rFonts w:ascii="Arial" w:cs="Arial" w:eastAsia="Arial" w:hAnsi="Arial"/>
          <w:sz w:val="19"/>
          <w:szCs w:val="19"/>
          <w:color w:val="auto"/>
        </w:rPr>
        <w:t>” means (a) with respect to the Common Units, the initial public offering price per Common Unit at which the Underwriters first offered the Common Units to the public for sale as set forth on the cover page of the 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Board of Directors, in each case adjusted as the Board of Directors determines to be appropriate to give effect to any distribution, subdivision or combination of Units.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Interim Capital Transactions</w:t>
      </w:r>
      <w:r>
        <w:rPr>
          <w:rFonts w:ascii="Arial" w:cs="Arial" w:eastAsia="Arial" w:hAnsi="Arial"/>
          <w:sz w:val="21"/>
          <w:szCs w:val="21"/>
          <w:color w:val="auto"/>
        </w:rPr>
        <w:t>” means the following transactions if they occur prior to the Liquidation Date:</w:t>
      </w:r>
    </w:p>
    <w:p>
      <w:pPr>
        <w:spacing w:after="0" w:line="20" w:lineRule="exact"/>
        <w:rPr>
          <w:sz w:val="20"/>
          <w:szCs w:val="20"/>
          <w:color w:val="auto"/>
        </w:rPr>
      </w:pPr>
    </w:p>
    <w:p>
      <w:pPr>
        <w:ind w:right="40" w:firstLine="8"/>
        <w:spacing w:after="0" w:line="232" w:lineRule="auto"/>
        <w:tabs>
          <w:tab w:leader="none" w:pos="294" w:val="left"/>
        </w:tabs>
        <w:numPr>
          <w:ilvl w:val="0"/>
          <w:numId w:val="8"/>
        </w:numPr>
        <w:rPr>
          <w:rFonts w:ascii="Arial" w:cs="Arial" w:eastAsia="Arial" w:hAnsi="Arial"/>
          <w:sz w:val="22"/>
          <w:szCs w:val="22"/>
          <w:color w:val="auto"/>
        </w:rPr>
      </w:pPr>
      <w:r>
        <w:rPr>
          <w:rFonts w:ascii="Arial" w:cs="Arial" w:eastAsia="Arial" w:hAnsi="Arial"/>
          <w:sz w:val="22"/>
          <w:szCs w:val="22"/>
          <w:color w:val="auto"/>
        </w:rPr>
        <w:t>borrowings, refinancings or refundings of indebtedness (other than Working Capital Borrowings and other than for items purchased on open account in the ordinary course of business) by any Group Member and sales of debt securities of any Group Member; (b) sales of equity interests of any Group Member (including the Common Units sold to the Underwriters in the Initial Offering or pursuant to the exercise of the Over-Allotment Option); (c) sales or other voluntary or involuntary dispositions of any assets of any Group Member (including assets acquired using Investment Capital Expenditures) other than (i) sales or other dispositions of inventory, accounts receivable and other assets in the ordinary course of business and (ii) sales or other dispositions of assets as part of normal retirements or replacements; (d) capital contributions received; and (e) corporate reorganizations or restructurings.</w:t>
      </w:r>
    </w:p>
    <w:p>
      <w:pPr>
        <w:spacing w:after="0" w:line="187" w:lineRule="exact"/>
        <w:rPr>
          <w:sz w:val="20"/>
          <w:szCs w:val="20"/>
          <w:color w:val="auto"/>
        </w:rPr>
      </w:pPr>
    </w:p>
    <w:p>
      <w:pPr>
        <w:ind w:right="2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 Capital Expenditures</w:t>
      </w:r>
      <w:r>
        <w:rPr>
          <w:rFonts w:ascii="Arial" w:cs="Arial" w:eastAsia="Arial" w:hAnsi="Arial"/>
          <w:sz w:val="22"/>
          <w:szCs w:val="22"/>
          <w:color w:val="auto"/>
        </w:rPr>
        <w:t>” means capital expenditures other than Maintenance and Replacement Capital Expenditures and Expansion Capital Expenditures.</w:t>
      </w:r>
    </w:p>
    <w:p>
      <w:pPr>
        <w:spacing w:after="0" w:line="173"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Securities</w:t>
      </w:r>
      <w:r>
        <w:rPr>
          <w:rFonts w:ascii="Arial" w:cs="Arial" w:eastAsia="Arial" w:hAnsi="Arial"/>
          <w:sz w:val="19"/>
          <w:szCs w:val="19"/>
          <w:color w:val="auto"/>
        </w:rPr>
        <w:t xml:space="preserve">” means: (i) the Common Units and (ii) any other class or series of Partnership Interests established after May 15, 2017 by the General Partner, the terms of which class or series do not expressly provide that it is made senior to or on parity with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1" w:name="page22"/>
    <w:bookmarkEnd w:id="21"/>
    <w:p>
      <w:pPr>
        <w:ind w:right="10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Partner</w:t>
      </w:r>
      <w:r>
        <w:rPr>
          <w:rFonts w:ascii="Arial" w:cs="Arial" w:eastAsia="Arial" w:hAnsi="Arial"/>
          <w:sz w:val="19"/>
          <w:szCs w:val="19"/>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in each case, in such Person’s capacity as a limited partner of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when the term “</w:t>
      </w:r>
      <w:r>
        <w:rPr>
          <w:rFonts w:ascii="Arial" w:cs="Arial" w:eastAsia="Arial" w:hAnsi="Arial"/>
          <w:sz w:val="19"/>
          <w:szCs w:val="19"/>
          <w:i w:val="1"/>
          <w:iCs w:val="1"/>
          <w:color w:val="auto"/>
        </w:rPr>
        <w:t>Limited Partner</w:t>
      </w:r>
      <w:r>
        <w:rPr>
          <w:rFonts w:ascii="Arial" w:cs="Arial" w:eastAsia="Arial" w:hAnsi="Arial"/>
          <w:sz w:val="19"/>
          <w:szCs w:val="19"/>
          <w:color w:val="auto"/>
        </w:rPr>
        <w:t xml:space="preserve">” is used herein in the context of any vote or other approval, including </w:t>
      </w:r>
      <w:r>
        <w:rPr>
          <w:rFonts w:ascii="Arial" w:cs="Arial" w:eastAsia="Arial" w:hAnsi="Arial"/>
          <w:sz w:val="19"/>
          <w:szCs w:val="19"/>
          <w:u w:val="single" w:color="auto"/>
          <w:color w:val="auto"/>
        </w:rPr>
        <w:t>Articles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XIV</w:t>
      </w:r>
      <w:r>
        <w:rPr>
          <w:rFonts w:ascii="Arial" w:cs="Arial" w:eastAsia="Arial" w:hAnsi="Arial"/>
          <w:sz w:val="19"/>
          <w:szCs w:val="19"/>
          <w:color w:val="auto"/>
        </w:rPr>
        <w:t>, such term shall not, solely for such purpose, include any holder of an Incentive Distribution Right (solely with respect to its Incentive Distribution Rights and not with respect to any other Limited Partner Interest held by such Person) except as may otherwise be required by law. Limited Partners may include custodians, nominees or any other individual or entity in its own or any representative capacity.</w:t>
      </w:r>
    </w:p>
    <w:p>
      <w:pPr>
        <w:spacing w:after="0" w:line="158" w:lineRule="exact"/>
        <w:rPr>
          <w:sz w:val="20"/>
          <w:szCs w:val="20"/>
          <w:color w:val="auto"/>
        </w:rPr>
      </w:pPr>
    </w:p>
    <w:p>
      <w:pPr>
        <w:ind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Limited Partner Interest</w:t>
      </w:r>
      <w:r>
        <w:rPr>
          <w:rFonts w:ascii="Arial" w:cs="Arial" w:eastAsia="Arial" w:hAnsi="Arial"/>
          <w:sz w:val="22"/>
          <w:szCs w:val="22"/>
          <w:color w:val="auto"/>
        </w:rPr>
        <w:t xml:space="preserve">” means the ownership interest of a Limited Partner in the Partnership, which may be evidenced by Common Units, Preference Units, Incentive Distribution Rights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the term “</w:t>
      </w:r>
      <w:r>
        <w:rPr>
          <w:rFonts w:ascii="Arial" w:cs="Arial" w:eastAsia="Arial" w:hAnsi="Arial"/>
          <w:sz w:val="22"/>
          <w:szCs w:val="22"/>
          <w:i w:val="1"/>
          <w:iCs w:val="1"/>
          <w:color w:val="auto"/>
        </w:rPr>
        <w:t>Limited Partner Interest</w:t>
      </w:r>
      <w:r>
        <w:rPr>
          <w:rFonts w:ascii="Arial" w:cs="Arial" w:eastAsia="Arial" w:hAnsi="Arial"/>
          <w:sz w:val="22"/>
          <w:szCs w:val="22"/>
          <w:color w:val="auto"/>
        </w:rPr>
        <w:t>” is used herein in the context of any vote or other approval, including</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Articles XIII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 such term shall not, solely for such purpose, include any Incentive Distribution Right except as may otherwise be required by law.</w:t>
      </w:r>
    </w:p>
    <w:p>
      <w:pPr>
        <w:spacing w:after="0" w:line="191" w:lineRule="exact"/>
        <w:rPr>
          <w:sz w:val="20"/>
          <w:szCs w:val="20"/>
          <w:color w:val="auto"/>
        </w:rPr>
      </w:pPr>
    </w:p>
    <w:p>
      <w:pPr>
        <w:ind w:right="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Distributions IDR Reduction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12.4(d)</w:t>
      </w:r>
      <w:r>
        <w:rPr>
          <w:rFonts w:ascii="Arial" w:cs="Arial" w:eastAsia="Arial" w:hAnsi="Arial"/>
          <w:sz w:val="22"/>
          <w:szCs w:val="22"/>
          <w:color w:val="auto"/>
        </w:rPr>
        <w:t>.</w:t>
      </w:r>
    </w:p>
    <w:p>
      <w:pPr>
        <w:spacing w:after="0" w:line="206" w:lineRule="exact"/>
        <w:rPr>
          <w:sz w:val="20"/>
          <w:szCs w:val="20"/>
          <w:color w:val="auto"/>
        </w:rPr>
      </w:pPr>
    </w:p>
    <w:p>
      <w:pPr>
        <w:ind w:right="2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the occurrence of a dissolution or liquidation of the Partnership, whether voluntary or involuntary;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Liquidation Event shall not precede the Liquidation Date. Neither the sale of all or substantially all of the property or business of the Partnership nor the consolidation or merger of the Partnership with or into any other Person, individually or in a series of transactions, shall be deemed a Liquidation Event.</w:t>
      </w:r>
    </w:p>
    <w:p>
      <w:pPr>
        <w:spacing w:after="0" w:line="143" w:lineRule="exact"/>
        <w:rPr>
          <w:sz w:val="20"/>
          <w:szCs w:val="20"/>
          <w:color w:val="auto"/>
        </w:rPr>
      </w:pPr>
    </w:p>
    <w:p>
      <w:pPr>
        <w:ind w:right="4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Preference</w:t>
      </w:r>
      <w:r>
        <w:rPr>
          <w:rFonts w:ascii="Arial" w:cs="Arial" w:eastAsia="Arial" w:hAnsi="Arial"/>
          <w:sz w:val="19"/>
          <w:szCs w:val="19"/>
          <w:color w:val="auto"/>
        </w:rPr>
        <w:t xml:space="preserve">” means, in connection with any distribution in connection with a Liquidation Event pursuant to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the Series B Liquidation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 w:name="page23"/>
    <w:bookmarkEnd w:id="22"/>
    <w:p>
      <w:pPr>
        <w:ind w:right="300"/>
        <w:spacing w:after="0" w:line="251" w:lineRule="auto"/>
        <w:rPr>
          <w:sz w:val="20"/>
          <w:szCs w:val="20"/>
          <w:color w:val="auto"/>
        </w:rPr>
      </w:pPr>
      <w:r>
        <w:rPr>
          <w:rFonts w:ascii="Arial" w:cs="Arial" w:eastAsia="Arial" w:hAnsi="Arial"/>
          <w:sz w:val="22"/>
          <w:szCs w:val="22"/>
          <w:color w:val="auto"/>
        </w:rPr>
        <w:t>Preference is the Liquidation Preference with respect to the Series B Preference Units and the Series C Liquidation Preference is the Liquidation Preference with respect to the Series C Preference Units.</w:t>
      </w:r>
    </w:p>
    <w:p>
      <w:pPr>
        <w:spacing w:after="0" w:line="173"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73"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173" w:lineRule="exact"/>
        <w:rPr>
          <w:sz w:val="20"/>
          <w:szCs w:val="20"/>
          <w:color w:val="auto"/>
        </w:rPr>
      </w:pPr>
    </w:p>
    <w:p>
      <w:pPr>
        <w:ind w:right="20"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Maintenance and Replacement Capital Expenditures</w:t>
      </w:r>
      <w:r>
        <w:rPr>
          <w:rFonts w:ascii="Arial" w:cs="Arial" w:eastAsia="Arial" w:hAnsi="Arial"/>
          <w:sz w:val="19"/>
          <w:szCs w:val="19"/>
          <w:color w:val="auto"/>
        </w:rPr>
        <w:t>” means cash expenditures (including expenditures for the addition or improvement to, or the replacement of, the capital assets owned by any Group Member or for the acquisition of existing, or the construction of new, capital assets) if such expenditure is made to maintain, including over the long term, the operating capacity and/or asset base of the Partnership Group or the revenue generated by the vessels owned by the Partnership Group. Maintenance and Replacement Capital Expenditures shall not include Expansion Capital Expenditures or Investment Capital Expenditures. Maintenance and Replacement Capital Expenditures shall include interest payments (and related fees) on debt incurred and distributions on equity issued, in each case, to finance the acquisition or the construction of a replacement asset and paid in respect of the period beginning on the date that the Group Member enters into a binding obligation to acquire or construct a replacement asset and ending on the earlier to occur of the date that such replacement asset Commences Commercial Service or the date that such replacement asset is abandoned or disposed of. Debt incurred to pay or equity issued to fund the construction period interest payments, or such construction period distributions on equity shall also be deemed to be debt incurred or equity issued, as the case may be, to finance the construction of a replacement asset, and the Incremental Incentive Distributions paid in respect of such newly issued equity shall be deemed to be distributions paid on equity issued to finance the construction of a replacement asset.</w:t>
      </w:r>
    </w:p>
    <w:p>
      <w:pPr>
        <w:spacing w:after="0" w:line="200" w:lineRule="exact"/>
        <w:rPr>
          <w:sz w:val="20"/>
          <w:szCs w:val="20"/>
          <w:color w:val="auto"/>
        </w:rPr>
      </w:pPr>
    </w:p>
    <w:p>
      <w:pPr>
        <w:spacing w:after="0" w:line="212"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Minimum Quarterly Distribution</w:t>
      </w:r>
      <w:r>
        <w:rPr>
          <w:rFonts w:ascii="Arial" w:cs="Arial" w:eastAsia="Arial" w:hAnsi="Arial"/>
          <w:sz w:val="19"/>
          <w:szCs w:val="19"/>
          <w:color w:val="auto"/>
        </w:rPr>
        <w:t xml:space="preserve">” means $0.375 per Common Unit per Quarter (or with respect to the period commencing on the Closing Date and ending on June 30, 2014, it means the product of $0.375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43" w:lineRule="exact"/>
        <w:rPr>
          <w:sz w:val="20"/>
          <w:szCs w:val="20"/>
          <w:color w:val="auto"/>
        </w:rPr>
      </w:pPr>
    </w:p>
    <w:p>
      <w:pPr>
        <w:ind w:right="52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51"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Agreed Value</w:t>
      </w:r>
      <w:r>
        <w:rPr>
          <w:rFonts w:ascii="Arial" w:cs="Arial" w:eastAsia="Arial" w:hAnsi="Arial"/>
          <w:sz w:val="22"/>
          <w:szCs w:val="22"/>
          <w:color w:val="auto"/>
        </w:rPr>
        <w:t>” means, (a) in the case of any Contributed Property, the Agreed Value of such property reduced by any liabilities either assumed by the Partnership upon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86" w:lineRule="exact"/>
        <w:rPr>
          <w:sz w:val="20"/>
          <w:szCs w:val="20"/>
          <w:color w:val="auto"/>
        </w:rPr>
      </w:pPr>
    </w:p>
    <w:p>
      <w:pPr>
        <w:ind w:right="2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Non-GasLog Acquisition</w:t>
      </w:r>
      <w:r>
        <w:rPr>
          <w:rFonts w:ascii="Arial" w:cs="Arial" w:eastAsia="Arial" w:hAnsi="Arial"/>
          <w:sz w:val="19"/>
          <w:szCs w:val="19"/>
          <w:color w:val="auto"/>
        </w:rPr>
        <w:t>” means (i) a vessel or other energy infrastructure asset, (ii) a company owning such a vessel or asset or (iii) a right to bareboat charter such a vessel, as the case may be, acquired by the Partnership Group after the Effective Time in which, immediately prior to such acquisition, any Person other than GasLog or any of its Affiliates owned any equity or other ownership interest. For the avoidance of doubt, there are no Non-GasLog Acquisitions as of the Effective Time.</w:t>
      </w:r>
    </w:p>
    <w:p>
      <w:pPr>
        <w:spacing w:after="0" w:line="143" w:lineRule="exact"/>
        <w:rPr>
          <w:sz w:val="20"/>
          <w:szCs w:val="20"/>
          <w:color w:val="auto"/>
        </w:rPr>
      </w:pPr>
    </w:p>
    <w:p>
      <w:pPr>
        <w:jc w:val="both"/>
        <w:ind w:right="8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Non-GasLog Share</w:t>
      </w:r>
      <w:r>
        <w:rPr>
          <w:rFonts w:ascii="Arial" w:cs="Arial" w:eastAsia="Arial" w:hAnsi="Arial"/>
          <w:sz w:val="22"/>
          <w:szCs w:val="22"/>
          <w:color w:val="auto"/>
        </w:rPr>
        <w:t>” means the percentage of the total equity or ownership interest in such Non-GasLog Acquisition owned immediately prior to such acquisition by any Person other than GasLog or any of its Affiliates (which percentage may be 100%).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Election to Purchase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15.1(b)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7.8(a)</w:t>
      </w:r>
      <w:r>
        <w:rPr>
          <w:rFonts w:ascii="Arial" w:cs="Arial" w:eastAsia="Arial" w:hAnsi="Arial"/>
          <w:sz w:val="22"/>
          <w:szCs w:val="22"/>
          <w:color w:val="auto"/>
        </w:rPr>
        <w:t>.</w:t>
      </w:r>
    </w:p>
    <w:p>
      <w:pPr>
        <w:spacing w:after="0" w:line="206"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Omnibus Agreement</w:t>
      </w:r>
      <w:r>
        <w:rPr>
          <w:rFonts w:ascii="Arial" w:cs="Arial" w:eastAsia="Arial" w:hAnsi="Arial"/>
          <w:sz w:val="22"/>
          <w:szCs w:val="22"/>
          <w:color w:val="auto"/>
        </w:rPr>
        <w:t>” means that Omnibus Agreement, dated as of the Closing Date, among GasLog, the Partnership, the General Partner and the Operating Company.</w:t>
      </w:r>
    </w:p>
    <w:p>
      <w:pPr>
        <w:spacing w:after="0" w:line="173" w:lineRule="exact"/>
        <w:rPr>
          <w:sz w:val="20"/>
          <w:szCs w:val="20"/>
          <w:color w:val="auto"/>
        </w:rPr>
      </w:pPr>
    </w:p>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173" w:lineRule="exact"/>
        <w:rPr>
          <w:sz w:val="20"/>
          <w:szCs w:val="20"/>
          <w:color w:val="auto"/>
        </w:rPr>
      </w:pPr>
    </w:p>
    <w:p>
      <w:pPr>
        <w:ind w:right="20"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Operating Expenditures</w:t>
      </w:r>
      <w:r>
        <w:rPr>
          <w:rFonts w:ascii="Arial" w:cs="Arial" w:eastAsia="Arial" w:hAnsi="Arial"/>
          <w:sz w:val="21"/>
          <w:szCs w:val="21"/>
          <w:color w:val="auto"/>
        </w:rPr>
        <w:t>” means all Partnership Group cash expenditures (or the Partnership’s proportionate share of expenditures in the case of Subsidiaries that are not wholly-owned), including taxes, employee and director compensation, reimbursements of expenses of the General Partner, repayment of Working Capital Borrowings, debt service payments, capital expenditures, payments made in the ordinary course of business under any Hedge Contracts (</w:t>
      </w:r>
      <w:r>
        <w:rPr>
          <w:rFonts w:ascii="Arial" w:cs="Arial" w:eastAsia="Arial" w:hAnsi="Arial"/>
          <w:sz w:val="21"/>
          <w:szCs w:val="21"/>
          <w:i w:val="1"/>
          <w:iCs w:val="1"/>
          <w:color w:val="auto"/>
        </w:rPr>
        <w:t>provided</w:t>
      </w:r>
      <w:r>
        <w:rPr>
          <w:rFonts w:ascii="Arial" w:cs="Arial" w:eastAsia="Arial" w:hAnsi="Arial"/>
          <w:sz w:val="21"/>
          <w:szCs w:val="21"/>
          <w:color w:val="auto"/>
        </w:rPr>
        <w:t>, (i) with respect to amounts paid in connection with the initial purchase of any Hedge Contract, such amounts shall be amortized over the life of the Hedge Contract and (ii) that payments made in connection with the termination of any Hedge Contract prior to the expiration of its stipulated settlement or termination date shall be included in Operating Expenditures in equal quarterly installments over the remaining scheduled life of such Hedge Contract) and Series A Distributions, Series B Distributions and Series C Distributions, subject to the following:</w:t>
      </w:r>
    </w:p>
    <w:p>
      <w:pPr>
        <w:spacing w:after="0" w:line="185" w:lineRule="exact"/>
        <w:rPr>
          <w:sz w:val="20"/>
          <w:szCs w:val="20"/>
          <w:color w:val="auto"/>
        </w:rPr>
      </w:pPr>
    </w:p>
    <w:p>
      <w:pPr>
        <w:ind w:left="1600" w:hanging="295"/>
        <w:spacing w:after="0"/>
        <w:tabs>
          <w:tab w:leader="none" w:pos="1600"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deemed repayments of Working Capital Borrowings deducted from Operating Surplus pursuant to </w:t>
      </w:r>
      <w:r>
        <w:rPr>
          <w:rFonts w:ascii="Arial" w:cs="Arial" w:eastAsia="Arial" w:hAnsi="Arial"/>
          <w:sz w:val="19"/>
          <w:szCs w:val="19"/>
          <w:u w:val="single" w:color="auto"/>
          <w:color w:val="auto"/>
        </w:rPr>
        <w:t>clause (b)</w:t>
      </w:r>
    </w:p>
    <w:p>
      <w:pPr>
        <w:spacing w:after="0" w:line="42" w:lineRule="exact"/>
        <w:rPr>
          <w:rFonts w:ascii="Arial" w:cs="Arial" w:eastAsia="Arial" w:hAnsi="Arial"/>
          <w:sz w:val="19"/>
          <w:szCs w:val="19"/>
          <w:color w:val="auto"/>
        </w:rPr>
      </w:pPr>
    </w:p>
    <w:p>
      <w:pPr>
        <w:ind w:left="1040" w:hanging="384"/>
        <w:spacing w:after="0"/>
        <w:tabs>
          <w:tab w:leader="none" w:pos="1040" w:val="left"/>
        </w:tabs>
        <w:numPr>
          <w:ilvl w:val="0"/>
          <w:numId w:val="10"/>
        </w:numPr>
        <w:rPr>
          <w:rFonts w:ascii="Arial" w:cs="Arial" w:eastAsia="Arial" w:hAnsi="Arial"/>
          <w:sz w:val="22"/>
          <w:szCs w:val="22"/>
          <w:u w:val="single" w:color="auto"/>
          <w:color w:val="auto"/>
        </w:rPr>
      </w:pPr>
      <w:r>
        <w:rPr>
          <w:rFonts w:ascii="Arial" w:cs="Arial" w:eastAsia="Arial" w:hAnsi="Arial"/>
          <w:sz w:val="22"/>
          <w:szCs w:val="22"/>
          <w:color w:val="auto"/>
        </w:rPr>
        <w:t>of the definition of Operating Surplus shall not constitute Operating Expenditures when actually repaid;</w:t>
      </w:r>
    </w:p>
    <w:p>
      <w:pPr>
        <w:spacing w:after="0" w:line="188" w:lineRule="exact"/>
        <w:rPr>
          <w:rFonts w:ascii="Arial" w:cs="Arial" w:eastAsia="Arial" w:hAnsi="Arial"/>
          <w:sz w:val="22"/>
          <w:szCs w:val="22"/>
          <w:u w:val="single" w:color="auto"/>
          <w:color w:val="auto"/>
        </w:rPr>
      </w:pPr>
    </w:p>
    <w:p>
      <w:pPr>
        <w:ind w:left="660" w:right="20" w:firstLine="645"/>
        <w:spacing w:after="0" w:line="251" w:lineRule="auto"/>
        <w:tabs>
          <w:tab w:leader="none" w:pos="1614" w:val="left"/>
        </w:tabs>
        <w:numPr>
          <w:ilvl w:val="1"/>
          <w:numId w:val="10"/>
        </w:numPr>
        <w:rPr>
          <w:rFonts w:ascii="Arial" w:cs="Arial" w:eastAsia="Arial" w:hAnsi="Arial"/>
          <w:sz w:val="22"/>
          <w:szCs w:val="22"/>
          <w:color w:val="auto"/>
        </w:rPr>
      </w:pPr>
      <w:r>
        <w:rPr>
          <w:rFonts w:ascii="Arial" w:cs="Arial" w:eastAsia="Arial" w:hAnsi="Arial"/>
          <w:sz w:val="22"/>
          <w:szCs w:val="22"/>
          <w:color w:val="auto"/>
        </w:rPr>
        <w:t>payments (including prepayments and prepayment penalties) of principal of and premium on indebtedness other than Working Capital Borrowings shall not constitute Operating Expenditures; and</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24" w:name="page25"/>
    <w:bookmarkEnd w:id="24"/>
    <w:p>
      <w:pPr>
        <w:ind w:left="660" w:firstLine="645"/>
        <w:spacing w:after="0" w:line="273" w:lineRule="auto"/>
        <w:tabs>
          <w:tab w:leader="none" w:pos="1602" w:val="left"/>
        </w:tabs>
        <w:numPr>
          <w:ilvl w:val="1"/>
          <w:numId w:val="11"/>
        </w:numPr>
        <w:rPr>
          <w:rFonts w:ascii="Arial" w:cs="Arial" w:eastAsia="Arial" w:hAnsi="Arial"/>
          <w:sz w:val="19"/>
          <w:szCs w:val="19"/>
          <w:color w:val="auto"/>
        </w:rPr>
      </w:pPr>
      <w:r>
        <w:rPr>
          <w:rFonts w:ascii="Arial" w:cs="Arial" w:eastAsia="Arial" w:hAnsi="Arial"/>
          <w:sz w:val="19"/>
          <w:szCs w:val="19"/>
          <w:color w:val="auto"/>
        </w:rPr>
        <w:t>Operating Expenditures shall not include (i) Expansion Capital Expenditures, Investment Capital Expenditures or actual Maintenance and Replacement Capital Expenditures, but shall include Estimated Maintenance and Replacement Capital Expenditures, (ii) payment of transaction expenses (including taxes) relating to Interim Capital Transactions,</w:t>
      </w:r>
    </w:p>
    <w:p>
      <w:pPr>
        <w:spacing w:after="0" w:line="1" w:lineRule="exact"/>
        <w:rPr>
          <w:rFonts w:ascii="Arial" w:cs="Arial" w:eastAsia="Arial" w:hAnsi="Arial"/>
          <w:sz w:val="19"/>
          <w:szCs w:val="19"/>
          <w:color w:val="auto"/>
        </w:rPr>
      </w:pPr>
    </w:p>
    <w:p>
      <w:pPr>
        <w:ind w:left="660" w:right="500" w:hanging="4"/>
        <w:spacing w:after="0" w:line="267" w:lineRule="auto"/>
        <w:tabs>
          <w:tab w:leader="none" w:pos="1038"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Series A Redemption Payments, Series B Redemption Payments or Series C Redemption Payments, (iv) payments made to Series A Holders, Series B Holders or Series C Holders to purchase or otherwise acquire Preference Units, or</w:t>
      </w:r>
    </w:p>
    <w:p>
      <w:pPr>
        <w:ind w:left="960" w:hanging="304"/>
        <w:spacing w:after="0"/>
        <w:tabs>
          <w:tab w:leader="none" w:pos="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distributions to Partners,</w:t>
      </w:r>
    </w:p>
    <w:p>
      <w:pPr>
        <w:spacing w:after="0" w:line="188"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where capital expenditures consist of both (y) Maintenance and Replacement Capital Expenditures and (z) Expansion Capital Expenditures and/or Investment Capital Expenditures, the Board of Directors (with the concurrence of the Conflicts Committee) shall determine the allocation between the amounts paid for each.</w:t>
      </w:r>
    </w:p>
    <w:p>
      <w:pPr>
        <w:spacing w:after="0" w:line="186"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Surplus</w:t>
      </w:r>
      <w:r>
        <w:rPr>
          <w:rFonts w:ascii="Arial" w:cs="Arial" w:eastAsia="Arial" w:hAnsi="Arial"/>
          <w:sz w:val="22"/>
          <w:szCs w:val="22"/>
          <w:color w:val="auto"/>
        </w:rPr>
        <w:t>” means, with respect to any period ending prior to the Liquidation Date, on a cumulative basis and without duplication:</w:t>
      </w:r>
    </w:p>
    <w:p>
      <w:pPr>
        <w:spacing w:after="0" w:line="173" w:lineRule="exact"/>
        <w:rPr>
          <w:sz w:val="20"/>
          <w:szCs w:val="20"/>
          <w:color w:val="auto"/>
        </w:rPr>
      </w:pPr>
    </w:p>
    <w:p>
      <w:pPr>
        <w:ind w:left="660" w:right="20" w:firstLine="645"/>
        <w:spacing w:after="0" w:line="270" w:lineRule="auto"/>
        <w:tabs>
          <w:tab w:leader="none" w:pos="1602"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the sum of (i) $19.0 million, (ii) all cash receipts of the Partnership Group (or the Partnership’s proportionate share of cash receipts in the case of Subsidiaries that are not wholly-owned) for the period beginning on the Closing Date and ending on the last day of such period, other than cash receipts from Interim Capital Transactions (excluding return on capital from Investment Capital Expenditures);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cash receipts from the termination of a Hedge Contract prior to its specified termination date shall be included in Operating Surplus in equal quarterly installments over the remaining scheduled life of such Hedge Contract, (iii) all cash receipts of the Partnership Group (or the Partnership’s proportionate share of cash receipts in the case of Subsidiaries that are not wholly-owned) after the end of such period but on or before the date of determination of Operating Surplus with respect to such period resulting from Working Capital Borrowings and (iv) the amount of cash distributions paid on equity issued (including Incremental Incentive Distributions) in connection with the construction of a Capital Improvement or replacement of a capital asset and paid in respect of the period beginning on the date that the Group Member enters into a binding obligation to commence the construction of such Capital Improvement or replacement of such capital asset and ending on the earlier to occur of the date that such Capital Improvement or replacement capital asset Commences Commercial Service or the date that it is abandoned or disposed of (equity issued to fund the construction period interest payments on debt incurred (including periodic net payments under related Hedge Contracts), or construction period distributions on equity issued (including Incremental Incentive Distributions), to finance the construction of a Capital Improvement or replacement of a capital asset shall also be deemed to be equity issued to finance the construction of a Capital Improvement or replacement of such capital asset for purposes of this </w:t>
      </w:r>
      <w:r>
        <w:rPr>
          <w:rFonts w:ascii="Arial" w:cs="Arial" w:eastAsia="Arial" w:hAnsi="Arial"/>
          <w:sz w:val="19"/>
          <w:szCs w:val="19"/>
          <w:u w:val="single" w:color="auto"/>
          <w:color w:val="auto"/>
        </w:rPr>
        <w:t>clause (iv)</w:t>
      </w:r>
      <w:r>
        <w:rPr>
          <w:rFonts w:ascii="Arial" w:cs="Arial" w:eastAsia="Arial" w:hAnsi="Arial"/>
          <w:sz w:val="19"/>
          <w:szCs w:val="19"/>
          <w:color w:val="auto"/>
        </w:rPr>
        <w:t>), less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660" w:firstLine="645"/>
        <w:spacing w:after="0" w:line="238" w:lineRule="auto"/>
        <w:tabs>
          <w:tab w:leader="none" w:pos="161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sum of (i) Operating Expenditures for the period beginning immediately after the Closing Date and ending on the last day of such period, (ii) the amount of cash reserves (or the Partnership’s proportionate share of cash reserves in the case of Subsidiaries that are not wholly-owned) established by the Board of Directors to provide funds for future Operating Expenditures, (iii) all Working Capital Borrowings not repaid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5" w:name="page26"/>
    <w:bookmarkEnd w:id="25"/>
    <w:p>
      <w:pPr>
        <w:ind w:left="660" w:right="20"/>
        <w:spacing w:after="0" w:line="235" w:lineRule="auto"/>
        <w:rPr>
          <w:sz w:val="20"/>
          <w:szCs w:val="20"/>
          <w:color w:val="auto"/>
        </w:rPr>
      </w:pPr>
      <w:r>
        <w:rPr>
          <w:rFonts w:ascii="Arial" w:cs="Arial" w:eastAsia="Arial" w:hAnsi="Arial"/>
          <w:sz w:val="22"/>
          <w:szCs w:val="22"/>
          <w:color w:val="auto"/>
        </w:rPr>
        <w:t xml:space="preserve">within 12 months after having been incurred and (iv) any cash loss realized on disposition of an Investment Capital Expenditure;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Board of Directors so determines.</w:t>
      </w:r>
    </w:p>
    <w:p>
      <w:pPr>
        <w:spacing w:after="0" w:line="188"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Notwithstanding the foregoing, “</w:t>
      </w:r>
      <w:r>
        <w:rPr>
          <w:rFonts w:ascii="Arial" w:cs="Arial" w:eastAsia="Arial" w:hAnsi="Arial"/>
          <w:sz w:val="19"/>
          <w:szCs w:val="19"/>
          <w:i w:val="1"/>
          <w:iCs w:val="1"/>
          <w:color w:val="auto"/>
        </w:rPr>
        <w:t>Operating Surplus</w:t>
      </w:r>
      <w:r>
        <w:rPr>
          <w:rFonts w:ascii="Arial" w:cs="Arial" w:eastAsia="Arial" w:hAnsi="Arial"/>
          <w:sz w:val="19"/>
          <w:szCs w:val="19"/>
          <w:color w:val="auto"/>
        </w:rPr>
        <w:t>” with respect to the Quarter in which the Liquidation Date occurs and any subsequent Quarter shall equal zero. Cash receipts from Investment Capital Expenditures shall be treated as cash receipts only to the extent they are a return on capital, but in no event shall a return of capital be treated as cash receipts.</w:t>
      </w:r>
    </w:p>
    <w:p>
      <w:pPr>
        <w:spacing w:after="0" w:line="134"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173" w:lineRule="exact"/>
        <w:rPr>
          <w:sz w:val="20"/>
          <w:szCs w:val="20"/>
          <w:color w:val="auto"/>
        </w:rPr>
      </w:pPr>
    </w:p>
    <w:p>
      <w:pPr>
        <w:ind w:right="5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means the date or dates on which any Common Units are sold by the Partnership to the Underwriters upon the exercise of the Over-Allotment Option.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18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at any time any Person or Group beneficially owns more than 4.9% of the Outstanding Partnership Interests of 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determining the presence of a quorum or for other similar purposes under this Agreement, except that Partnership Interests so owned shall be considered to be Outstanding for purposes of </w:t>
      </w:r>
      <w:r>
        <w:rPr>
          <w:rFonts w:ascii="Arial" w:cs="Arial" w:eastAsia="Arial" w:hAnsi="Arial"/>
          <w:sz w:val="19"/>
          <w:szCs w:val="19"/>
          <w:u w:val="single" w:color="auto"/>
          <w:color w:val="auto"/>
        </w:rPr>
        <w:t>Section 11.1(b)(iv)</w:t>
      </w:r>
      <w:r>
        <w:rPr>
          <w:rFonts w:ascii="Arial" w:cs="Arial" w:eastAsia="Arial" w:hAnsi="Arial"/>
          <w:sz w:val="19"/>
          <w:szCs w:val="19"/>
          <w:color w:val="auto"/>
        </w:rPr>
        <w:t xml:space="preserve"> (such Partnership Interests shall not, however, be treated as a separate class or series of Partnership Interests for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foregoing limitation shall not apply to (a) the General Partner or its Affiliates, (b) any Person or Group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acquired more than 4.9% of any Partnership Interests with the prior approval of the Board of Directors after considering the potential effects of such approval on the Partnership, except, in each case, such limitation shall remain applicable with respect to the voting of Common Units in the election of the Elected Directors as provided in </w:t>
      </w:r>
      <w:r>
        <w:rPr>
          <w:rFonts w:ascii="Arial" w:cs="Arial" w:eastAsia="Arial" w:hAnsi="Arial"/>
          <w:sz w:val="19"/>
          <w:szCs w:val="19"/>
          <w:u w:val="single" w:color="auto"/>
          <w:color w:val="auto"/>
        </w:rPr>
        <w:t>Section 7.2(a)(ii)</w:t>
      </w:r>
      <w:r>
        <w:rPr>
          <w:rFonts w:ascii="Arial" w:cs="Arial" w:eastAsia="Arial" w:hAnsi="Arial"/>
          <w:sz w:val="19"/>
          <w:szCs w:val="19"/>
          <w:color w:val="auto"/>
        </w:rPr>
        <w:t>, or (c) with respect to any voting rights thereof, Preference Units.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Over-Allotment Option</w:t>
      </w:r>
      <w:r>
        <w:rPr>
          <w:rFonts w:ascii="Arial" w:cs="Arial" w:eastAsia="Arial" w:hAnsi="Arial"/>
          <w:sz w:val="22"/>
          <w:szCs w:val="22"/>
          <w:color w:val="auto"/>
        </w:rPr>
        <w:t>” means the over-allotment option granted to the Underwriters pursuant to the Underwriting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6" w:name="page27"/>
    <w:bookmarkEnd w:id="26"/>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Parity Securities</w:t>
      </w:r>
      <w:r>
        <w:rPr>
          <w:rFonts w:ascii="Arial" w:cs="Arial" w:eastAsia="Arial" w:hAnsi="Arial"/>
          <w:sz w:val="19"/>
          <w:szCs w:val="19"/>
          <w:color w:val="auto"/>
        </w:rPr>
        <w:t xml:space="preserve">” means the Series A Preference Units, the Series B Preference Units, the Series C Preference Units and any other class or series of Partnership Interests established after May 15, 2017 by the General Partner, the terms of which class or series expressly provide that it ranks on parity with the Series A Preference Units, the Series B Preference Units and the Series C Preference Units as to distributions and amounts payable upon a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41"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173"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Interest</w:t>
      </w:r>
      <w:r>
        <w:rPr>
          <w:rFonts w:ascii="Arial" w:cs="Arial" w:eastAsia="Arial" w:hAnsi="Arial"/>
          <w:sz w:val="22"/>
          <w:szCs w:val="22"/>
          <w:color w:val="auto"/>
        </w:rPr>
        <w:t>” means any class or series of equity interest in the Partnership (but excluding any options, rights, warrants, restricted units and appreciation rights relating to an equity interest in the Partnership), including Common Units, Preference Units, General Partner Units and Incentive Distribution Rights.</w:t>
      </w:r>
    </w:p>
    <w:p>
      <w:pPr>
        <w:spacing w:after="0" w:line="186"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means American Stock Transfer &amp; Trust Company, LLC, acting in its capacity as paying agent for the Series A Preference Units, the Series B Preference Units and the Series C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Series B Preference Units or the Series C Preference Units, the Partnership shall act in such capacity.</w:t>
      </w:r>
    </w:p>
    <w:p>
      <w:pPr>
        <w:spacing w:after="0" w:line="188" w:lineRule="exact"/>
        <w:rPr>
          <w:sz w:val="20"/>
          <w:szCs w:val="20"/>
          <w:color w:val="auto"/>
        </w:rPr>
      </w:pPr>
    </w:p>
    <w:p>
      <w:pPr>
        <w:ind w:right="28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Percentage Interest</w:t>
      </w:r>
      <w:r>
        <w:rPr>
          <w:rFonts w:ascii="Arial" w:cs="Arial" w:eastAsia="Arial" w:hAnsi="Arial"/>
          <w:sz w:val="19"/>
          <w:szCs w:val="19"/>
          <w:color w:val="auto"/>
        </w:rPr>
        <w:t>” means as of any date of determination (a) as to the General Partner with respect to General Partner Units and as to any Unitholder with respect to Units (other than Preference Units), the product obtained by multiplying</w:t>
      </w:r>
    </w:p>
    <w:p>
      <w:pPr>
        <w:spacing w:after="0" w:line="2" w:lineRule="exact"/>
        <w:rPr>
          <w:sz w:val="20"/>
          <w:szCs w:val="20"/>
          <w:color w:val="auto"/>
        </w:rPr>
      </w:pPr>
    </w:p>
    <w:p>
      <w:pPr>
        <w:ind w:firstLine="8"/>
        <w:spacing w:after="0" w:line="232" w:lineRule="auto"/>
        <w:tabs>
          <w:tab w:leader="none" w:pos="258"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100% less the percentage applicable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22"/>
          <w:szCs w:val="22"/>
          <w:u w:val="single" w:color="auto"/>
          <w:color w:val="auto"/>
        </w:rPr>
        <w:t>Section 5.4</w:t>
      </w:r>
      <w:r>
        <w:rPr>
          <w:rFonts w:ascii="Arial" w:cs="Arial" w:eastAsia="Arial" w:hAnsi="Arial"/>
          <w:sz w:val="22"/>
          <w:szCs w:val="22"/>
          <w:color w:val="auto"/>
        </w:rPr>
        <w:t>, the percentage established as a part of such issuance. The Percentage Interest with respect to an Incentive Distribution Right and to a Preference Unit shall at all times be zero.</w:t>
      </w:r>
    </w:p>
    <w:p>
      <w:pPr>
        <w:spacing w:after="0" w:line="189" w:lineRule="exact"/>
        <w:rPr>
          <w:sz w:val="20"/>
          <w:szCs w:val="20"/>
          <w:color w:val="auto"/>
        </w:rPr>
      </w:pPr>
    </w:p>
    <w:p>
      <w:pPr>
        <w:ind w:right="4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right="114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Distributions” </w:t>
      </w:r>
      <w:r>
        <w:rPr>
          <w:rFonts w:ascii="Arial" w:cs="Arial" w:eastAsia="Arial" w:hAnsi="Arial"/>
          <w:sz w:val="22"/>
          <w:szCs w:val="22"/>
          <w:color w:val="auto"/>
        </w:rPr>
        <w:t>means the Series A Distributions, the Series B Distributions or the Series 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Distributions, as applicable.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7" w:name="page28"/>
    <w:bookmarkEnd w:id="27"/>
    <w:p>
      <w:pPr>
        <w:ind w:right="16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Payment Date” </w:t>
      </w:r>
      <w:r>
        <w:rPr>
          <w:rFonts w:ascii="Arial" w:cs="Arial" w:eastAsia="Arial" w:hAnsi="Arial"/>
          <w:sz w:val="22"/>
          <w:szCs w:val="22"/>
          <w:color w:val="auto"/>
        </w:rPr>
        <w:t>means the Series A Distribution Payment Date, the Series B Distribution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Payment Date or the Series C Distribution Payment Date, as applicable.</w:t>
      </w:r>
    </w:p>
    <w:p>
      <w:pPr>
        <w:spacing w:after="0" w:line="173"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Period” </w:t>
      </w:r>
      <w:r>
        <w:rPr>
          <w:rFonts w:ascii="Arial" w:cs="Arial" w:eastAsia="Arial" w:hAnsi="Arial"/>
          <w:sz w:val="22"/>
          <w:szCs w:val="22"/>
          <w:color w:val="auto"/>
        </w:rPr>
        <w:t>means the Series A Distribution Period, the Series B Distribution Period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Series C Distribution Period, as applicable.</w:t>
      </w:r>
    </w:p>
    <w:p>
      <w:pPr>
        <w:spacing w:after="0" w:line="17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Preference Units</w:t>
      </w:r>
      <w:r>
        <w:rPr>
          <w:rFonts w:ascii="Arial" w:cs="Arial" w:eastAsia="Arial" w:hAnsi="Arial"/>
          <w:sz w:val="19"/>
          <w:szCs w:val="19"/>
          <w:color w:val="auto"/>
        </w:rPr>
        <w:t>” means a Partnership Interest, designated as a “</w:t>
      </w:r>
      <w:r>
        <w:rPr>
          <w:rFonts w:ascii="Arial" w:cs="Arial" w:eastAsia="Arial" w:hAnsi="Arial"/>
          <w:sz w:val="19"/>
          <w:szCs w:val="19"/>
          <w:b w:val="1"/>
          <w:bCs w:val="1"/>
          <w:i w:val="1"/>
          <w:iCs w:val="1"/>
          <w:color w:val="auto"/>
        </w:rPr>
        <w:t>Preference Unit</w:t>
      </w:r>
      <w:r>
        <w:rPr>
          <w:rFonts w:ascii="Arial" w:cs="Arial" w:eastAsia="Arial" w:hAnsi="Arial"/>
          <w:sz w:val="19"/>
          <w:szCs w:val="19"/>
          <w:color w:val="auto"/>
        </w:rPr>
        <w:t>,” including the Series A Preference Units, the Series B Preference Units and the Series C Preference Units, which entitles the holder thereof to a preference with respect to distributions, or as to the distribution of assets upon any Liquidation Event, over Common Units.</w:t>
      </w:r>
    </w:p>
    <w:p>
      <w:pPr>
        <w:spacing w:after="0" w:line="134"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w:t>
      </w:r>
    </w:p>
    <w:p>
      <w:pPr>
        <w:spacing w:after="0" w:line="2" w:lineRule="exact"/>
        <w:rPr>
          <w:sz w:val="20"/>
          <w:szCs w:val="20"/>
          <w:color w:val="auto"/>
        </w:rPr>
      </w:pPr>
    </w:p>
    <w:p>
      <w:pPr>
        <w:ind w:right="20" w:firstLine="8"/>
        <w:spacing w:after="0" w:line="245" w:lineRule="auto"/>
        <w:tabs>
          <w:tab w:leader="none" w:pos="306" w:val="left"/>
        </w:tabs>
        <w:numPr>
          <w:ilvl w:val="0"/>
          <w:numId w:val="16"/>
        </w:numPr>
        <w:rPr>
          <w:rFonts w:ascii="Arial" w:cs="Arial" w:eastAsia="Arial" w:hAnsi="Arial"/>
          <w:sz w:val="21"/>
          <w:szCs w:val="21"/>
          <w:color w:val="auto"/>
        </w:rPr>
      </w:pPr>
      <w:r>
        <w:rPr>
          <w:rFonts w:ascii="Arial" w:cs="Arial" w:eastAsia="Arial" w:hAnsi="Arial"/>
          <w:sz w:val="21"/>
          <w:szCs w:val="21"/>
          <w:color w:val="auto"/>
        </w:rPr>
        <w:t>when used with respect to Partners or Record Holders, apportioned among all Partners or Record Holders in accordance with their relative Percentage Interests and (c) when used with respect to holders of Incentive Distribution Rights or Preference Units (or a particular series thereof), apportioned equally among all holders of Incentive Distribution Rights or Preference Units (or such series thereof) in accordance with the relative number or percentage of Incentive Distribution Rights or Preference Units (or such series thereof), as applicable, held by each such holder.</w:t>
      </w:r>
    </w:p>
    <w:p>
      <w:pPr>
        <w:spacing w:after="0" w:line="181" w:lineRule="exact"/>
        <w:rPr>
          <w:sz w:val="20"/>
          <w:szCs w:val="20"/>
          <w:color w:val="auto"/>
        </w:rPr>
      </w:pPr>
    </w:p>
    <w:p>
      <w:pPr>
        <w:jc w:val="both"/>
        <w:ind w:right="5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Date</w:t>
      </w:r>
      <w:r>
        <w:rPr>
          <w:rFonts w:ascii="Arial" w:cs="Arial" w:eastAsia="Arial" w:hAnsi="Arial"/>
          <w:sz w:val="22"/>
          <w:szCs w:val="22"/>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w:t>
      </w:r>
    </w:p>
    <w:p>
      <w:pPr>
        <w:spacing w:after="0" w:line="186"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Quarter</w:t>
      </w:r>
      <w:r>
        <w:rPr>
          <w:rFonts w:ascii="Arial" w:cs="Arial" w:eastAsia="Arial" w:hAnsi="Arial"/>
          <w:sz w:val="21"/>
          <w:szCs w:val="21"/>
          <w:color w:val="auto"/>
        </w:rPr>
        <w:t>” means, unless the context requires otherwise, a fiscal quarter, or, with respect to the first fiscal quarter including the Closing Date, the portion of such fiscal quarter after the Closing Date, of the Partnership.</w:t>
      </w:r>
    </w:p>
    <w:p>
      <w:pPr>
        <w:spacing w:after="0" w:line="151"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8" w:lineRule="exact"/>
        <w:rPr>
          <w:sz w:val="20"/>
          <w:szCs w:val="20"/>
          <w:color w:val="auto"/>
        </w:rPr>
      </w:pPr>
    </w:p>
    <w:p>
      <w:pPr>
        <w:ind w:right="20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Record Holder</w:t>
      </w:r>
      <w:r>
        <w:rPr>
          <w:rFonts w:ascii="Arial" w:cs="Arial" w:eastAsia="Arial" w:hAnsi="Arial"/>
          <w:sz w:val="19"/>
          <w:szCs w:val="19"/>
          <w:color w:val="auto"/>
        </w:rPr>
        <w:t xml:space="preserve">” means (a) the Person in whose name a Common Unit is registered on the books of the Transfer Agent as of the opening of business on a particular Business Day, (b) the Person in whose name a Preference Unit is registered on the books of the Transfer Agent as of, unless otherwise set forth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the opening of business on a particular Business Day or (c) with respect to other Partnership Interests, the 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ind w:right="18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MQD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5.9(e)</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5.9(b)</w:t>
      </w:r>
      <w:r>
        <w:rPr>
          <w:rFonts w:ascii="Arial" w:cs="Arial" w:eastAsia="Arial" w:hAnsi="Arial"/>
          <w:sz w:val="22"/>
          <w:szCs w:val="22"/>
          <w:color w:val="auto"/>
        </w:rPr>
        <w:t>.</w:t>
      </w:r>
    </w:p>
    <w:p>
      <w:pPr>
        <w:spacing w:after="0" w:line="206"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Reuters Page LIBOR01</w:t>
      </w:r>
      <w:r>
        <w:rPr>
          <w:rFonts w:ascii="Arial" w:cs="Arial" w:eastAsia="Arial" w:hAnsi="Arial"/>
          <w:sz w:val="21"/>
          <w:szCs w:val="21"/>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74"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Second Target Distribution</w:t>
      </w:r>
      <w:r>
        <w:rPr>
          <w:rFonts w:ascii="Arial" w:cs="Arial" w:eastAsia="Arial" w:hAnsi="Arial"/>
          <w:sz w:val="19"/>
          <w:szCs w:val="19"/>
          <w:color w:val="auto"/>
        </w:rPr>
        <w:t xml:space="preserve">” means $0.46875 per Unit per Quarter (or, with respect to the period commencing on the Closing Date and ending on June 30, 2014, it means the product of $0.46875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43"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17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means any class or series of Partnership Interests established after May 15, 2017 by the General Partner, the terms of which class or series expressly provide that it ranks senior to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5"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173"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xml:space="preserve">” means each March 15, June 15, September 15 and December 15, commencing September 15, 2017;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A Distribution Payment Date would otherwise occur on a day that is not a Business Day, such Series A Distribution Payment Date shall instead be on the immediately succeeding Business Day.</w:t>
      </w:r>
    </w:p>
    <w:p>
      <w:pPr>
        <w:spacing w:after="0" w:line="185"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34"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9" w:name="page30"/>
    <w:bookmarkEnd w:id="29"/>
    <w:p>
      <w:pPr>
        <w:spacing w:after="0" w:line="251" w:lineRule="auto"/>
        <w:rPr>
          <w:sz w:val="20"/>
          <w:szCs w:val="20"/>
          <w:color w:val="auto"/>
        </w:rPr>
      </w:pPr>
      <w:r>
        <w:rPr>
          <w:rFonts w:ascii="Arial" w:cs="Arial" w:eastAsia="Arial" w:hAnsi="Arial"/>
          <w:sz w:val="22"/>
          <w:szCs w:val="22"/>
          <w:color w:val="auto"/>
        </w:rPr>
        <w:t>equal to the Series A Three-Month LIBOR Rate plus a spread of 6.31% per annum of the stated Series A Liquidation Preference per Series A Preference Unit.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41" w:lineRule="exact"/>
        <w:rPr>
          <w:sz w:val="20"/>
          <w:szCs w:val="20"/>
          <w:color w:val="auto"/>
        </w:rPr>
      </w:pPr>
    </w:p>
    <w:p>
      <w:pPr>
        <w:ind w:right="8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06" w:lineRule="exact"/>
        <w:rPr>
          <w:sz w:val="20"/>
          <w:szCs w:val="20"/>
          <w:color w:val="auto"/>
        </w:rPr>
      </w:pPr>
    </w:p>
    <w:p>
      <w:pPr>
        <w:ind w:right="1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Payments</w:t>
      </w:r>
      <w:r>
        <w:rPr>
          <w:rFonts w:ascii="Arial" w:cs="Arial" w:eastAsia="Arial" w:hAnsi="Arial"/>
          <w:sz w:val="22"/>
          <w:szCs w:val="22"/>
          <w:color w:val="auto"/>
        </w:rPr>
        <w:t>” means, collectively, Series A Distributions and Series A Redemption Payments.</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A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06"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Determination Date</w:t>
      </w:r>
      <w:r>
        <w:rPr>
          <w:rFonts w:ascii="Arial" w:cs="Arial" w:eastAsia="Arial" w:hAnsi="Arial"/>
          <w:sz w:val="22"/>
          <w:szCs w:val="22"/>
          <w:color w:val="auto"/>
        </w:rPr>
        <w:t>” means the London Business Day immediately preceding the first date of the applicable Series B Distribution Period.</w:t>
      </w:r>
    </w:p>
    <w:p>
      <w:pPr>
        <w:spacing w:after="0" w:line="173" w:lineRule="exact"/>
        <w:rPr>
          <w:sz w:val="20"/>
          <w:szCs w:val="20"/>
          <w:color w:val="auto"/>
        </w:rPr>
      </w:pPr>
    </w:p>
    <w:p>
      <w:pPr>
        <w:ind w:right="2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Payment Date</w:t>
      </w:r>
      <w:r>
        <w:rPr>
          <w:rFonts w:ascii="Arial" w:cs="Arial" w:eastAsia="Arial" w:hAnsi="Arial"/>
          <w:sz w:val="22"/>
          <w:szCs w:val="22"/>
          <w:color w:val="auto"/>
        </w:rPr>
        <w:t xml:space="preserve">” means each March 15, June 15, September 15 and December 15, commencing March 15, 2018;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B Distribution Payment Date would otherwise occur on a day that is not a Business Day,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Series B Distribution Payment Date shall instead be on the immediately succeeding Business Day.</w:t>
      </w:r>
    </w:p>
    <w:p>
      <w:pPr>
        <w:spacing w:after="0" w:line="206"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Period</w:t>
      </w:r>
      <w:r>
        <w:rPr>
          <w:rFonts w:ascii="Arial" w:cs="Arial" w:eastAsia="Arial" w:hAnsi="Arial"/>
          <w:sz w:val="19"/>
          <w:szCs w:val="19"/>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34" w:lineRule="exact"/>
        <w:rPr>
          <w:sz w:val="20"/>
          <w:szCs w:val="20"/>
          <w:color w:val="auto"/>
        </w:rPr>
      </w:pPr>
    </w:p>
    <w:p>
      <w:pPr>
        <w:ind w:right="2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Rate</w:t>
      </w:r>
      <w:r>
        <w:rPr>
          <w:rFonts w:ascii="Arial" w:cs="Arial" w:eastAsia="Arial" w:hAnsi="Arial"/>
          <w:sz w:val="22"/>
          <w:szCs w:val="22"/>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Distributions</w:t>
      </w:r>
      <w:r>
        <w:rPr>
          <w:rFonts w:ascii="Arial" w:cs="Arial" w:eastAsia="Arial" w:hAnsi="Arial"/>
          <w:sz w:val="19"/>
          <w:szCs w:val="19"/>
          <w:color w:val="auto"/>
        </w:rPr>
        <w:t xml:space="preserve">” means distributions with respect to Series B Preference Units pursuant to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41"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Fixed Rate Period</w:t>
      </w:r>
      <w:r>
        <w:rPr>
          <w:rFonts w:ascii="Arial" w:cs="Arial" w:eastAsia="Arial" w:hAnsi="Arial"/>
          <w:sz w:val="22"/>
          <w:szCs w:val="22"/>
          <w:color w:val="auto"/>
        </w:rPr>
        <w:t>” means the period from and including the Series B Original Issue Date to, but excluding March 15, 2023.</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Floating Rate Period</w:t>
      </w:r>
      <w:r>
        <w:rPr>
          <w:rFonts w:ascii="Arial" w:cs="Arial" w:eastAsia="Arial" w:hAnsi="Arial"/>
          <w:sz w:val="22"/>
          <w:szCs w:val="22"/>
          <w:color w:val="auto"/>
        </w:rPr>
        <w:t>” means the period from and including March 15, 2023.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Holder</w:t>
      </w:r>
      <w:r>
        <w:rPr>
          <w:rFonts w:ascii="Arial" w:cs="Arial" w:eastAsia="Arial" w:hAnsi="Arial"/>
          <w:sz w:val="22"/>
          <w:szCs w:val="22"/>
          <w:color w:val="auto"/>
        </w:rPr>
        <w:t>” means a Record Holder of the Series B Preference Units.</w:t>
      </w:r>
    </w:p>
    <w:p>
      <w:pPr>
        <w:spacing w:after="0" w:line="206"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Liquidation Preference</w:t>
      </w:r>
      <w:r>
        <w:rPr>
          <w:rFonts w:ascii="Arial" w:cs="Arial" w:eastAsia="Arial" w:hAnsi="Arial"/>
          <w:sz w:val="22"/>
          <w:szCs w:val="22"/>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which does not result in payment in full of the liquidation preference of such Series B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Original Issue Date</w:t>
      </w:r>
      <w:r>
        <w:rPr>
          <w:rFonts w:ascii="Arial" w:cs="Arial" w:eastAsia="Arial" w:hAnsi="Arial"/>
          <w:sz w:val="22"/>
          <w:szCs w:val="22"/>
          <w:color w:val="auto"/>
        </w:rPr>
        <w:t>” means January 17,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Payments</w:t>
      </w:r>
      <w:r>
        <w:rPr>
          <w:rFonts w:ascii="Arial" w:cs="Arial" w:eastAsia="Arial" w:hAnsi="Arial"/>
          <w:sz w:val="22"/>
          <w:szCs w:val="22"/>
          <w:color w:val="auto"/>
        </w:rPr>
        <w:t>” means, collectively, Series B Distributions and Series B Redemption Payments.</w:t>
      </w:r>
    </w:p>
    <w:p>
      <w:pPr>
        <w:spacing w:after="0" w:line="206"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17.6(a)</w:t>
      </w:r>
      <w:r>
        <w:rPr>
          <w:rFonts w:ascii="Arial" w:cs="Arial" w:eastAsia="Arial" w:hAnsi="Arial"/>
          <w:sz w:val="22"/>
          <w:szCs w:val="22"/>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31" w:name="page32"/>
    <w:bookmarkEnd w:id="31"/>
    <w:p>
      <w:pPr>
        <w:ind w:right="6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Payments</w:t>
      </w:r>
      <w:r>
        <w:rPr>
          <w:rFonts w:ascii="Arial" w:cs="Arial" w:eastAsia="Arial" w:hAnsi="Arial"/>
          <w:sz w:val="22"/>
          <w:szCs w:val="22"/>
          <w:color w:val="auto"/>
        </w:rPr>
        <w:t xml:space="preserve">” means payments to be made to the holders of Series B Preference Units to redeem Series B Preference Units in accordance with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B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17.3(b)</w:t>
      </w:r>
      <w:r>
        <w:rPr>
          <w:rFonts w:ascii="Arial" w:cs="Arial" w:eastAsia="Arial" w:hAnsi="Arial"/>
          <w:sz w:val="22"/>
          <w:szCs w:val="22"/>
          <w:color w:val="auto"/>
        </w:rPr>
        <w:t>.</w:t>
      </w:r>
    </w:p>
    <w:p>
      <w:pPr>
        <w:spacing w:after="0" w:line="206"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Determination Date</w:t>
      </w:r>
      <w:r>
        <w:rPr>
          <w:rFonts w:ascii="Arial" w:cs="Arial" w:eastAsia="Arial" w:hAnsi="Arial"/>
          <w:sz w:val="22"/>
          <w:szCs w:val="22"/>
          <w:color w:val="auto"/>
        </w:rPr>
        <w:t>” means the London Business Day immediately preceding the first date of the applicable Series C Distribution Period.</w:t>
      </w:r>
    </w:p>
    <w:p>
      <w:pPr>
        <w:spacing w:after="0" w:line="17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Payment Date</w:t>
      </w:r>
      <w:r>
        <w:rPr>
          <w:rFonts w:ascii="Arial" w:cs="Arial" w:eastAsia="Arial" w:hAnsi="Arial"/>
          <w:sz w:val="19"/>
          <w:szCs w:val="19"/>
          <w:color w:val="auto"/>
        </w:rPr>
        <w:t xml:space="preserve">” means each March 15, June 15, September 15 and December 15, commencing March 15, 2019;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Series C Distribution Payment Date would otherwise occur on a day that is not a Business Day, such Series C Distribution Payment Date shall instead be on the immediately succeeding Business Day.</w:t>
      </w:r>
    </w:p>
    <w:p>
      <w:pPr>
        <w:spacing w:after="0" w:line="134"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Period</w:t>
      </w:r>
      <w:r>
        <w:rPr>
          <w:rFonts w:ascii="Arial" w:cs="Arial" w:eastAsia="Arial" w:hAnsi="Arial"/>
          <w:sz w:val="19"/>
          <w:szCs w:val="19"/>
          <w:color w:val="auto"/>
        </w:rPr>
        <w:t>” means a period of time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w:t>
      </w:r>
    </w:p>
    <w:p>
      <w:pPr>
        <w:spacing w:after="0" w:line="134" w:lineRule="exact"/>
        <w:rPr>
          <w:sz w:val="20"/>
          <w:szCs w:val="20"/>
          <w:color w:val="auto"/>
        </w:rPr>
      </w:pPr>
    </w:p>
    <w:p>
      <w:pPr>
        <w:ind w:right="2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Rate</w:t>
      </w:r>
      <w:r>
        <w:rPr>
          <w:rFonts w:ascii="Arial" w:cs="Arial" w:eastAsia="Arial" w:hAnsi="Arial"/>
          <w:sz w:val="22"/>
          <w:szCs w:val="22"/>
          <w:color w:val="auto"/>
        </w:rPr>
        <w:t>” means, with respect to the Series C Fixed Rate Period, a rate equal to 8.500% per annum of the Stated Series C Liquidation Preference per Series C Preference Unit and, with respect to the Series C Floating Rate Period, a floating rate equal to the Series C Three-Month LIBOR Rate plus a spread of 5.317% per annum of the stated Series C Liquidation Preference per Series C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Distributions</w:t>
      </w:r>
      <w:r>
        <w:rPr>
          <w:rFonts w:ascii="Arial" w:cs="Arial" w:eastAsia="Arial" w:hAnsi="Arial"/>
          <w:sz w:val="19"/>
          <w:szCs w:val="19"/>
          <w:color w:val="auto"/>
        </w:rPr>
        <w:t xml:space="preserve">” means distributions with respect to Series C Preference Units pursuant to </w:t>
      </w:r>
      <w:r>
        <w:rPr>
          <w:rFonts w:ascii="Arial" w:cs="Arial" w:eastAsia="Arial" w:hAnsi="Arial"/>
          <w:sz w:val="19"/>
          <w:szCs w:val="19"/>
          <w:u w:val="single" w:color="auto"/>
          <w:color w:val="auto"/>
        </w:rPr>
        <w:t>Section 18.3</w:t>
      </w:r>
      <w:r>
        <w:rPr>
          <w:rFonts w:ascii="Arial" w:cs="Arial" w:eastAsia="Arial" w:hAnsi="Arial"/>
          <w:sz w:val="19"/>
          <w:szCs w:val="19"/>
          <w:color w:val="auto"/>
        </w:rPr>
        <w:t>.</w:t>
      </w:r>
    </w:p>
    <w:p>
      <w:pPr>
        <w:spacing w:after="0" w:line="241"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Fixed Rate Period</w:t>
      </w:r>
      <w:r>
        <w:rPr>
          <w:rFonts w:ascii="Arial" w:cs="Arial" w:eastAsia="Arial" w:hAnsi="Arial"/>
          <w:sz w:val="22"/>
          <w:szCs w:val="22"/>
          <w:color w:val="auto"/>
        </w:rPr>
        <w:t>” means the period from and including the Series C Original Issue Date to, but excluding March 15, 2024</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Floating Rate Period</w:t>
      </w:r>
      <w:r>
        <w:rPr>
          <w:rFonts w:ascii="Arial" w:cs="Arial" w:eastAsia="Arial" w:hAnsi="Arial"/>
          <w:sz w:val="22"/>
          <w:szCs w:val="22"/>
          <w:color w:val="auto"/>
        </w:rPr>
        <w:t>” means the period from and including March 15, 2024.</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Holder</w:t>
      </w:r>
      <w:r>
        <w:rPr>
          <w:rFonts w:ascii="Arial" w:cs="Arial" w:eastAsia="Arial" w:hAnsi="Arial"/>
          <w:sz w:val="22"/>
          <w:szCs w:val="22"/>
          <w:color w:val="auto"/>
        </w:rPr>
        <w:t>” means a Record Holder of the Series C Preference Units.</w:t>
      </w:r>
    </w:p>
    <w:p>
      <w:pPr>
        <w:spacing w:after="0" w:line="206"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Liquidation Preference</w:t>
      </w:r>
      <w:r>
        <w:rPr>
          <w:rFonts w:ascii="Arial" w:cs="Arial" w:eastAsia="Arial" w:hAnsi="Arial"/>
          <w:sz w:val="22"/>
          <w:szCs w:val="22"/>
          <w:color w:val="auto"/>
        </w:rPr>
        <w:t xml:space="preserve">” means a liquidation preference for each Series C Preference Unit initially equal to $25.00 per unit, which liquidation preference shall be subject to (a) increase by the per Series C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which does not result in payment in full of the liquidation preference of such Series C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Original Issue Date</w:t>
      </w:r>
      <w:r>
        <w:rPr>
          <w:rFonts w:ascii="Arial" w:cs="Arial" w:eastAsia="Arial" w:hAnsi="Arial"/>
          <w:sz w:val="22"/>
          <w:szCs w:val="22"/>
          <w:color w:val="auto"/>
        </w:rPr>
        <w:t>” means November 15, 2018.</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32" w:name="page33"/>
    <w:bookmarkEnd w:id="3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Payments</w:t>
      </w:r>
      <w:r>
        <w:rPr>
          <w:rFonts w:ascii="Arial" w:cs="Arial" w:eastAsia="Arial" w:hAnsi="Arial"/>
          <w:sz w:val="22"/>
          <w:szCs w:val="22"/>
          <w:color w:val="auto"/>
        </w:rPr>
        <w:t>” means, collectively, Series C Distributions and Series C Redemption Payments.</w:t>
      </w:r>
    </w:p>
    <w:p>
      <w:pPr>
        <w:spacing w:after="0" w:line="206"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18.6(a)</w:t>
      </w:r>
      <w:r>
        <w:rPr>
          <w:rFonts w:ascii="Arial" w:cs="Arial" w:eastAsia="Arial" w:hAnsi="Arial"/>
          <w:sz w:val="22"/>
          <w:szCs w:val="22"/>
          <w:color w:val="auto"/>
        </w:rPr>
        <w:t>.</w:t>
      </w:r>
    </w:p>
    <w:p>
      <w:pPr>
        <w:spacing w:after="0" w:line="206" w:lineRule="exact"/>
        <w:rPr>
          <w:sz w:val="20"/>
          <w:szCs w:val="20"/>
          <w:color w:val="auto"/>
        </w:rPr>
      </w:pPr>
    </w:p>
    <w:p>
      <w:pPr>
        <w:ind w:right="6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Payments</w:t>
      </w:r>
      <w:r>
        <w:rPr>
          <w:rFonts w:ascii="Arial" w:cs="Arial" w:eastAsia="Arial" w:hAnsi="Arial"/>
          <w:sz w:val="22"/>
          <w:szCs w:val="22"/>
          <w:color w:val="auto"/>
        </w:rPr>
        <w:t xml:space="preserve">” means payments to be made to the holders of Series C Preference Units to redeem Series C Preference Units in accordance with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C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18.3(b)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members of the Conflicts Committee.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A Liquidation Preference</w:t>
      </w:r>
      <w:r>
        <w:rPr>
          <w:rFonts w:ascii="Arial" w:cs="Arial" w:eastAsia="Arial" w:hAnsi="Arial"/>
          <w:sz w:val="21"/>
          <w:szCs w:val="21"/>
          <w:color w:val="auto"/>
        </w:rPr>
        <w:t>” means an amount equal to $25.00 per Series A Preference Unit.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B Liquidation Preference</w:t>
      </w:r>
      <w:r>
        <w:rPr>
          <w:rFonts w:ascii="Arial" w:cs="Arial" w:eastAsia="Arial" w:hAnsi="Arial"/>
          <w:sz w:val="21"/>
          <w:szCs w:val="21"/>
          <w:color w:val="auto"/>
        </w:rPr>
        <w:t>” means an amount equal to $25.00 per Series B Preference Unit.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C Liquidation Preference</w:t>
      </w:r>
      <w:r>
        <w:rPr>
          <w:rFonts w:ascii="Arial" w:cs="Arial" w:eastAsia="Arial" w:hAnsi="Arial"/>
          <w:sz w:val="21"/>
          <w:szCs w:val="21"/>
          <w:color w:val="auto"/>
        </w:rPr>
        <w:t>” means an amount equal to $25.00 per Series C Preference Unit.</w:t>
      </w:r>
    </w:p>
    <w:p>
      <w:pPr>
        <w:spacing w:after="0" w:line="218"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3" w:name="page34"/>
    <w:bookmarkEnd w:id="33"/>
    <w:p>
      <w:pPr>
        <w:ind w:right="80"/>
        <w:spacing w:after="0" w:line="269" w:lineRule="auto"/>
        <w:rPr>
          <w:sz w:val="20"/>
          <w:szCs w:val="20"/>
          <w:color w:val="auto"/>
        </w:rPr>
      </w:pPr>
      <w:r>
        <w:rPr>
          <w:rFonts w:ascii="Arial" w:cs="Arial" w:eastAsia="Arial" w:hAnsi="Arial"/>
          <w:sz w:val="19"/>
          <w:szCs w:val="19"/>
          <w:color w:val="auto"/>
        </w:rPr>
        <w:t xml:space="preserve">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w:t>
      </w:r>
    </w:p>
    <w:p>
      <w:pPr>
        <w:spacing w:after="0" w:line="2" w:lineRule="exact"/>
        <w:rPr>
          <w:sz w:val="20"/>
          <w:szCs w:val="20"/>
          <w:color w:val="auto"/>
        </w:rPr>
      </w:pPr>
    </w:p>
    <w:p>
      <w:pPr>
        <w:ind w:right="200" w:firstLine="8"/>
        <w:spacing w:after="0" w:line="256" w:lineRule="auto"/>
        <w:tabs>
          <w:tab w:leader="none" w:pos="318" w:val="left"/>
        </w:tabs>
        <w:numPr>
          <w:ilvl w:val="0"/>
          <w:numId w:val="17"/>
        </w:numPr>
        <w:rPr>
          <w:rFonts w:ascii="Arial" w:cs="Arial" w:eastAsia="Arial" w:hAnsi="Arial"/>
          <w:sz w:val="21"/>
          <w:szCs w:val="21"/>
          <w:color w:val="auto"/>
        </w:rPr>
      </w:pPr>
      <w:r>
        <w:rPr>
          <w:rFonts w:ascii="Arial" w:cs="Arial" w:eastAsia="Arial" w:hAnsi="Arial"/>
          <w:sz w:val="21"/>
          <w:szCs w:val="21"/>
          <w:color w:val="auto"/>
        </w:rPr>
        <w:t>obligated under its constituent documents, or as a result of a unanimous agreement of its owners, to distribute to its owners all of its income on at least an annual basis (less any cash reserves that are approved by such Person).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 are not listed on any National Securities Exchange, a day on which banking institutions in New York City generally are open.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185"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means each Person named as an underwriter in Schedule I to the Underwriting Agreement who purchases Common Units pursuant thereto.</w:t>
      </w:r>
    </w:p>
    <w:p>
      <w:pPr>
        <w:spacing w:after="0" w:line="173" w:lineRule="exact"/>
        <w:rPr>
          <w:sz w:val="20"/>
          <w:szCs w:val="20"/>
          <w:color w:val="auto"/>
        </w:rPr>
      </w:pPr>
    </w:p>
    <w:p>
      <w:pPr>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means the Underwriting Agreement dated May 6, 2014 among the Underwriters, the Partnership, the General Partner, the Operating Company, and GasLog, providing for the purchase of Common Units from the Partnership by such Underwriters in connection with the Initial Offering.</w:t>
      </w:r>
    </w:p>
    <w:p>
      <w:pPr>
        <w:spacing w:after="0" w:line="186"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w:t>
      </w:r>
      <w:r>
        <w:rPr>
          <w:rFonts w:ascii="Arial" w:cs="Arial" w:eastAsia="Arial" w:hAnsi="Arial"/>
          <w:sz w:val="22"/>
          <w:szCs w:val="22"/>
          <w:color w:val="auto"/>
        </w:rPr>
        <w:t>” means a Partnership Interest that is designated as a “</w:t>
      </w:r>
      <w:r>
        <w:rPr>
          <w:rFonts w:ascii="Arial" w:cs="Arial" w:eastAsia="Arial" w:hAnsi="Arial"/>
          <w:sz w:val="22"/>
          <w:szCs w:val="22"/>
          <w:i w:val="1"/>
          <w:iCs w:val="1"/>
          <w:color w:val="auto"/>
        </w:rPr>
        <w:t>Unit</w:t>
      </w:r>
      <w:r>
        <w:rPr>
          <w:rFonts w:ascii="Arial" w:cs="Arial" w:eastAsia="Arial" w:hAnsi="Arial"/>
          <w:sz w:val="22"/>
          <w:szCs w:val="22"/>
          <w:color w:val="auto"/>
        </w:rPr>
        <w:t>” and shall include Common Units and Preference Units, but shall not include (a) General Partner Units (or the General Partner Interest represented thereby) or (b) the Incentive Distribution Rights.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4" w:name="page35"/>
    <w:bookmarkEnd w:id="3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at least a majority of the Outstanding Common Units, voting as a single class.</w:t>
      </w:r>
    </w:p>
    <w:p>
      <w:pPr>
        <w:spacing w:after="0" w:line="206" w:lineRule="exact"/>
        <w:rPr>
          <w:sz w:val="20"/>
          <w:szCs w:val="20"/>
          <w:color w:val="auto"/>
        </w:rPr>
      </w:pPr>
    </w:p>
    <w:p>
      <w:pPr>
        <w:ind w:right="7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Partnership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3"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Unrecovered Capital</w:t>
      </w:r>
      <w:r>
        <w:rPr>
          <w:rFonts w:ascii="Arial" w:cs="Arial" w:eastAsia="Arial" w:hAnsi="Arial"/>
          <w:sz w:val="21"/>
          <w:szCs w:val="21"/>
          <w:color w:val="auto"/>
        </w:rPr>
        <w:t>” means at any time, with respect to a Common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Board of Directors determines to be appropriate to give effect to any distribution, subdivision or combination of such Common Units.</w:t>
      </w:r>
    </w:p>
    <w:p>
      <w:pPr>
        <w:spacing w:after="0" w:line="179" w:lineRule="exact"/>
        <w:rPr>
          <w:sz w:val="20"/>
          <w:szCs w:val="20"/>
          <w:color w:val="auto"/>
        </w:rPr>
      </w:pPr>
    </w:p>
    <w:p>
      <w:pPr>
        <w:ind w:right="9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Vessel Interests</w:t>
      </w:r>
      <w:r>
        <w:rPr>
          <w:rFonts w:ascii="Arial" w:cs="Arial" w:eastAsia="Arial" w:hAnsi="Arial"/>
          <w:sz w:val="19"/>
          <w:szCs w:val="19"/>
          <w:color w:val="auto"/>
        </w:rPr>
        <w:t xml:space="preserve">” means the capital stock and other equity interests in certain of GasLog’s wholly owned Subsidiaries that have interests in three vessels–the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w:t>
      </w:r>
    </w:p>
    <w:p>
      <w:pPr>
        <w:spacing w:after="0" w:line="105"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Volume-Weighted Average Market Price</w:t>
      </w:r>
      <w:r>
        <w:rPr>
          <w:rFonts w:ascii="Arial" w:cs="Arial" w:eastAsia="Arial" w:hAnsi="Arial"/>
          <w:sz w:val="22"/>
          <w:szCs w:val="22"/>
          <w:color w:val="auto"/>
        </w:rPr>
        <w:t>” means, for a specified period of consecutive Trading Days for the Common Units, an amount equal to (a) the cumulative sum of the products of (x) the sale price for each trade of Common Units occurring during such period multiplied by (y) the number of Common Units sold at such price, divided by (b) the total number of Common Units so traded during such period.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Working Capital Borrowings</w:t>
      </w:r>
      <w:r>
        <w:rPr>
          <w:rFonts w:ascii="Arial" w:cs="Arial" w:eastAsia="Arial" w:hAnsi="Arial"/>
          <w:sz w:val="21"/>
          <w:szCs w:val="21"/>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21"/>
          <w:szCs w:val="21"/>
          <w:i w:val="1"/>
          <w:iCs w:val="1"/>
          <w:color w:val="auto"/>
        </w:rPr>
        <w:t>provided</w:t>
      </w:r>
      <w:r>
        <w:rPr>
          <w:rFonts w:ascii="Arial" w:cs="Arial" w:eastAsia="Arial" w:hAnsi="Arial"/>
          <w:sz w:val="21"/>
          <w:szCs w:val="21"/>
          <w:color w:val="auto"/>
        </w:rPr>
        <w:t>, that when such borrowing is incurred it is the intent of the borrower to repay such borrowings within 12 months from the date of such borrowings other than from additional Working Capital Borrowings.</w:t>
      </w:r>
    </w:p>
    <w:p>
      <w:pPr>
        <w:spacing w:after="0" w:line="174" w:lineRule="exact"/>
        <w:rPr>
          <w:sz w:val="20"/>
          <w:szCs w:val="20"/>
          <w:color w:val="auto"/>
        </w:rPr>
      </w:pPr>
    </w:p>
    <w:p>
      <w:pPr>
        <w:ind w:right="100" w:firstLine="1297"/>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ORGANIZATION</w:t>
      </w:r>
    </w:p>
    <w:p>
      <w:pPr>
        <w:spacing w:after="0" w:line="188"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i w:val="1"/>
          <w:iCs w:val="1"/>
          <w:color w:val="auto"/>
        </w:rPr>
        <w:t>Formation</w:t>
      </w:r>
      <w:r>
        <w:rPr>
          <w:rFonts w:ascii="Arial" w:cs="Arial" w:eastAsia="Arial" w:hAnsi="Arial"/>
          <w:sz w:val="22"/>
          <w:szCs w:val="22"/>
          <w:color w:val="auto"/>
        </w:rPr>
        <w:t>. The General Partner and the Organizational Limited Partner previously formed the Partnership as a limited partnership pursuant to the provisions of the Marshall Islands Act and hereby amend and restate the Fourth Amended Agreement in its entirety. This amendment and restatement shall become effective at the Effective Time.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191" w:lineRule="exact"/>
        <w:rPr>
          <w:sz w:val="20"/>
          <w:szCs w:val="20"/>
          <w:color w:val="auto"/>
        </w:rPr>
      </w:pPr>
    </w:p>
    <w:p>
      <w:pPr>
        <w:ind w:right="80" w:firstLine="1297"/>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51" w:lineRule="exact"/>
        <w:rPr>
          <w:sz w:val="20"/>
          <w:szCs w:val="20"/>
          <w:color w:val="auto"/>
        </w:rPr>
      </w:pPr>
    </w:p>
    <w:p>
      <w:pPr>
        <w:ind w:right="20" w:firstLine="1297"/>
        <w:spacing w:after="0" w:line="274"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Registered Office; Registered Agent; Principal Office; Other Offices</w:t>
      </w:r>
      <w:r>
        <w:rPr>
          <w:rFonts w:ascii="Arial" w:cs="Arial" w:eastAsia="Arial" w:hAnsi="Arial"/>
          <w:sz w:val="19"/>
          <w:szCs w:val="19"/>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Gildo Pastor Center, 7 Rue du Gabian, MC 98000, Monaco,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Gildo Pastor Center, 7 Rue du Gabian, MC 98000, Monaco, or such other place as the General Partner may from time to time designate by notice to the Limited Partners.</w:t>
      </w:r>
    </w:p>
    <w:p>
      <w:pPr>
        <w:spacing w:after="0" w:line="159"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51" w:lineRule="exact"/>
        <w:rPr>
          <w:sz w:val="20"/>
          <w:szCs w:val="20"/>
          <w:color w:val="auto"/>
        </w:rPr>
      </w:pPr>
    </w:p>
    <w:p>
      <w:pPr>
        <w:ind w:right="740" w:firstLine="1297"/>
        <w:spacing w:after="0" w:line="251"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The Partnership shall be empowered to do any and all acts and things necessary and appropriate for the furtherance and accomplishment of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 xml:space="preserve">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206"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174"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General Partner shall use commercially reasonable efforts to cause record title to such assets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those assets in respect of which the Board of Directors determines that the expense and difficulty of conveyancing makes transfer of record title to the Partnership impracticable) to be vested in the Partnership as soon as reasonably practicable;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prior to the withdrawal or removal of the General Partner or as soon thereafter as practicable, the General Partner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RIGHTS OF LIMITED PARTNERS</w:t>
      </w:r>
    </w:p>
    <w:p>
      <w:pPr>
        <w:spacing w:after="0" w:line="188"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173" w:lineRule="exact"/>
        <w:rPr>
          <w:sz w:val="20"/>
          <w:szCs w:val="20"/>
          <w:color w:val="auto"/>
        </w:rPr>
      </w:pPr>
    </w:p>
    <w:p>
      <w:pPr>
        <w:ind w:right="40" w:firstLine="1297"/>
        <w:spacing w:after="0" w:line="247"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i w:val="1"/>
          <w:iCs w:val="1"/>
          <w:color w:val="auto"/>
        </w:rPr>
        <w:t>Management of Business</w:t>
      </w:r>
      <w:r>
        <w:rPr>
          <w:rFonts w:ascii="Arial" w:cs="Arial" w:eastAsia="Arial" w:hAnsi="Arial"/>
          <w:sz w:val="21"/>
          <w:szCs w:val="21"/>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7" w:name="page38"/>
    <w:bookmarkEnd w:id="37"/>
    <w:p>
      <w:pPr>
        <w:ind w:right="20"/>
        <w:spacing w:after="0" w:line="251" w:lineRule="auto"/>
        <w:rPr>
          <w:sz w:val="20"/>
          <w:szCs w:val="20"/>
          <w:color w:val="auto"/>
        </w:rPr>
      </w:pPr>
      <w:r>
        <w:rPr>
          <w:rFonts w:ascii="Arial" w:cs="Arial" w:eastAsia="Arial" w:hAnsi="Arial"/>
          <w:sz w:val="22"/>
          <w:szCs w:val="22"/>
          <w:color w:val="auto"/>
        </w:rPr>
        <w:t>30 of the Marshall Islands Act) and shall not affect, impair or eliminate the limitations on the liability of the Limited Partners under this Agreement.</w:t>
      </w:r>
    </w:p>
    <w:p>
      <w:pPr>
        <w:spacing w:after="0" w:line="173"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i w:val="1"/>
          <w:iCs w:val="1"/>
          <w:color w:val="auto"/>
        </w:rPr>
        <w:t>Outside Activities of the Limited Partners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ind w:right="240" w:firstLine="1297"/>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185" w:lineRule="exact"/>
        <w:rPr>
          <w:sz w:val="20"/>
          <w:szCs w:val="20"/>
          <w:color w:val="auto"/>
        </w:rPr>
      </w:pPr>
    </w:p>
    <w:p>
      <w:pPr>
        <w:ind w:left="2000" w:hanging="695"/>
        <w:spacing w:after="0"/>
        <w:tabs>
          <w:tab w:leader="none" w:pos="20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each Partner;</w:t>
      </w:r>
    </w:p>
    <w:p>
      <w:pPr>
        <w:spacing w:after="0" w:line="188" w:lineRule="exact"/>
        <w:rPr>
          <w:rFonts w:ascii="Arial" w:cs="Arial" w:eastAsia="Arial" w:hAnsi="Arial"/>
          <w:sz w:val="19"/>
          <w:szCs w:val="19"/>
          <w:color w:val="auto"/>
        </w:rPr>
      </w:pPr>
    </w:p>
    <w:p>
      <w:pPr>
        <w:ind w:left="660" w:right="400" w:firstLine="645"/>
        <w:spacing w:after="0"/>
        <w:tabs>
          <w:tab w:leader="none" w:pos="2004" w:val="left"/>
        </w:tabs>
        <w:numPr>
          <w:ilvl w:val="0"/>
          <w:numId w:val="18"/>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186" w:lineRule="exact"/>
        <w:rPr>
          <w:rFonts w:ascii="Arial" w:cs="Arial" w:eastAsia="Arial" w:hAnsi="Arial"/>
          <w:sz w:val="22"/>
          <w:szCs w:val="22"/>
          <w:color w:val="auto"/>
        </w:rPr>
      </w:pPr>
    </w:p>
    <w:p>
      <w:pPr>
        <w:ind w:left="660" w:right="960" w:firstLine="645"/>
        <w:spacing w:after="0" w:line="251" w:lineRule="auto"/>
        <w:tabs>
          <w:tab w:leader="none" w:pos="2010" w:val="left"/>
        </w:tabs>
        <w:numPr>
          <w:ilvl w:val="0"/>
          <w:numId w:val="18"/>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173" w:lineRule="exact"/>
        <w:rPr>
          <w:rFonts w:ascii="Arial" w:cs="Arial" w:eastAsia="Arial" w:hAnsi="Arial"/>
          <w:sz w:val="22"/>
          <w:szCs w:val="22"/>
          <w:color w:val="auto"/>
        </w:rPr>
      </w:pPr>
    </w:p>
    <w:p>
      <w:pPr>
        <w:ind w:left="660" w:right="1000" w:firstLine="645"/>
        <w:spacing w:after="0" w:line="251" w:lineRule="auto"/>
        <w:tabs>
          <w:tab w:leader="none" w:pos="1998" w:val="left"/>
        </w:tabs>
        <w:numPr>
          <w:ilvl w:val="0"/>
          <w:numId w:val="18"/>
        </w:numPr>
        <w:rPr>
          <w:rFonts w:ascii="Arial" w:cs="Arial" w:eastAsia="Arial" w:hAnsi="Arial"/>
          <w:sz w:val="22"/>
          <w:szCs w:val="22"/>
          <w:color w:val="auto"/>
        </w:rPr>
      </w:pPr>
      <w:r>
        <w:rPr>
          <w:rFonts w:ascii="Arial" w:cs="Arial" w:eastAsia="Arial" w:hAnsi="Arial"/>
          <w:sz w:val="22"/>
          <w:szCs w:val="22"/>
          <w:color w:val="auto"/>
        </w:rPr>
        <w:t>obtain true and full information regarding the status of the business and financial condition of the Partnership Group; and</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obtain such other information regarding the affairs of the Partnership as is just and reasonable.</w:t>
      </w:r>
    </w:p>
    <w:p>
      <w:pPr>
        <w:spacing w:after="0" w:line="206" w:lineRule="exact"/>
        <w:rPr>
          <w:sz w:val="20"/>
          <w:szCs w:val="20"/>
          <w:color w:val="auto"/>
        </w:rPr>
      </w:pPr>
    </w:p>
    <w:p>
      <w:pPr>
        <w:ind w:right="120" w:firstLine="1305"/>
        <w:spacing w:after="0" w:line="248" w:lineRule="auto"/>
        <w:tabs>
          <w:tab w:leader="none" w:pos="1981"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188" w:lineRule="exact"/>
        <w:rPr>
          <w:sz w:val="20"/>
          <w:szCs w:val="20"/>
          <w:color w:val="auto"/>
        </w:rPr>
      </w:pPr>
    </w:p>
    <w:p>
      <w:pPr>
        <w:ind w:right="140" w:firstLine="1297"/>
        <w:spacing w:after="0" w:line="245"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i w:val="1"/>
          <w:iCs w:val="1"/>
          <w:color w:val="auto"/>
        </w:rPr>
        <w:t>Certificates</w:t>
      </w:r>
      <w:r>
        <w:rPr>
          <w:rFonts w:ascii="Arial" w:cs="Arial" w:eastAsia="Arial" w:hAnsi="Arial"/>
          <w:sz w:val="21"/>
          <w:szCs w:val="21"/>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185"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i w:val="1"/>
          <w:iCs w:val="1"/>
          <w:color w:val="auto"/>
        </w:rPr>
        <w:t>Mutilated, Destroyed, Lost or Stolen Certificates.</w:t>
      </w:r>
      <w:r>
        <w:rPr>
          <w:rFonts w:ascii="Arial" w:cs="Arial" w:eastAsia="Arial" w:hAnsi="Arial"/>
          <w:sz w:val="21"/>
          <w:szCs w:val="21"/>
          <w:color w:val="auto"/>
        </w:rPr>
        <w:t xml:space="preserve"> (a) If any mutilated Certificate is surrendered to the Transfer Agent (for Common Units or Preference Units) or the Partnership (for Partnership Interests other than Common Units or Preference Units), the appropriate Officers on behalf of the Partnership shall execute, and the Transfer Agent (for Common Units or Preference Units) shall countersign and deliver in exchange therefor, a new Certificate evidencing the same number and type of Partnership Interests as the Certificate so surrendered.</w:t>
      </w:r>
    </w:p>
    <w:p>
      <w:pPr>
        <w:spacing w:after="0" w:line="179" w:lineRule="exact"/>
        <w:rPr>
          <w:sz w:val="20"/>
          <w:szCs w:val="20"/>
          <w:color w:val="auto"/>
        </w:rPr>
      </w:pPr>
    </w:p>
    <w:p>
      <w:pPr>
        <w:ind w:right="180" w:firstLine="1305"/>
        <w:spacing w:after="0"/>
        <w:tabs>
          <w:tab w:leader="none" w:pos="198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appropriate Officers on behalf of the Partnership shall execute and deliver, and the Transfer Agent (for Common Units or Preference Units), as applicable, shall countersign, a new Certificate in place of any Certificate previously issued, or issue uncertificated Units, if the Record Holder of the Certificate:</w:t>
      </w:r>
    </w:p>
    <w:p>
      <w:pPr>
        <w:spacing w:after="0" w:line="186" w:lineRule="exact"/>
        <w:rPr>
          <w:sz w:val="20"/>
          <w:szCs w:val="20"/>
          <w:color w:val="auto"/>
        </w:rPr>
      </w:pPr>
    </w:p>
    <w:p>
      <w:pPr>
        <w:ind w:left="660" w:right="520" w:firstLine="645"/>
        <w:spacing w:after="0" w:line="251" w:lineRule="auto"/>
        <w:tabs>
          <w:tab w:leader="none" w:pos="1998" w:val="left"/>
        </w:tabs>
        <w:numPr>
          <w:ilvl w:val="0"/>
          <w:numId w:val="21"/>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173" w:lineRule="exact"/>
        <w:rPr>
          <w:rFonts w:ascii="Arial" w:cs="Arial" w:eastAsia="Arial" w:hAnsi="Arial"/>
          <w:sz w:val="22"/>
          <w:szCs w:val="22"/>
          <w:color w:val="auto"/>
        </w:rPr>
      </w:pPr>
    </w:p>
    <w:p>
      <w:pPr>
        <w:jc w:val="both"/>
        <w:ind w:left="660" w:right="200" w:firstLine="645"/>
        <w:spacing w:after="0" w:line="328" w:lineRule="auto"/>
        <w:tabs>
          <w:tab w:leader="none" w:pos="2004"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05" w:lineRule="exact"/>
        <w:rPr>
          <w:rFonts w:ascii="Arial" w:cs="Arial" w:eastAsia="Arial" w:hAnsi="Arial"/>
          <w:sz w:val="19"/>
          <w:szCs w:val="19"/>
          <w:color w:val="auto"/>
        </w:rPr>
      </w:pPr>
    </w:p>
    <w:p>
      <w:pPr>
        <w:ind w:left="660" w:right="120" w:firstLine="645"/>
        <w:spacing w:after="0" w:line="238" w:lineRule="auto"/>
        <w:tabs>
          <w:tab w:leader="none" w:pos="201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185" w:lineRule="exact"/>
        <w:rPr>
          <w:rFonts w:ascii="Arial" w:cs="Arial" w:eastAsia="Arial" w:hAnsi="Arial"/>
          <w:sz w:val="22"/>
          <w:szCs w:val="22"/>
          <w:color w:val="auto"/>
        </w:rPr>
      </w:pPr>
    </w:p>
    <w:p>
      <w:pPr>
        <w:ind w:left="2000" w:hanging="695"/>
        <w:spacing w:after="0"/>
        <w:tabs>
          <w:tab w:leader="none" w:pos="20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06"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9" w:name="page40"/>
    <w:bookmarkEnd w:id="39"/>
    <w:p>
      <w:pPr>
        <w:ind w:right="140"/>
        <w:spacing w:after="0" w:line="328" w:lineRule="auto"/>
        <w:rPr>
          <w:sz w:val="20"/>
          <w:szCs w:val="20"/>
          <w:color w:val="auto"/>
        </w:rPr>
      </w:pPr>
      <w:r>
        <w:rPr>
          <w:rFonts w:ascii="Arial" w:cs="Arial" w:eastAsia="Arial" w:hAnsi="Arial"/>
          <w:sz w:val="19"/>
          <w:szCs w:val="19"/>
          <w:color w:val="auto"/>
        </w:rPr>
        <w:t>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105" w:lineRule="exact"/>
        <w:rPr>
          <w:sz w:val="20"/>
          <w:szCs w:val="20"/>
          <w:color w:val="auto"/>
        </w:rPr>
      </w:pPr>
    </w:p>
    <w:p>
      <w:pPr>
        <w:ind w:right="320" w:firstLine="1305"/>
        <w:spacing w:after="0" w:line="297" w:lineRule="auto"/>
        <w:tabs>
          <w:tab w:leader="none" w:pos="1968"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34" w:lineRule="exact"/>
        <w:rPr>
          <w:sz w:val="20"/>
          <w:szCs w:val="20"/>
          <w:color w:val="auto"/>
        </w:rPr>
      </w:pPr>
    </w:p>
    <w:p>
      <w:pPr>
        <w:ind w:right="40" w:firstLine="1297"/>
        <w:spacing w:after="0" w:line="273"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i w:val="1"/>
          <w:iCs w:val="1"/>
          <w:color w:val="auto"/>
        </w:rPr>
        <w:t>Record Holders</w:t>
      </w:r>
      <w:r>
        <w:rPr>
          <w:rFonts w:ascii="Arial" w:cs="Arial" w:eastAsia="Arial" w:hAnsi="Arial"/>
          <w:sz w:val="19"/>
          <w:szCs w:val="19"/>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Record Holder of such Partnership Interest and (b) shall be bound by this Agreement and shall have the rights and obligations of a Partner hereunder and as, and to the extent, provided for herein.</w:t>
      </w:r>
    </w:p>
    <w:p>
      <w:pPr>
        <w:spacing w:after="0" w:line="162"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i w:val="1"/>
          <w:iCs w:val="1"/>
          <w:color w:val="auto"/>
        </w:rPr>
        <w:t>Transfer Generally.</w:t>
      </w:r>
      <w:r>
        <w:rPr>
          <w:rFonts w:ascii="Arial" w:cs="Arial" w:eastAsia="Arial" w:hAnsi="Arial"/>
          <w:sz w:val="21"/>
          <w:szCs w:val="21"/>
          <w:color w:val="auto"/>
        </w:rPr>
        <w:t xml:space="preserve"> (a) The term “transfer,” when used in this Agreement with respect to a Partnership Interest, shall mean a transaction (i) by which the General Partner assigns its General Partner Units to another Person or by which a holder of Incentive Distribution Rights assigns its Incentive Distribution Rights to another Person, and includes a sale, assignment, gift, pledge, encumbrance, hypothecation, mortgage, exchange or any other disposition by law or otherwise or (ii) by which the holder of a Limited Partner Interest (other than an Incentive Distribution Right)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181" w:lineRule="exact"/>
        <w:rPr>
          <w:sz w:val="20"/>
          <w:szCs w:val="20"/>
          <w:color w:val="auto"/>
        </w:rPr>
      </w:pPr>
    </w:p>
    <w:p>
      <w:pPr>
        <w:ind w:right="80" w:firstLine="1305"/>
        <w:spacing w:after="0"/>
        <w:tabs>
          <w:tab w:leader="none" w:pos="1981"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186" w:lineRule="exact"/>
        <w:rPr>
          <w:rFonts w:ascii="Arial" w:cs="Arial" w:eastAsia="Arial" w:hAnsi="Arial"/>
          <w:sz w:val="22"/>
          <w:szCs w:val="22"/>
          <w:color w:val="auto"/>
        </w:rPr>
      </w:pPr>
    </w:p>
    <w:p>
      <w:pPr>
        <w:ind w:right="660" w:firstLine="1305"/>
        <w:spacing w:after="0" w:line="297" w:lineRule="auto"/>
        <w:tabs>
          <w:tab w:leader="none" w:pos="1968"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0" w:name="page41"/>
    <w:bookmarkEnd w:id="40"/>
    <w:p>
      <w:pPr>
        <w:ind w:firstLine="1297"/>
        <w:spacing w:after="0" w:line="27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and Preference Units and transfers of such Common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56" w:lineRule="exact"/>
        <w:rPr>
          <w:sz w:val="20"/>
          <w:szCs w:val="20"/>
          <w:color w:val="auto"/>
        </w:rPr>
      </w:pPr>
    </w:p>
    <w:p>
      <w:pPr>
        <w:ind w:right="40" w:firstLine="1305"/>
        <w:spacing w:after="0" w:line="249" w:lineRule="auto"/>
        <w:tabs>
          <w:tab w:leader="none" w:pos="1981" w:val="left"/>
        </w:tabs>
        <w:numPr>
          <w:ilvl w:val="1"/>
          <w:numId w:val="24"/>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 sufficient to cover any tax or other governmental charge that may be imposed with respect thereto.</w:t>
      </w:r>
    </w:p>
    <w:p>
      <w:pPr>
        <w:spacing w:after="0" w:line="178" w:lineRule="exact"/>
        <w:rPr>
          <w:rFonts w:ascii="Arial" w:cs="Arial" w:eastAsia="Arial" w:hAnsi="Arial"/>
          <w:sz w:val="21"/>
          <w:szCs w:val="21"/>
          <w:color w:val="auto"/>
        </w:rPr>
      </w:pPr>
    </w:p>
    <w:p>
      <w:pPr>
        <w:ind w:right="60" w:firstLine="1305"/>
        <w:spacing w:after="0" w:line="270" w:lineRule="auto"/>
        <w:tabs>
          <w:tab w:leader="none" w:pos="1968"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By acceptance of the transfer of a Limited Partner Interest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as otherwise provided in </w:t>
      </w:r>
      <w:r>
        <w:rPr>
          <w:rFonts w:ascii="Arial" w:cs="Arial" w:eastAsia="Arial" w:hAnsi="Arial"/>
          <w:sz w:val="19"/>
          <w:szCs w:val="19"/>
          <w:u w:val="single" w:color="auto"/>
          <w:color w:val="auto"/>
        </w:rPr>
        <w:t>Section 4.8</w:t>
      </w:r>
      <w:r>
        <w:rPr>
          <w:rFonts w:ascii="Arial" w:cs="Arial" w:eastAsia="Arial" w:hAnsi="Arial"/>
          <w:sz w:val="19"/>
          <w:szCs w:val="19"/>
          <w:color w:val="auto"/>
        </w:rPr>
        <w:t>,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1" w:lineRule="exact"/>
        <w:rPr>
          <w:rFonts w:ascii="Arial" w:cs="Arial" w:eastAsia="Arial" w:hAnsi="Arial"/>
          <w:sz w:val="19"/>
          <w:szCs w:val="19"/>
          <w:color w:val="auto"/>
        </w:rPr>
      </w:pPr>
    </w:p>
    <w:p>
      <w:pPr>
        <w:ind w:right="160" w:firstLine="8"/>
        <w:spacing w:after="0" w:line="233" w:lineRule="auto"/>
        <w:tabs>
          <w:tab w:leader="none" w:pos="3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88" w:lineRule="exact"/>
        <w:rPr>
          <w:rFonts w:ascii="Arial" w:cs="Arial" w:eastAsia="Arial" w:hAnsi="Arial"/>
          <w:sz w:val="22"/>
          <w:szCs w:val="22"/>
          <w:color w:val="auto"/>
        </w:rPr>
      </w:pPr>
    </w:p>
    <w:p>
      <w:pPr>
        <w:ind w:right="140" w:firstLine="1305"/>
        <w:spacing w:after="0" w:line="251" w:lineRule="auto"/>
        <w:tabs>
          <w:tab w:leader="none" w:pos="1927"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173" w:lineRule="exact"/>
        <w:rPr>
          <w:rFonts w:ascii="Arial" w:cs="Arial" w:eastAsia="Arial" w:hAnsi="Arial"/>
          <w:sz w:val="22"/>
          <w:szCs w:val="22"/>
          <w:color w:val="auto"/>
        </w:rPr>
      </w:pPr>
    </w:p>
    <w:p>
      <w:pPr>
        <w:ind w:right="100" w:firstLine="1305"/>
        <w:spacing w:after="0" w:line="251" w:lineRule="auto"/>
        <w:tabs>
          <w:tab w:leader="none" w:pos="1968"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General Partner and its Affiliates shall have the right at any time to transfer their Common Units or any Preference Units to one or more Persons.</w:t>
      </w:r>
    </w:p>
    <w:p>
      <w:pPr>
        <w:spacing w:after="0" w:line="173" w:lineRule="exact"/>
        <w:rPr>
          <w:sz w:val="20"/>
          <w:szCs w:val="20"/>
          <w:color w:val="auto"/>
        </w:rPr>
      </w:pPr>
    </w:p>
    <w:p>
      <w:pPr>
        <w:ind w:right="20" w:firstLine="1297"/>
        <w:spacing w:after="0"/>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i w:val="1"/>
          <w:iCs w:val="1"/>
          <w:color w:val="auto"/>
        </w:rPr>
        <w:t>Transfer of the General Partner’s General Partner Interest.</w:t>
      </w:r>
      <w:r>
        <w:rPr>
          <w:rFonts w:ascii="Arial" w:cs="Arial" w:eastAsia="Arial" w:hAnsi="Arial"/>
          <w:sz w:val="22"/>
          <w:szCs w:val="22"/>
          <w:color w:val="auto"/>
        </w:rPr>
        <w:t xml:space="preserve"> (a) 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prior to March 31, 2024, the General Partner shall not transfer all or any part of its General Partner Interest (represented by General Partner Units) to a Person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1" w:name="page42"/>
    <w:bookmarkEnd w:id="41"/>
    <w:p>
      <w:pPr>
        <w:ind w:right="180"/>
        <w:spacing w:after="0" w:line="282" w:lineRule="auto"/>
        <w:rPr>
          <w:sz w:val="20"/>
          <w:szCs w:val="20"/>
          <w:color w:val="auto"/>
        </w:rPr>
      </w:pPr>
      <w:r>
        <w:rPr>
          <w:rFonts w:ascii="Arial" w:cs="Arial" w:eastAsia="Arial" w:hAnsi="Arial"/>
          <w:sz w:val="19"/>
          <w:szCs w:val="19"/>
          <w:color w:val="auto"/>
        </w:rPr>
        <w:t>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(other than an individual) or (B) 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48" w:lineRule="exact"/>
        <w:rPr>
          <w:sz w:val="20"/>
          <w:szCs w:val="20"/>
          <w:color w:val="auto"/>
        </w:rPr>
      </w:pPr>
    </w:p>
    <w:p>
      <w:pPr>
        <w:ind w:firstLine="1305"/>
        <w:spacing w:after="0" w:line="251" w:lineRule="auto"/>
        <w:tabs>
          <w:tab w:leader="none" w:pos="1981"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on or after March 31, 2024, the General Partner may transfer all or any of its General Partner Interest without Unitholder approval.</w:t>
      </w:r>
    </w:p>
    <w:p>
      <w:pPr>
        <w:spacing w:after="0" w:line="173" w:lineRule="exact"/>
        <w:rPr>
          <w:rFonts w:ascii="Arial" w:cs="Arial" w:eastAsia="Arial" w:hAnsi="Arial"/>
          <w:sz w:val="22"/>
          <w:szCs w:val="22"/>
          <w:color w:val="auto"/>
        </w:rPr>
      </w:pPr>
    </w:p>
    <w:p>
      <w:pPr>
        <w:ind w:right="20" w:firstLine="1305"/>
        <w:spacing w:after="0" w:line="273" w:lineRule="auto"/>
        <w:tabs>
          <w:tab w:leader="none" w:pos="1968"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the transferee or successor (as the case may be) shall, subject to compliance with the terms of </w:t>
      </w:r>
      <w:r>
        <w:rPr>
          <w:rFonts w:ascii="Arial" w:cs="Arial" w:eastAsia="Arial" w:hAnsi="Arial"/>
          <w:sz w:val="19"/>
          <w:szCs w:val="19"/>
          <w:u w:val="single" w:color="auto"/>
          <w:color w:val="auto"/>
        </w:rPr>
        <w:t>Section 10.3</w:t>
      </w:r>
      <w:r>
        <w:rPr>
          <w:rFonts w:ascii="Arial" w:cs="Arial" w:eastAsia="Arial" w:hAnsi="Arial"/>
          <w:sz w:val="19"/>
          <w:szCs w:val="19"/>
          <w:color w:val="auto"/>
        </w:rPr>
        <w:t>, be admitted to the Partnership as the General Partner immediately prior to the transfer of the General Partner Interest, and the business of the Partnership shall continue without dissolution.</w:t>
      </w:r>
    </w:p>
    <w:p>
      <w:pPr>
        <w:spacing w:after="0" w:line="162" w:lineRule="exact"/>
        <w:rPr>
          <w:sz w:val="20"/>
          <w:szCs w:val="20"/>
          <w:color w:val="auto"/>
        </w:rPr>
      </w:pPr>
    </w:p>
    <w:p>
      <w:pPr>
        <w:ind w:right="60" w:firstLine="1297"/>
        <w:spacing w:after="0" w:line="276"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i w:val="1"/>
          <w:iCs w:val="1"/>
          <w:color w:val="auto"/>
        </w:rPr>
        <w:t>Transfer of Incentive Distribution Rights</w:t>
      </w:r>
      <w:r>
        <w:rPr>
          <w:rFonts w:ascii="Arial" w:cs="Arial" w:eastAsia="Arial" w:hAnsi="Arial"/>
          <w:sz w:val="19"/>
          <w:szCs w:val="19"/>
          <w:color w:val="auto"/>
        </w:rPr>
        <w:t>. Prior to March 31, 2019, a holder of Incentive Distribution Rights may transfer any or all of the Incentive Distribution Rights held by such holder without any consent of the Unitholders to</w:t>
      </w:r>
    </w:p>
    <w:p>
      <w:pPr>
        <w:spacing w:after="0" w:line="2" w:lineRule="exact"/>
        <w:rPr>
          <w:sz w:val="20"/>
          <w:szCs w:val="20"/>
          <w:color w:val="auto"/>
        </w:rPr>
      </w:pPr>
    </w:p>
    <w:p>
      <w:pPr>
        <w:ind w:right="40" w:firstLine="8"/>
        <w:spacing w:after="0" w:line="271" w:lineRule="auto"/>
        <w:tabs>
          <w:tab w:leader="none" w:pos="29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an Affiliate of such holder (other than an individual) or (b) another Person (other than an individual)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March 31, 2019, shall require the prior approval of holders of at least a majority of the Outstanding Common Units (excluding Common Units held by GasLog and its Affiliates). On or after March 31, 2019, any holder of Incentive Distribution Rights may transfer any or all of its Incentive Distribution Rights without Unitholder approval. Notwithstanding anything herein to the contrary, (a) the transfer of Common Units issued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shall not be treated as a transfer of all or any part of the Incentive Distribution Rights and (b) no transfer of Incentive Distribution Rights to another Person shall be permitted unless the transferee agrees to be bound by the provisions of this Agreement. The General Partner and any transferee or transferees of the Incentive Distribution Rights may agree in a separate instrument as to the General Partner’s exercise of its rights with respect to the Incentive Distribution Rights under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both"/>
        <w:ind w:right="180" w:firstLine="1297"/>
        <w:spacing w:after="0"/>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i w:val="1"/>
          <w:iCs w:val="1"/>
          <w:color w:val="auto"/>
        </w:rPr>
        <w:t>Restrictions on Transfers.</w:t>
      </w:r>
      <w:r>
        <w:rPr>
          <w:rFonts w:ascii="Arial" w:cs="Arial" w:eastAsia="Arial" w:hAnsi="Arial"/>
          <w:sz w:val="22"/>
          <w:szCs w:val="22"/>
          <w:color w:val="auto"/>
        </w:rPr>
        <w:t xml:space="preserve"> (a) Except as provided in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below, but notwithstanding the other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 no transfer of any Partnership Interests shall be made if such transfer would (i) violate the then applicable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2" w:name="page43"/>
    <w:bookmarkEnd w:id="42"/>
    <w:p>
      <w:pPr>
        <w:ind w:right="140"/>
        <w:spacing w:after="0" w:line="258" w:lineRule="auto"/>
        <w:rPr>
          <w:sz w:val="20"/>
          <w:szCs w:val="20"/>
          <w:color w:val="auto"/>
        </w:rPr>
      </w:pPr>
      <w:r>
        <w:rPr>
          <w:rFonts w:ascii="Arial" w:cs="Arial" w:eastAsia="Arial" w:hAnsi="Arial"/>
          <w:sz w:val="21"/>
          <w:szCs w:val="21"/>
          <w:color w:val="auto"/>
        </w:rPr>
        <w:t>federal or state securities laws, laws of the Republic of the Marshall Islands or rules and regulations of the Commission, any state securities commission or any other governmental authority with jurisdiction over such transfer or (ii) terminate the existence or qualification of the Partnership or any Group Member under the laws of the jurisdiction of its formation.</w:t>
      </w:r>
    </w:p>
    <w:p>
      <w:pPr>
        <w:spacing w:after="0" w:line="167" w:lineRule="exact"/>
        <w:rPr>
          <w:sz w:val="20"/>
          <w:szCs w:val="20"/>
          <w:color w:val="auto"/>
        </w:rPr>
      </w:pPr>
    </w:p>
    <w:p>
      <w:pPr>
        <w:ind w:right="160" w:firstLine="1305"/>
        <w:spacing w:after="0"/>
        <w:tabs>
          <w:tab w:leader="none" w:pos="1981"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188"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i w:val="1"/>
          <w:iCs w:val="1"/>
          <w:color w:val="auto"/>
        </w:rPr>
        <w:t>Contributions Prior to the Closing Date.</w:t>
      </w:r>
      <w:r>
        <w:rPr>
          <w:rFonts w:ascii="Arial" w:cs="Arial" w:eastAsia="Arial" w:hAnsi="Arial"/>
          <w:sz w:val="19"/>
          <w:szCs w:val="19"/>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19"/>
          <w:szCs w:val="19"/>
          <w:b w:val="1"/>
          <w:bCs w:val="1"/>
          <w:i w:val="1"/>
          <w:iCs w:val="1"/>
          <w:color w:val="auto"/>
        </w:rPr>
        <w:t>Initial General Partner Interest</w:t>
      </w:r>
      <w:r>
        <w:rPr>
          <w:rFonts w:ascii="Arial" w:cs="Arial" w:eastAsia="Arial" w:hAnsi="Arial"/>
          <w:sz w:val="19"/>
          <w:szCs w:val="19"/>
          <w:color w:val="auto"/>
        </w:rPr>
        <w:t>”) and was admitted as the General Partner of the Partnership, and the Organizational Limited Partner made an initial Capital Contribution in the amount of $980 for a 98% limited partner interest in the Partnership (the “</w:t>
      </w:r>
      <w:r>
        <w:rPr>
          <w:rFonts w:ascii="Arial" w:cs="Arial" w:eastAsia="Arial" w:hAnsi="Arial"/>
          <w:sz w:val="19"/>
          <w:szCs w:val="19"/>
          <w:b w:val="1"/>
          <w:bCs w:val="1"/>
          <w:i w:val="1"/>
          <w:iCs w:val="1"/>
          <w:color w:val="auto"/>
        </w:rPr>
        <w:t>Initial Limited Partner Interest</w:t>
      </w:r>
      <w:r>
        <w:rPr>
          <w:rFonts w:ascii="Arial" w:cs="Arial" w:eastAsia="Arial" w:hAnsi="Arial"/>
          <w:sz w:val="19"/>
          <w:szCs w:val="19"/>
          <w:color w:val="auto"/>
        </w:rPr>
        <w:t>”) and was admitted as a Limited Partner of the Partnership.</w:t>
      </w:r>
    </w:p>
    <w:p>
      <w:pPr>
        <w:spacing w:after="0" w:line="148"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i w:val="1"/>
          <w:iCs w:val="1"/>
          <w:color w:val="auto"/>
        </w:rPr>
        <w:t>Initial Unit Issuances; Tax Election; Initial Contributors and Redemption of Common Units.</w:t>
      </w:r>
      <w:r>
        <w:rPr>
          <w:rFonts w:ascii="Arial" w:cs="Arial" w:eastAsia="Arial" w:hAnsi="Arial"/>
          <w:sz w:val="21"/>
          <w:szCs w:val="21"/>
          <w:color w:val="auto"/>
        </w:rPr>
        <w:t xml:space="preserve"> (a) On the Closing Date, automatically pursuant to this Agreement and the Contribution Agreement (i) GasLog made a Capital Contribution of the Vessel Interests to the Partnership in exchange for (A) 162,358 Common Units, representing a 0.81% limited partner interest in the Partnership, (B) 9,822,358 Subordinated Units (as defined in that certain Second Amended and Restated Agreement of Limited Partnership of the Partnership), representing a 49.0% limited partner interest in the Partnership (which Subordinated Units converted into Common Units on a one-for-one basis on May 16, 2017 pursuant to that certain Third Amended and Restated Agreement of Limited Partnership of the Partnership), (C) all of the Incentive Distribution Rights, (D) a payment of $68.8 million and (E) the right to receive the Deferred Issuance and Distribution, (ii) the Initial Limited Partner Interest was redeemed and (iii) the Initial General Partner Interest was converted into 400,913 General Partner Units (representing a 2.0% interest in the Partnership).</w:t>
      </w:r>
    </w:p>
    <w:p>
      <w:pPr>
        <w:spacing w:after="0" w:line="182" w:lineRule="exact"/>
        <w:rPr>
          <w:sz w:val="20"/>
          <w:szCs w:val="20"/>
          <w:color w:val="auto"/>
        </w:rPr>
      </w:pPr>
    </w:p>
    <w:p>
      <w:pPr>
        <w:ind w:right="20" w:firstLine="1305"/>
        <w:spacing w:after="0"/>
        <w:tabs>
          <w:tab w:leader="none" w:pos="1981"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the Closing Date and pursuant to the Underwriting Agreement,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jc w:val="both"/>
        <w:ind w:right="900" w:firstLine="1305"/>
        <w:spacing w:after="0"/>
        <w:tabs>
          <w:tab w:leader="none" w:pos="1968" w:val="left"/>
        </w:tabs>
        <w:numPr>
          <w:ilvl w:val="0"/>
          <w:numId w:val="29"/>
        </w:numPr>
        <w:rPr>
          <w:rFonts w:ascii="Arial" w:cs="Arial" w:eastAsia="Arial" w:hAnsi="Arial"/>
          <w:sz w:val="22"/>
          <w:szCs w:val="22"/>
          <w:color w:val="auto"/>
        </w:rPr>
      </w:pPr>
      <w:r>
        <w:rPr>
          <w:rFonts w:ascii="Arial" w:cs="Arial" w:eastAsia="Arial" w:hAnsi="Arial"/>
          <w:sz w:val="22"/>
          <w:szCs w:val="22"/>
          <w:color w:val="auto"/>
        </w:rPr>
        <w:t>Upon the exercise, if any, of the Over-Allotment Option,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ind w:right="240" w:firstLine="1305"/>
        <w:spacing w:after="0" w:line="251" w:lineRule="auto"/>
        <w:tabs>
          <w:tab w:leader="none" w:pos="1927" w:val="left"/>
        </w:tabs>
        <w:numPr>
          <w:ilvl w:val="0"/>
          <w:numId w:val="29"/>
        </w:numPr>
        <w:rPr>
          <w:rFonts w:ascii="Arial" w:cs="Arial" w:eastAsia="Arial" w:hAnsi="Arial"/>
          <w:sz w:val="22"/>
          <w:szCs w:val="22"/>
          <w:color w:val="auto"/>
        </w:rPr>
      </w:pPr>
      <w:r>
        <w:rPr>
          <w:rFonts w:ascii="Arial" w:cs="Arial" w:eastAsia="Arial" w:hAnsi="Arial"/>
          <w:sz w:val="22"/>
          <w:szCs w:val="22"/>
          <w:color w:val="auto"/>
        </w:rPr>
        <w:t>Effective on or before the Closing Date, the Partnership elected to be treated as an association taxable as a corporation for U.S. federal income tax purposes.</w:t>
      </w:r>
    </w:p>
    <w:p>
      <w:pPr>
        <w:spacing w:after="0" w:line="173" w:lineRule="exact"/>
        <w:rPr>
          <w:rFonts w:ascii="Arial" w:cs="Arial" w:eastAsia="Arial" w:hAnsi="Arial"/>
          <w:sz w:val="22"/>
          <w:szCs w:val="22"/>
          <w:color w:val="auto"/>
        </w:rPr>
      </w:pPr>
    </w:p>
    <w:p>
      <w:pPr>
        <w:ind w:right="60" w:firstLine="1305"/>
        <w:spacing w:after="0" w:line="251" w:lineRule="auto"/>
        <w:tabs>
          <w:tab w:leader="none" w:pos="1968"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No Limited Partner Interests were issued or issuable as of or at the Closing Date other than (i) the Common Units and Subordinated Units issuable pursuant to </w:t>
      </w:r>
      <w:r>
        <w:rPr>
          <w:rFonts w:ascii="Arial" w:cs="Arial" w:eastAsia="Arial" w:hAnsi="Arial"/>
          <w:sz w:val="22"/>
          <w:szCs w:val="22"/>
          <w:u w:val="single" w:color="auto"/>
          <w:color w:val="auto"/>
        </w:rPr>
        <w:t>Section</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43" w:name="page44"/>
    <w:bookmarkEnd w:id="43"/>
    <w:p>
      <w:pPr>
        <w:ind w:right="480"/>
        <w:spacing w:after="0" w:line="274" w:lineRule="auto"/>
        <w:rPr>
          <w:sz w:val="20"/>
          <w:szCs w:val="20"/>
          <w:color w:val="auto"/>
        </w:rPr>
      </w:pPr>
      <w:r>
        <w:rPr>
          <w:rFonts w:ascii="Arial" w:cs="Arial" w:eastAsia="Arial" w:hAnsi="Arial"/>
          <w:sz w:val="21"/>
          <w:szCs w:val="21"/>
          <w:u w:val="single" w:color="auto"/>
          <w:color w:val="auto"/>
        </w:rPr>
        <w:t>5.2(a)</w:t>
      </w:r>
      <w:r>
        <w:rPr>
          <w:rFonts w:ascii="Arial" w:cs="Arial" w:eastAsia="Arial" w:hAnsi="Arial"/>
          <w:sz w:val="21"/>
          <w:szCs w:val="21"/>
          <w:color w:val="auto"/>
        </w:rPr>
        <w:t>, (ii) any Common Units issued pursuant to the Deferred Issuance and Distribution, (iii) the Common Units issued to the Underwriters as described in subparagraphs (b) and (c) hereof and (iv) the Incentive Distribution Rights.</w:t>
      </w:r>
    </w:p>
    <w:p>
      <w:pPr>
        <w:spacing w:after="0" w:line="151"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48"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i w:val="1"/>
          <w:iCs w:val="1"/>
          <w:color w:val="auto"/>
        </w:rPr>
        <w:t>Issuances of Additional Partnership Interests.</w:t>
      </w:r>
      <w:r>
        <w:rPr>
          <w:rFonts w:ascii="Arial" w:cs="Arial" w:eastAsia="Arial" w:hAnsi="Arial"/>
          <w:sz w:val="22"/>
          <w:szCs w:val="22"/>
          <w:color w:val="auto"/>
        </w:rPr>
        <w:t xml:space="preserve"> (a) Subject to any approvals required by Series A Holders pursuant to </w:t>
      </w:r>
      <w:r>
        <w:rPr>
          <w:rFonts w:ascii="Arial" w:cs="Arial" w:eastAsia="Arial" w:hAnsi="Arial"/>
          <w:sz w:val="22"/>
          <w:szCs w:val="22"/>
          <w:u w:val="single" w:color="auto"/>
          <w:color w:val="auto"/>
        </w:rPr>
        <w:t>Section 16.5(c)(ii)</w:t>
      </w:r>
      <w:r>
        <w:rPr>
          <w:rFonts w:ascii="Arial" w:cs="Arial" w:eastAsia="Arial" w:hAnsi="Arial"/>
          <w:sz w:val="22"/>
          <w:szCs w:val="22"/>
          <w:color w:val="auto"/>
        </w:rPr>
        <w:t xml:space="preserve">, any approvals required by Series B Holders pursuant to </w:t>
      </w:r>
      <w:r>
        <w:rPr>
          <w:rFonts w:ascii="Arial" w:cs="Arial" w:eastAsia="Arial" w:hAnsi="Arial"/>
          <w:sz w:val="22"/>
          <w:szCs w:val="22"/>
          <w:u w:val="single" w:color="auto"/>
          <w:color w:val="auto"/>
        </w:rPr>
        <w:t>Section 17.5(c)(ii)</w:t>
      </w:r>
      <w:r>
        <w:rPr>
          <w:rFonts w:ascii="Arial" w:cs="Arial" w:eastAsia="Arial" w:hAnsi="Arial"/>
          <w:sz w:val="22"/>
          <w:szCs w:val="22"/>
          <w:color w:val="auto"/>
        </w:rPr>
        <w:t xml:space="preserve"> and any approvals required by Series C Holders pursuant to </w:t>
      </w:r>
      <w:r>
        <w:rPr>
          <w:rFonts w:ascii="Arial" w:cs="Arial" w:eastAsia="Arial" w:hAnsi="Arial"/>
          <w:sz w:val="22"/>
          <w:szCs w:val="22"/>
          <w:u w:val="single" w:color="auto"/>
          <w:color w:val="auto"/>
        </w:rPr>
        <w:t>Section 18.5(c)(ii)</w:t>
      </w:r>
      <w:r>
        <w:rPr>
          <w:rFonts w:ascii="Arial" w:cs="Arial" w:eastAsia="Arial" w:hAnsi="Arial"/>
          <w:sz w:val="22"/>
          <w:szCs w:val="22"/>
          <w:color w:val="auto"/>
        </w:rPr>
        <w: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188"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additional Partnership Interest authorized to be issued by the Partnership pursuant to</w:t>
      </w:r>
    </w:p>
    <w:p>
      <w:pPr>
        <w:spacing w:after="0" w:line="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57" w:lineRule="exact"/>
        <w:rPr>
          <w:sz w:val="20"/>
          <w:szCs w:val="20"/>
          <w:color w:val="auto"/>
        </w:rPr>
      </w:pPr>
    </w:p>
    <w:p>
      <w:pPr>
        <w:ind w:right="100" w:firstLine="1305"/>
        <w:spacing w:after="0" w:line="275" w:lineRule="auto"/>
        <w:tabs>
          <w:tab w:leader="none" w:pos="19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including Common Units issued in connection with the Deferred Issuance and Distribution, (ii) the conversion of the General Partner Interest (represented by General Partner Units) or any Incentive Distribution Rights into Units pursuant to the terms of this Agreement, (iii) the issuance of Common Units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(iv) the admission of additional Limited Partners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4" w:name="page45"/>
    <w:bookmarkEnd w:id="44"/>
    <w:p>
      <w:pPr>
        <w:ind w:right="140"/>
        <w:spacing w:after="0" w:line="287" w:lineRule="auto"/>
        <w:rPr>
          <w:sz w:val="20"/>
          <w:szCs w:val="20"/>
          <w:color w:val="auto"/>
        </w:rPr>
      </w:pPr>
      <w:r>
        <w:rPr>
          <w:rFonts w:ascii="Arial" w:cs="Arial" w:eastAsia="Arial" w:hAnsi="Arial"/>
          <w:sz w:val="19"/>
          <w:szCs w:val="19"/>
          <w:color w:val="auto"/>
        </w:rPr>
        <w:t>determines to be necessary or appropriate in connection with any future issuance of Partnership Interests or in connection with the conversion of the General Partner Interest or any Incentive Distribution Rights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43" w:lineRule="exact"/>
        <w:rPr>
          <w:sz w:val="20"/>
          <w:szCs w:val="20"/>
          <w:color w:val="auto"/>
        </w:rPr>
      </w:pPr>
    </w:p>
    <w:p>
      <w:pPr>
        <w:ind w:right="40" w:firstLine="1305"/>
        <w:spacing w:after="0" w:line="247" w:lineRule="auto"/>
        <w:tabs>
          <w:tab w:leader="none" w:pos="1927"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amendments to the Fourth Amended Agreement effected by this Agreement with respect to the class of Incentive Distribution Rights outstanding prior to the Effective Time reflect, and are intended to be treated as, a contribution of such Incentive Distribution Rights in exchange for (i) the issuance by the Partnership to GasLog of the new class of Incentive Distribution Rights under this Agreement and (ii) the payment by the Partnership to GasLog of the amount of $25 million in cash. In furtherance of the foregoing, concurrently with the Effective Time, (A) the Incentive Distribution Rights outstanding prior to the Effective Time contributed by GasLog are canceled and (B) the new class of Incentive Distribution Rights under this Agreement are hereby issued to GasLog.</w:t>
      </w:r>
    </w:p>
    <w:p>
      <w:pPr>
        <w:spacing w:after="0" w:line="178"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Limitations on Issuance of Additional Partnership Interests</w:t>
      </w:r>
      <w:r>
        <w:rPr>
          <w:rFonts w:ascii="Arial" w:cs="Arial" w:eastAsia="Arial" w:hAnsi="Arial"/>
          <w:sz w:val="19"/>
          <w:szCs w:val="19"/>
          <w:color w:val="auto"/>
        </w:rPr>
        <w:t xml:space="preserve">. The Partnership may issue an unlimited number of Partnership Interests (or options, rights, warrants or appreciation rights related thereto)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without the approval of the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fractional units shall be issued by the Partnership;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51" w:lineRule="exact"/>
        <w:rPr>
          <w:sz w:val="20"/>
          <w:szCs w:val="20"/>
          <w:color w:val="auto"/>
        </w:rPr>
      </w:pPr>
    </w:p>
    <w:p>
      <w:pPr>
        <w:ind w:right="60" w:firstLine="1297"/>
        <w:spacing w:after="0" w:line="245"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i w:val="1"/>
          <w:iCs w:val="1"/>
          <w:color w:val="auto"/>
        </w:rPr>
        <w:t>Limited Preemptive Right.</w:t>
      </w:r>
      <w:r>
        <w:rPr>
          <w:rFonts w:ascii="Arial" w:cs="Arial" w:eastAsia="Arial" w:hAnsi="Arial"/>
          <w:sz w:val="21"/>
          <w:szCs w:val="21"/>
          <w:color w:val="auto"/>
        </w:rPr>
        <w:t xml:space="preserve"> (a) Except as provided in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amount of any series of Preference Units issued by the Partnership from time to time that the General Partner shall have a right to purchase pursuant to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shall equal the product of (a) the aggregate Percentage Interest of the General Partner and its Affiliates multiplied by (b) the number of such series of Preference Units so issued.</w:t>
      </w:r>
    </w:p>
    <w:p>
      <w:pPr>
        <w:spacing w:after="0" w:line="182" w:lineRule="exact"/>
        <w:rPr>
          <w:sz w:val="20"/>
          <w:szCs w:val="20"/>
          <w:color w:val="auto"/>
        </w:rPr>
      </w:pPr>
    </w:p>
    <w:p>
      <w:pPr>
        <w:ind w:right="100" w:firstLine="1305"/>
        <w:spacing w:after="0" w:line="235" w:lineRule="auto"/>
        <w:tabs>
          <w:tab w:leader="none" w:pos="1981"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Upon the issuance of any additional Limited Partner Interests by the Partnership (other than Common Units issued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5.2(c)</w:t>
      </w:r>
      <w:r>
        <w:rPr>
          <w:rFonts w:ascii="Arial" w:cs="Arial" w:eastAsia="Arial" w:hAnsi="Arial"/>
          <w:sz w:val="22"/>
          <w:szCs w:val="22"/>
          <w:color w:val="auto"/>
        </w:rPr>
        <w:t xml:space="preserve"> and Common Units issued in connection with a reset of the Incentive Distribution target levels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5" w:name="page46"/>
    <w:bookmarkEnd w:id="45"/>
    <w:p>
      <w:pPr>
        <w:ind w:right="160"/>
        <w:spacing w:after="0" w:line="297" w:lineRule="auto"/>
        <w:rPr>
          <w:sz w:val="20"/>
          <w:szCs w:val="20"/>
          <w:color w:val="auto"/>
        </w:rPr>
      </w:pPr>
      <w:r>
        <w:rPr>
          <w:rFonts w:ascii="Arial" w:cs="Arial" w:eastAsia="Arial" w:hAnsi="Arial"/>
          <w:sz w:val="19"/>
          <w:szCs w:val="19"/>
          <w:color w:val="auto"/>
        </w:rPr>
        <w:t>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134" w:lineRule="exact"/>
        <w:rPr>
          <w:sz w:val="20"/>
          <w:szCs w:val="20"/>
          <w:color w:val="auto"/>
        </w:rPr>
      </w:pPr>
    </w:p>
    <w:p>
      <w:pPr>
        <w:ind w:right="20" w:firstLine="1297"/>
        <w:spacing w:after="0" w:line="274"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5.7(d)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(dealing with adjustments of distribution levels), the Partnership may make a Pro Rata distribution of Partnership Interests (other than Series A Preference Units, Series B Preference Units and Series C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Series C Liquidation Preference, the Stated Series A Unit Liquidation Preference, the Stated Series B Unit Liquidation Preference or the Stated Series C Unit Liquidation Preference) or stated as a number of Units are proportionately adjusted, to the extent applicable.</w:t>
      </w:r>
    </w:p>
    <w:p>
      <w:pPr>
        <w:spacing w:after="0" w:line="159" w:lineRule="exact"/>
        <w:rPr>
          <w:sz w:val="20"/>
          <w:szCs w:val="20"/>
          <w:color w:val="auto"/>
        </w:rPr>
      </w:pPr>
    </w:p>
    <w:p>
      <w:pPr>
        <w:ind w:firstLine="1305"/>
        <w:spacing w:after="0" w:line="234" w:lineRule="auto"/>
        <w:tabs>
          <w:tab w:leader="none" w:pos="1981" w:val="left"/>
        </w:tabs>
        <w:numPr>
          <w:ilvl w:val="0"/>
          <w:numId w:val="34"/>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191" w:lineRule="exact"/>
        <w:rPr>
          <w:rFonts w:ascii="Arial" w:cs="Arial" w:eastAsia="Arial" w:hAnsi="Arial"/>
          <w:sz w:val="22"/>
          <w:szCs w:val="22"/>
          <w:color w:val="auto"/>
        </w:rPr>
      </w:pPr>
    </w:p>
    <w:p>
      <w:pPr>
        <w:ind w:right="20" w:firstLine="1305"/>
        <w:spacing w:after="0" w:line="247" w:lineRule="auto"/>
        <w:tabs>
          <w:tab w:leader="none" w:pos="1968" w:val="left"/>
        </w:tabs>
        <w:numPr>
          <w:ilvl w:val="0"/>
          <w:numId w:val="34"/>
        </w:numPr>
        <w:rPr>
          <w:rFonts w:ascii="Arial" w:cs="Arial" w:eastAsia="Arial" w:hAnsi="Arial"/>
          <w:sz w:val="21"/>
          <w:szCs w:val="21"/>
          <w:color w:val="auto"/>
        </w:rPr>
      </w:pPr>
      <w:r>
        <w:rPr>
          <w:rFonts w:ascii="Arial" w:cs="Arial" w:eastAsia="Arial" w:hAnsi="Arial"/>
          <w:sz w:val="21"/>
          <w:szCs w:val="21"/>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178" w:lineRule="exact"/>
        <w:rPr>
          <w:rFonts w:ascii="Arial" w:cs="Arial" w:eastAsia="Arial" w:hAnsi="Arial"/>
          <w:sz w:val="21"/>
          <w:szCs w:val="21"/>
          <w:color w:val="auto"/>
        </w:rPr>
      </w:pPr>
    </w:p>
    <w:p>
      <w:pPr>
        <w:ind w:left="1940" w:hanging="635"/>
        <w:spacing w:after="0"/>
        <w:tabs>
          <w:tab w:leader="none" w:pos="19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Partnership shall not issue fractional Units upon any distribution, subdivision or combination of Units.</w:t>
      </w:r>
    </w:p>
    <w:p>
      <w:pPr>
        <w:spacing w:after="0" w:line="43" w:lineRule="exact"/>
        <w:rPr>
          <w:sz w:val="20"/>
          <w:szCs w:val="20"/>
          <w:color w:val="auto"/>
        </w:rPr>
      </w:pPr>
    </w:p>
    <w:p>
      <w:pPr>
        <w:jc w:val="both"/>
        <w:ind w:right="220"/>
        <w:spacing w:after="0" w:line="234" w:lineRule="auto"/>
        <w:rPr>
          <w:sz w:val="20"/>
          <w:szCs w:val="20"/>
          <w:color w:val="auto"/>
        </w:rPr>
      </w:pPr>
      <w:r>
        <w:rPr>
          <w:rFonts w:ascii="Arial" w:cs="Arial" w:eastAsia="Arial" w:hAnsi="Arial"/>
          <w:sz w:val="22"/>
          <w:szCs w:val="22"/>
          <w:color w:val="auto"/>
        </w:rPr>
        <w:t xml:space="preserve">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5.7(d)</w:t>
      </w:r>
      <w:r>
        <w:rPr>
          <w:rFonts w:ascii="Arial" w:cs="Arial" w:eastAsia="Arial" w:hAnsi="Arial"/>
          <w:sz w:val="22"/>
          <w:szCs w:val="22"/>
          <w:color w:val="auto"/>
        </w:rPr>
        <w:t>, each fractional Unit shall be rounded to the nearest whole Unit (and a 0.5 Unit shall be rounded to the next higher Unit).</w:t>
      </w:r>
    </w:p>
    <w:p>
      <w:pPr>
        <w:spacing w:after="0" w:line="187"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i w:val="1"/>
          <w:iCs w:val="1"/>
          <w:color w:val="auto"/>
        </w:rPr>
        <w:t>Fully Paid and Non-Assessable Nature of Limited Partner Interests</w:t>
      </w:r>
      <w:r>
        <w:rPr>
          <w:rFonts w:ascii="Arial" w:cs="Arial" w:eastAsia="Arial" w:hAnsi="Arial"/>
          <w:sz w:val="22"/>
          <w:szCs w:val="22"/>
          <w:color w:val="auto"/>
        </w:rPr>
        <w:t>. All Limited Partner Interests issued pursuant to, and in accordance with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6" w:name="page47"/>
    <w:bookmarkEnd w:id="46"/>
    <w:p>
      <w:pPr>
        <w:ind w:right="300"/>
        <w:spacing w:after="0" w:line="251" w:lineRule="auto"/>
        <w:rPr>
          <w:sz w:val="20"/>
          <w:szCs w:val="20"/>
          <w:color w:val="auto"/>
        </w:rPr>
      </w:pPr>
      <w:r>
        <w:rPr>
          <w:rFonts w:ascii="Arial" w:cs="Arial" w:eastAsia="Arial" w:hAnsi="Arial"/>
          <w:sz w:val="22"/>
          <w:szCs w:val="22"/>
          <w:color w:val="auto"/>
        </w:rPr>
        <w:t xml:space="preserve">requirements of,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fully paid and non-assessable Limited Partner Interests in the Partnership, except as such non-assessability may be affected by the Marshall Islands Act.</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i w:val="1"/>
          <w:iCs w:val="1"/>
          <w:color w:val="auto"/>
        </w:rPr>
        <w:t xml:space="preserve">Issuance of Common Units in Connection with Reset of Incentive Distribution Rights. </w:t>
      </w:r>
      <w:r>
        <w:rPr>
          <w:rFonts w:ascii="Arial" w:cs="Arial" w:eastAsia="Arial" w:hAnsi="Arial"/>
          <w:sz w:val="19"/>
          <w:szCs w:val="19"/>
          <w:color w:val="auto"/>
        </w:rPr>
        <w:t>(a) Subject to</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5.9</w:t>
      </w:r>
      <w:r>
        <w:rPr>
          <w:rFonts w:ascii="Arial" w:cs="Arial" w:eastAsia="Arial" w:hAnsi="Arial"/>
          <w:sz w:val="21"/>
          <w:szCs w:val="21"/>
          <w:color w:val="auto"/>
        </w:rPr>
        <w:t>, the holder of the Incentive Distribution Rights (or, if there is more than one holder of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Incentive Distribution Rights, the holders of a majority in interest of the Incentive Distribution Rights) shall have the right, at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time when the Partnership has made a distribution pursuant to </w:t>
      </w:r>
      <w:r>
        <w:rPr>
          <w:rFonts w:ascii="Arial" w:cs="Arial" w:eastAsia="Arial" w:hAnsi="Arial"/>
          <w:sz w:val="19"/>
          <w:szCs w:val="19"/>
          <w:u w:val="single" w:color="auto"/>
          <w:color w:val="auto"/>
        </w:rPr>
        <w:t>Section 6.3(d)</w:t>
      </w:r>
      <w:r>
        <w:rPr>
          <w:rFonts w:ascii="Arial" w:cs="Arial" w:eastAsia="Arial" w:hAnsi="Arial"/>
          <w:sz w:val="19"/>
          <w:szCs w:val="19"/>
          <w:color w:val="auto"/>
        </w:rPr>
        <w:t xml:space="preserve"> for each of the four most recently completed Quarters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the amount of each such distribution did not exceed Adjusted Operating Surplus for such Quarter, to make an election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Reset Election</w:t>
      </w:r>
      <w:r>
        <w:rPr>
          <w:rFonts w:ascii="Arial" w:cs="Arial" w:eastAsia="Arial" w:hAnsi="Arial"/>
          <w:sz w:val="19"/>
          <w:szCs w:val="19"/>
          <w:color w:val="auto"/>
        </w:rPr>
        <w:t>”) to cause the Minimum Quarterly Distribution and the Target Distributions to be reset in accordance with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provisions of </w:t>
      </w:r>
      <w:r>
        <w:rPr>
          <w:rFonts w:ascii="Arial" w:cs="Arial" w:eastAsia="Arial" w:hAnsi="Arial"/>
          <w:sz w:val="19"/>
          <w:szCs w:val="19"/>
          <w:u w:val="single" w:color="auto"/>
          <w:color w:val="auto"/>
        </w:rPr>
        <w:t>Section 5.9(e)</w:t>
      </w:r>
      <w:r>
        <w:rPr>
          <w:rFonts w:ascii="Arial" w:cs="Arial" w:eastAsia="Arial" w:hAnsi="Arial"/>
          <w:sz w:val="19"/>
          <w:szCs w:val="19"/>
          <w:color w:val="auto"/>
        </w:rPr>
        <w:t xml:space="preserve"> and, in connection therewith, the holder or holders of the Incentive Distribution Rights will become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entitled to receive their respective proportionate shares of a number of Common Units (“</w:t>
      </w:r>
      <w:r>
        <w:rPr>
          <w:rFonts w:ascii="Arial" w:cs="Arial" w:eastAsia="Arial" w:hAnsi="Arial"/>
          <w:sz w:val="19"/>
          <w:szCs w:val="19"/>
          <w:b w:val="1"/>
          <w:bCs w:val="1"/>
          <w:i w:val="1"/>
          <w:iCs w:val="1"/>
          <w:color w:val="auto"/>
        </w:rPr>
        <w:t>IDR Reset Common Units</w:t>
      </w:r>
      <w:r>
        <w:rPr>
          <w:rFonts w:ascii="Arial" w:cs="Arial" w:eastAsia="Arial" w:hAnsi="Arial"/>
          <w:sz w:val="19"/>
          <w:szCs w:val="19"/>
          <w:color w:val="auto"/>
        </w:rPr>
        <w:t>”) derived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dividing (i) the average of the aggregate amount of cash distributions made by the Partnership for each of the two full Quarters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immediately preceding the giving of the Reset Notice in respect of the Incentive Distribution Rights by (ii) the average of the cash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distributions made by the Partnership in respect of each Common Unit for each of the two full Quarters immediately preceding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giving of the Reset Notice (the number of Common Units determined by such quotient is referred to herein as the “</w:t>
      </w:r>
      <w:r>
        <w:rPr>
          <w:rFonts w:ascii="Arial" w:cs="Arial" w:eastAsia="Arial" w:hAnsi="Arial"/>
          <w:sz w:val="19"/>
          <w:szCs w:val="19"/>
          <w:b w:val="1"/>
          <w:bCs w:val="1"/>
          <w:i w:val="1"/>
          <w:iCs w:val="1"/>
          <w:color w:val="auto"/>
        </w:rPr>
        <w:t>Aggregate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Quantity of IDR Reset Common Units</w:t>
      </w:r>
      <w:r>
        <w:rPr>
          <w:rFonts w:ascii="Arial" w:cs="Arial" w:eastAsia="Arial" w:hAnsi="Arial"/>
          <w:sz w:val="19"/>
          <w:szCs w:val="19"/>
          <w:color w:val="auto"/>
        </w:rPr>
        <w:t>”). If at the time of any IDR Reset Election the General Partner and its Affiliates are not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holders of a majority interest of the Incentive Distribution Rights, then the IDR Reset Election shall be subject to the prior approval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Board of Directors that the conditions described in the immediately preceding sentence have been satisfied. Upon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issuance of such IDR Reset Common Units, the Partnership will issue to the General Partner that number of additional General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Partner Units equal to the product of (i) the quotient obtained by dividing (A) the Percentage Interest of the General Partner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immediately prior to such issuance by (B) a percentage equal to 100% less such Percentage Interest and (ii) the number of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IDR Reset Common Units, and the General Partner shall not be obligated to make any additional Capital Contribution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Partnership in exchange for such issuance. The making of the IDR Reset Election in the manner specified in </w:t>
      </w:r>
      <w:r>
        <w:rPr>
          <w:rFonts w:ascii="Arial" w:cs="Arial" w:eastAsia="Arial" w:hAnsi="Arial"/>
          <w:sz w:val="19"/>
          <w:szCs w:val="19"/>
          <w:u w:val="single" w:color="auto"/>
          <w:color w:val="auto"/>
        </w:rPr>
        <w:t>Section 5.9(b)</w:t>
      </w:r>
      <w:r>
        <w:rPr>
          <w:rFonts w:ascii="Arial" w:cs="Arial" w:eastAsia="Arial" w:hAnsi="Arial"/>
          <w:sz w:val="19"/>
          <w:szCs w:val="19"/>
          <w:color w:val="auto"/>
        </w:rPr>
        <w:t xml:space="preserve"> shall</w:t>
      </w:r>
    </w:p>
    <w:p>
      <w:pPr>
        <w:spacing w:after="0" w:line="25" w:lineRule="exact"/>
        <w:rPr>
          <w:sz w:val="20"/>
          <w:szCs w:val="20"/>
          <w:color w:val="auto"/>
        </w:rPr>
      </w:pPr>
    </w:p>
    <w:p>
      <w:pPr>
        <w:ind w:right="600"/>
        <w:spacing w:after="0" w:line="277" w:lineRule="auto"/>
        <w:rPr>
          <w:sz w:val="20"/>
          <w:szCs w:val="20"/>
          <w:color w:val="auto"/>
        </w:rPr>
      </w:pPr>
      <w:r>
        <w:rPr>
          <w:rFonts w:ascii="Arial" w:cs="Arial" w:eastAsia="Arial" w:hAnsi="Arial"/>
          <w:sz w:val="19"/>
          <w:szCs w:val="19"/>
          <w:color w:val="auto"/>
        </w:rPr>
        <w:t xml:space="preserve">cause the Minimum Quarterly Distribution and the Target Distributions to be reset in accordance with the provisions of </w:t>
      </w:r>
      <w:r>
        <w:rPr>
          <w:rFonts w:ascii="Arial" w:cs="Arial" w:eastAsia="Arial" w:hAnsi="Arial"/>
          <w:sz w:val="19"/>
          <w:szCs w:val="19"/>
          <w:u w:val="single" w:color="auto"/>
          <w:color w:val="auto"/>
        </w:rPr>
        <w:t>Section 5.9(c)</w:t>
      </w:r>
      <w:r>
        <w:rPr>
          <w:rFonts w:ascii="Arial" w:cs="Arial" w:eastAsia="Arial" w:hAnsi="Arial"/>
          <w:sz w:val="19"/>
          <w:szCs w:val="19"/>
          <w:color w:val="auto"/>
        </w:rPr>
        <w:t xml:space="preserve"> and, in connection therewith, the holder or holders of the Incentive Distribution Rights will become entitled to receive IDR Reset Common Units and the General Partner will become entitled to receive General Partner Units on the basis specified above, without any further approval required by the General Partner or the Unitholders, at the time specified in </w:t>
      </w:r>
      <w:r>
        <w:rPr>
          <w:rFonts w:ascii="Arial" w:cs="Arial" w:eastAsia="Arial" w:hAnsi="Arial"/>
          <w:sz w:val="19"/>
          <w:szCs w:val="19"/>
          <w:u w:val="single" w:color="auto"/>
          <w:color w:val="auto"/>
        </w:rPr>
        <w:t>Section 5.9(c)</w:t>
      </w:r>
      <w:r>
        <w:rPr>
          <w:rFonts w:ascii="Arial" w:cs="Arial" w:eastAsia="Arial" w:hAnsi="Arial"/>
          <w:sz w:val="19"/>
          <w:szCs w:val="19"/>
          <w:color w:val="auto"/>
        </w:rPr>
        <w:t xml:space="preserve">, unless the IDR Reset Election is rescinded pursuant to </w:t>
      </w:r>
      <w:r>
        <w:rPr>
          <w:rFonts w:ascii="Arial" w:cs="Arial" w:eastAsia="Arial" w:hAnsi="Arial"/>
          <w:sz w:val="19"/>
          <w:szCs w:val="19"/>
          <w:u w:val="single" w:color="auto"/>
          <w:color w:val="auto"/>
        </w:rPr>
        <w:t>Section 5.9(d)</w:t>
      </w:r>
      <w:r>
        <w:rPr>
          <w:rFonts w:ascii="Arial" w:cs="Arial" w:eastAsia="Arial" w:hAnsi="Arial"/>
          <w:sz w:val="19"/>
          <w:szCs w:val="19"/>
          <w:color w:val="auto"/>
        </w:rPr>
        <w:t>.</w:t>
      </w:r>
    </w:p>
    <w:p>
      <w:pPr>
        <w:spacing w:after="0" w:line="153" w:lineRule="exact"/>
        <w:rPr>
          <w:sz w:val="20"/>
          <w:szCs w:val="20"/>
          <w:color w:val="auto"/>
        </w:rPr>
      </w:pPr>
    </w:p>
    <w:p>
      <w:pPr>
        <w:ind w:firstLine="1305"/>
        <w:spacing w:after="0" w:line="235" w:lineRule="auto"/>
        <w:tabs>
          <w:tab w:leader="none" w:pos="1981"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To exercise the right specified in </w:t>
      </w:r>
      <w:r>
        <w:rPr>
          <w:rFonts w:ascii="Arial" w:cs="Arial" w:eastAsia="Arial" w:hAnsi="Arial"/>
          <w:sz w:val="22"/>
          <w:szCs w:val="22"/>
          <w:u w:val="single" w:color="auto"/>
          <w:color w:val="auto"/>
        </w:rPr>
        <w:t>Section 5.9(a)</w:t>
      </w:r>
      <w:r>
        <w:rPr>
          <w:rFonts w:ascii="Arial" w:cs="Arial" w:eastAsia="Arial" w:hAnsi="Arial"/>
          <w:sz w:val="22"/>
          <w:szCs w:val="22"/>
          <w:color w:val="auto"/>
        </w:rPr>
        <w:t>, the holder of the Incentive Distribution Rights (or, if there is more than one holder of the Incentive Distribution Rights, the holders of a majority in interest of the Incentive Distribution Rights) shall deliver a written notice (the “</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to the Partnership. Within 10 Business Days after the receipt by the Partnership of such Reset Notice, the Partnership shall deliver a written notice to the holder or holders of the Incentive Distribution Rights of the Partnership’s determination of the aggregate number of Common Units that each holder of Incentive Distribution Rights will be entitled to receive.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7" w:name="page48"/>
    <w:bookmarkEnd w:id="47"/>
    <w:p>
      <w:pPr>
        <w:ind w:right="40" w:firstLine="1305"/>
        <w:spacing w:after="0" w:line="287" w:lineRule="auto"/>
        <w:tabs>
          <w:tab w:leader="none" w:pos="196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holder or holders of the Incentive Distribution Rights will be entitled to receive the Aggregate Quantity of IDR Reset Common Units and the General Partner will become entitled to receive the related additional General Partner Units on the 15th Business Day after receipt by the Partnership of the Reset Notice, and the Partnership may issue Certificates for the Common Units or uncertificated Partnership Interests to the holder or holders of the Incentive Distribution Rights.</w:t>
      </w:r>
    </w:p>
    <w:p>
      <w:pPr>
        <w:spacing w:after="0" w:line="143" w:lineRule="exact"/>
        <w:rPr>
          <w:rFonts w:ascii="Arial" w:cs="Arial" w:eastAsia="Arial" w:hAnsi="Arial"/>
          <w:sz w:val="19"/>
          <w:szCs w:val="19"/>
          <w:color w:val="auto"/>
        </w:rPr>
      </w:pPr>
    </w:p>
    <w:p>
      <w:pPr>
        <w:ind w:firstLine="1305"/>
        <w:spacing w:after="0" w:line="272" w:lineRule="auto"/>
        <w:tabs>
          <w:tab w:leader="none" w:pos="192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the principal National Securities Exchange upon which the Common Units are then traded has not approved the listing or admission for trading of the Common Units to be issued pursuant to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on or before the 30th calendar day following the Partnership’s receipt of the Reset Notice and such approval is required by the rules and regulations of such National Securities Exchange, then the holder of the Incentive Distribution Rights (or, if there is more than one holder of the Incentive Distribution Rights, the holders of a majority in interest of the Incentive Distribution Rights) shall have the right to either rescind the IDR Reset Election or elect to receive other Partnership Interests having such terms as the General Partner may approve, with the approval of the Conflicts Committee, that will provide (i) the same economic value, in the aggregate, as the Aggregate Quantity of IDR Reset Common Units would have had at the time of the Partnership’s receipt of the Reset Notice, as determined by the General Partner, and (ii) for the subsequent conversion (on terms acceptable to the National Securities Exchange upon which the Common Units are then traded) of such Partnership Interests into Common Units within not more than 12 months following the Partnership’s receipt of the Reset Notice upon the satisfaction of one or more conditions that are reasonably acceptable to the holder of the Incentive Distribution Rights (or, if there is more than one holder of the Incentive Distribution Rights, the holders of a majority in interest of the Incentive Distribution Rights).</w:t>
      </w:r>
    </w:p>
    <w:p>
      <w:pPr>
        <w:spacing w:after="0" w:line="157" w:lineRule="exact"/>
        <w:rPr>
          <w:rFonts w:ascii="Arial" w:cs="Arial" w:eastAsia="Arial" w:hAnsi="Arial"/>
          <w:sz w:val="19"/>
          <w:szCs w:val="19"/>
          <w:color w:val="auto"/>
        </w:rPr>
      </w:pPr>
    </w:p>
    <w:p>
      <w:pPr>
        <w:ind w:right="240" w:firstLine="1305"/>
        <w:spacing w:after="0" w:line="235" w:lineRule="auto"/>
        <w:tabs>
          <w:tab w:leader="none" w:pos="196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Minimum Quarterly Distribution, First Target Distribution and Second Target Distribution shall be adjusted at the time of the issuance of Common Units or other Partnership Interests pursuant to this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such that (i) the Minimum Quarterly Distribution shall be reset to equal the average cash distribution amount per Common Unit for the two Quarters immediately prior to the Partnership’s receipt of the Reset Notice (the “</w:t>
      </w:r>
      <w:r>
        <w:rPr>
          <w:rFonts w:ascii="Arial" w:cs="Arial" w:eastAsia="Arial" w:hAnsi="Arial"/>
          <w:sz w:val="22"/>
          <w:szCs w:val="22"/>
          <w:b w:val="1"/>
          <w:bCs w:val="1"/>
          <w:i w:val="1"/>
          <w:iCs w:val="1"/>
          <w:color w:val="auto"/>
        </w:rPr>
        <w:t>Reset MQD</w:t>
      </w:r>
      <w:r>
        <w:rPr>
          <w:rFonts w:ascii="Arial" w:cs="Arial" w:eastAsia="Arial" w:hAnsi="Arial"/>
          <w:sz w:val="22"/>
          <w:szCs w:val="22"/>
          <w:color w:val="auto"/>
        </w:rPr>
        <w:t>”), (ii) the First Target Distribution shall be reset to equal 115% of the Reset MQD and (iii) the Second Target Distribution shall be reset to equal 125% of the Reset MQD.</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DISTRIBUTIONS</w:t>
      </w:r>
    </w:p>
    <w:p>
      <w:pPr>
        <w:spacing w:after="0" w:line="188" w:lineRule="exact"/>
        <w:rPr>
          <w:sz w:val="20"/>
          <w:szCs w:val="20"/>
          <w:color w:val="auto"/>
        </w:rPr>
      </w:pPr>
    </w:p>
    <w:p>
      <w:pPr>
        <w:ind w:right="20" w:firstLine="1297"/>
        <w:spacing w:after="0" w:line="246"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i w:val="1"/>
          <w:iCs w:val="1"/>
          <w:color w:val="auto"/>
        </w:rPr>
        <w:t>Allocations</w:t>
      </w:r>
      <w:r>
        <w:rPr>
          <w:rFonts w:ascii="Arial" w:cs="Arial" w:eastAsia="Arial" w:hAnsi="Arial"/>
          <w:sz w:val="21"/>
          <w:szCs w:val="21"/>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21"/>
          <w:szCs w:val="21"/>
          <w:u w:val="single" w:color="auto"/>
          <w:color w:val="auto"/>
        </w:rPr>
        <w:t>Section 12.4</w:t>
      </w:r>
      <w:r>
        <w:rPr>
          <w:rFonts w:ascii="Arial" w:cs="Arial" w:eastAsia="Arial" w:hAnsi="Arial"/>
          <w:sz w:val="21"/>
          <w:szCs w:val="21"/>
          <w:color w:val="auto"/>
        </w:rPr>
        <w:t>, over (b) the sum of the outstanding balance of any nonrecourse liabilities not required to be repaid in the event of such a hypothetical liquidation that are properly allocable to losses or distributions with respect to such</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48" w:name="page49"/>
    <w:bookmarkEnd w:id="48"/>
    <w:p>
      <w:pPr>
        <w:ind w:right="80"/>
        <w:spacing w:after="0" w:line="249" w:lineRule="auto"/>
        <w:rPr>
          <w:sz w:val="20"/>
          <w:szCs w:val="20"/>
          <w:color w:val="auto"/>
        </w:rPr>
      </w:pPr>
      <w:r>
        <w:rPr>
          <w:rFonts w:ascii="Arial" w:cs="Arial" w:eastAsia="Arial" w:hAnsi="Arial"/>
          <w:sz w:val="21"/>
          <w:szCs w:val="21"/>
          <w:color w:val="auto"/>
        </w:rPr>
        <w:t xml:space="preserve">Partnership Interest and the amount (if any) that would be required to be contributed to the Partnership with respect to such Partnership Interest upon such a hypothetical liquidation;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Partnership may deviate from the foregoing, as determined necessary or appropriate, for proper administration of the Partnership or otherwise to preserve or achieve uniformity of the Limited Partner Interests (or any class or classes thereof). For the avoidance of doubt, the allocations described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shall not apply for U.S. federal income tax purposes.</w:t>
      </w:r>
    </w:p>
    <w:p>
      <w:pPr>
        <w:spacing w:after="0" w:line="179"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i w:val="1"/>
          <w:iCs w:val="1"/>
          <w:color w:val="auto"/>
        </w:rPr>
        <w:t>Requirement and Characterization of Distributions; Distributions to Record Holders</w:t>
      </w:r>
      <w:r>
        <w:rPr>
          <w:rFonts w:ascii="Arial" w:cs="Arial" w:eastAsia="Arial" w:hAnsi="Arial"/>
          <w:sz w:val="19"/>
          <w:szCs w:val="19"/>
          <w:color w:val="auto"/>
        </w:rPr>
        <w:t xml:space="preserve">. (a) Within 45 days following the end of each Quarter, an amount equal to 100% of Available Cash with respect to such Quarter shall, subject to Section 51 of the Marshall Islands Act, be distributed in accordance with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by the Partnership to the Partners as of the Record Date selected by the Board of Directors. All amounts of Available Cash distributed by the Partnership on any date following the Closing Date from any source shall be deemed to be Operating Surplus until the sum of all amounts of Available Cash theretofore distributed by the Partnership to the Partners following the Closing Date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(as may be qualified by </w:t>
      </w:r>
      <w:r>
        <w:rPr>
          <w:rFonts w:ascii="Arial" w:cs="Arial" w:eastAsia="Arial" w:hAnsi="Arial"/>
          <w:sz w:val="19"/>
          <w:szCs w:val="19"/>
          <w:u w:val="single" w:color="auto"/>
          <w:color w:val="auto"/>
        </w:rPr>
        <w:t>Section 6.6(c)</w:t>
      </w:r>
      <w:r>
        <w:rPr>
          <w:rFonts w:ascii="Arial" w:cs="Arial" w:eastAsia="Arial" w:hAnsi="Arial"/>
          <w:sz w:val="19"/>
          <w:szCs w:val="19"/>
          <w:color w:val="auto"/>
        </w:rPr>
        <w:t xml:space="preserve">) equals the Operating Surplus from the Closing Date through the close of the immediately preceding Quarter. Any remaining amounts of Available Cash distributed by the Partnership on such date shall, except as otherwise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be deemed to be “</w:t>
      </w:r>
      <w:r>
        <w:rPr>
          <w:rFonts w:ascii="Arial" w:cs="Arial" w:eastAsia="Arial" w:hAnsi="Arial"/>
          <w:sz w:val="19"/>
          <w:szCs w:val="19"/>
          <w:b w:val="1"/>
          <w:bCs w:val="1"/>
          <w:i w:val="1"/>
          <w:iCs w:val="1"/>
          <w:color w:val="auto"/>
        </w:rPr>
        <w:t>Capital Surplus</w:t>
      </w:r>
      <w:r>
        <w:rPr>
          <w:rFonts w:ascii="Arial" w:cs="Arial" w:eastAsia="Arial" w:hAnsi="Arial"/>
          <w:sz w:val="19"/>
          <w:szCs w:val="19"/>
          <w:color w:val="auto"/>
        </w:rPr>
        <w:t xml:space="preserve">.” Notwithstanding any provision to the contrary contained in this Agreement, the Partnership shall not make a distribution to any Partner on account of its interest in the Partnership if such distribution would violate the Marshall Islands Act or any other applicable law. This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shall not apply to Preference Units.</w:t>
      </w:r>
    </w:p>
    <w:p>
      <w:pPr>
        <w:spacing w:after="0" w:line="156" w:lineRule="exact"/>
        <w:rPr>
          <w:sz w:val="20"/>
          <w:szCs w:val="20"/>
          <w:color w:val="auto"/>
        </w:rPr>
      </w:pPr>
    </w:p>
    <w:p>
      <w:pPr>
        <w:jc w:val="both"/>
        <w:ind w:right="40" w:firstLine="1305"/>
        <w:spacing w:after="0" w:line="238" w:lineRule="auto"/>
        <w:tabs>
          <w:tab w:leader="none" w:pos="198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Notwithstanding the first three sentences of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in the event of the dissolution and liquidation of the Partnership, all receipts received during or after the Quarter in which the Liquidation Date occurs, other than from borrowings described in </w:t>
      </w:r>
      <w:r>
        <w:rPr>
          <w:rFonts w:ascii="Arial" w:cs="Arial" w:eastAsia="Arial" w:hAnsi="Arial"/>
          <w:sz w:val="22"/>
          <w:szCs w:val="22"/>
          <w:u w:val="single" w:color="auto"/>
          <w:color w:val="auto"/>
        </w:rPr>
        <w:t>(a)(ii)</w:t>
      </w:r>
      <w:r>
        <w:rPr>
          <w:rFonts w:ascii="Arial" w:cs="Arial" w:eastAsia="Arial" w:hAnsi="Arial"/>
          <w:sz w:val="22"/>
          <w:szCs w:val="22"/>
          <w:color w:val="auto"/>
        </w:rPr>
        <w:t xml:space="preserve"> of the definition of Available Cash, shall be applied and distributed solely in accordance with, and subject to the terms and conditions of,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5"/>
        <w:spacing w:after="0" w:line="236" w:lineRule="auto"/>
        <w:tabs>
          <w:tab w:leader="none" w:pos="1968" w:val="left"/>
        </w:tabs>
        <w:numPr>
          <w:ilvl w:val="0"/>
          <w:numId w:val="37"/>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8" w:lineRule="exact"/>
        <w:rPr>
          <w:sz w:val="20"/>
          <w:szCs w:val="20"/>
          <w:color w:val="auto"/>
        </w:rPr>
      </w:pPr>
    </w:p>
    <w:p>
      <w:pPr>
        <w:ind w:right="80" w:firstLine="1297"/>
        <w:spacing w:after="0" w:line="235"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i w:val="1"/>
          <w:iCs w:val="1"/>
          <w:color w:val="auto"/>
        </w:rPr>
        <w:t>Distributions of Available Cash from Operating Surplus</w:t>
      </w:r>
      <w:r>
        <w:rPr>
          <w:rFonts w:ascii="Arial" w:cs="Arial" w:eastAsia="Arial" w:hAnsi="Arial"/>
          <w:sz w:val="22"/>
          <w:szCs w:val="22"/>
          <w:color w:val="auto"/>
        </w:rPr>
        <w:t xml:space="preserve">. Available Cash with respect to any Quarter that is deemed to be Operating Surplus pursuant to the provisions of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shall, subject to Section 51 of the Marshall Islands Act, be distributed as follows (subject to </w:t>
      </w:r>
      <w:r>
        <w:rPr>
          <w:rFonts w:ascii="Arial" w:cs="Arial" w:eastAsia="Arial" w:hAnsi="Arial"/>
          <w:sz w:val="22"/>
          <w:szCs w:val="22"/>
          <w:u w:val="single" w:color="auto"/>
          <w:color w:val="auto"/>
        </w:rPr>
        <w:t>Section 16.3</w:t>
      </w:r>
      <w:r>
        <w:rPr>
          <w:rFonts w:ascii="Arial" w:cs="Arial" w:eastAsia="Arial" w:hAnsi="Arial"/>
          <w:sz w:val="22"/>
          <w:szCs w:val="22"/>
          <w:color w:val="auto"/>
        </w:rPr>
        <w:t xml:space="preserve"> in respect of Series A Preference Units described therein, subject to </w:t>
      </w:r>
      <w:r>
        <w:rPr>
          <w:rFonts w:ascii="Arial" w:cs="Arial" w:eastAsia="Arial" w:hAnsi="Arial"/>
          <w:sz w:val="22"/>
          <w:szCs w:val="22"/>
          <w:u w:val="single" w:color="auto"/>
          <w:color w:val="auto"/>
        </w:rPr>
        <w:t>Section 17.3</w:t>
      </w:r>
      <w:r>
        <w:rPr>
          <w:rFonts w:ascii="Arial" w:cs="Arial" w:eastAsia="Arial" w:hAnsi="Arial"/>
          <w:sz w:val="22"/>
          <w:szCs w:val="22"/>
          <w:color w:val="auto"/>
        </w:rPr>
        <w:t xml:space="preserve"> in respect of Series B Preference Units described therein and subject to </w:t>
      </w:r>
      <w:r>
        <w:rPr>
          <w:rFonts w:ascii="Arial" w:cs="Arial" w:eastAsia="Arial" w:hAnsi="Arial"/>
          <w:sz w:val="22"/>
          <w:szCs w:val="22"/>
          <w:u w:val="single" w:color="auto"/>
          <w:color w:val="auto"/>
        </w:rPr>
        <w:t>Section 18.3</w:t>
      </w:r>
      <w:r>
        <w:rPr>
          <w:rFonts w:ascii="Arial" w:cs="Arial" w:eastAsia="Arial" w:hAnsi="Arial"/>
          <w:sz w:val="22"/>
          <w:szCs w:val="22"/>
          <w:color w:val="auto"/>
        </w:rPr>
        <w:t xml:space="preserve"> in respect of Series C Preference Units described therein and except as otherwise required by </w:t>
      </w: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in respect of additional Partnership Interests issued pursuant thereto):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9" w:name="page50"/>
    <w:bookmarkEnd w:id="49"/>
    <w:p>
      <w:pPr>
        <w:ind w:right="20" w:firstLine="1305"/>
        <w:spacing w:after="0" w:line="251" w:lineRule="auto"/>
        <w:tabs>
          <w:tab w:leader="none" w:pos="1968" w:val="left"/>
        </w:tabs>
        <w:numPr>
          <w:ilvl w:val="0"/>
          <w:numId w:val="38"/>
        </w:numPr>
        <w:rPr>
          <w:rFonts w:ascii="Arial" w:cs="Arial" w:eastAsia="Arial" w:hAnsi="Arial"/>
          <w:sz w:val="22"/>
          <w:szCs w:val="22"/>
          <w:color w:val="auto"/>
        </w:rPr>
      </w:pPr>
      <w:r>
        <w:rPr>
          <w:rFonts w:ascii="Arial" w:cs="Arial" w:eastAsia="Arial" w:hAnsi="Arial"/>
          <w:sz w:val="22"/>
          <w:szCs w:val="22"/>
          <w:color w:val="auto"/>
        </w:rPr>
        <w:t>First, 100% to the General Partner and the Unitholders Pro Rata, until there has been distributed in respect of each Unit then Outstanding an amount equal to the Minimum Quarterly Distribution for such Quarter;</w:t>
      </w:r>
    </w:p>
    <w:p>
      <w:pPr>
        <w:spacing w:after="0" w:line="173" w:lineRule="exact"/>
        <w:rPr>
          <w:rFonts w:ascii="Arial" w:cs="Arial" w:eastAsia="Arial" w:hAnsi="Arial"/>
          <w:sz w:val="22"/>
          <w:szCs w:val="22"/>
          <w:color w:val="auto"/>
        </w:rPr>
      </w:pPr>
    </w:p>
    <w:p>
      <w:pPr>
        <w:ind w:firstLine="1305"/>
        <w:spacing w:after="0"/>
        <w:tabs>
          <w:tab w:leader="none" w:pos="1981"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Second, 100% to the General Partner and the Unitholders Pro Rata, until there has been distributed in respect of each Unit then Outstanding an amount equal to the excess of the First Target Distribution over the Minimum Quarterly Distribution for such Quarter;</w:t>
      </w:r>
    </w:p>
    <w:p>
      <w:pPr>
        <w:spacing w:after="0" w:line="186" w:lineRule="exact"/>
        <w:rPr>
          <w:rFonts w:ascii="Arial" w:cs="Arial" w:eastAsia="Arial" w:hAnsi="Arial"/>
          <w:sz w:val="22"/>
          <w:szCs w:val="22"/>
          <w:color w:val="auto"/>
        </w:rPr>
      </w:pPr>
    </w:p>
    <w:p>
      <w:pPr>
        <w:ind w:right="120" w:firstLine="1305"/>
        <w:spacing w:after="0" w:line="236" w:lineRule="auto"/>
        <w:tabs>
          <w:tab w:leader="none" w:pos="196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Third, (i) to the General Partner in accordance with its Percentage Interest; (ii) 13% to the holders of the Incentive Distribution Rights, Pro Rata (subject to </w:t>
      </w:r>
      <w:r>
        <w:rPr>
          <w:rFonts w:ascii="Arial" w:cs="Arial" w:eastAsia="Arial" w:hAnsi="Arial"/>
          <w:sz w:val="22"/>
          <w:szCs w:val="22"/>
          <w:u w:val="single" w:color="auto"/>
          <w:color w:val="auto"/>
        </w:rPr>
        <w:t>Section 6.6(b)</w:t>
      </w:r>
      <w:r>
        <w:rPr>
          <w:rFonts w:ascii="Arial" w:cs="Arial" w:eastAsia="Arial" w:hAnsi="Arial"/>
          <w:sz w:val="22"/>
          <w:szCs w:val="22"/>
          <w:color w:val="auto"/>
        </w:rPr>
        <w:t xml:space="preserve">); and (iii) to all Unitholders, Pro Rata, a percentage equal to 100% less the sum of the percentages applicable to </w:t>
      </w:r>
      <w:r>
        <w:rPr>
          <w:rFonts w:ascii="Arial" w:cs="Arial" w:eastAsia="Arial" w:hAnsi="Arial"/>
          <w:sz w:val="22"/>
          <w:szCs w:val="22"/>
          <w:u w:val="single" w:color="auto"/>
          <w:color w:val="auto"/>
        </w:rPr>
        <w:t>subclauses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6.6(c)</w:t>
      </w:r>
      <w:r>
        <w:rPr>
          <w:rFonts w:ascii="Arial" w:cs="Arial" w:eastAsia="Arial" w:hAnsi="Arial"/>
          <w:sz w:val="22"/>
          <w:szCs w:val="22"/>
          <w:color w:val="auto"/>
        </w:rPr>
        <w:t>), until there has been distributed in respect of each Unit then Outstanding an amount equal to the excess of the Second Target Distribution over the First Target Distribution for such Quarter; and</w:t>
      </w:r>
    </w:p>
    <w:p>
      <w:pPr>
        <w:spacing w:after="0" w:line="187" w:lineRule="exact"/>
        <w:rPr>
          <w:rFonts w:ascii="Arial" w:cs="Arial" w:eastAsia="Arial" w:hAnsi="Arial"/>
          <w:sz w:val="22"/>
          <w:szCs w:val="22"/>
          <w:color w:val="auto"/>
        </w:rPr>
      </w:pPr>
    </w:p>
    <w:p>
      <w:pPr>
        <w:ind w:right="60" w:firstLine="1305"/>
        <w:spacing w:after="0" w:line="279" w:lineRule="auto"/>
        <w:tabs>
          <w:tab w:leader="none" w:pos="1927"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Thereafter, (i) to the General Partner in accordance with its Percentage Interest; (ii) 23% to the holders of the Incentive Distribution Rights, Pro Rata (subject to </w:t>
      </w:r>
      <w:r>
        <w:rPr>
          <w:rFonts w:ascii="Arial" w:cs="Arial" w:eastAsia="Arial" w:hAnsi="Arial"/>
          <w:sz w:val="19"/>
          <w:szCs w:val="19"/>
          <w:u w:val="single" w:color="auto"/>
          <w:color w:val="auto"/>
        </w:rPr>
        <w:t>Section 6.6(b)</w:t>
      </w:r>
      <w:r>
        <w:rPr>
          <w:rFonts w:ascii="Arial" w:cs="Arial" w:eastAsia="Arial" w:hAnsi="Arial"/>
          <w:sz w:val="19"/>
          <w:szCs w:val="19"/>
          <w:color w:val="auto"/>
        </w:rPr>
        <w:t xml:space="preserve">); and (iii) to all Unitholders, Pro Rata, a percentage equal to 100% less the sum of the percentages applicable to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6.6(c)</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Minimum Quarterly Distribution, the First Target Distribution and the Second Target Distribution have been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reduced to zero pursuant to the second sentence of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the distribution of Available Cash that is deemed to be Operating Surplus with respect to any Quarter will be made solely in accordance with </w:t>
      </w:r>
      <w:r>
        <w:rPr>
          <w:rFonts w:ascii="Arial" w:cs="Arial" w:eastAsia="Arial" w:hAnsi="Arial"/>
          <w:sz w:val="19"/>
          <w:szCs w:val="19"/>
          <w:u w:val="single" w:color="auto"/>
          <w:color w:val="auto"/>
        </w:rPr>
        <w:t>Section 6.3(d)</w:t>
      </w:r>
      <w:r>
        <w:rPr>
          <w:rFonts w:ascii="Arial" w:cs="Arial" w:eastAsia="Arial" w:hAnsi="Arial"/>
          <w:sz w:val="19"/>
          <w:szCs w:val="19"/>
          <w:color w:val="auto"/>
        </w:rPr>
        <w: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No distributions shall be made with respect to Preference Units pursuant to this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20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i w:val="1"/>
          <w:iCs w:val="1"/>
          <w:color w:val="auto"/>
        </w:rPr>
        <w:t>Distributions of Available Cash from Capital Surplus</w:t>
      </w:r>
      <w:r>
        <w:rPr>
          <w:rFonts w:ascii="Arial" w:cs="Arial" w:eastAsia="Arial" w:hAnsi="Arial"/>
          <w:sz w:val="19"/>
          <w:szCs w:val="19"/>
          <w:color w:val="auto"/>
        </w:rPr>
        <w:t xml:space="preserve">. Available Cash that is deemed to be Capital Surplus pursuant to the provisions of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shall, subject to Section 51 of the Marshall Islands Act, </w:t>
      </w:r>
      <w:r>
        <w:rPr>
          <w:rFonts w:ascii="Arial" w:cs="Arial" w:eastAsia="Arial" w:hAnsi="Arial"/>
          <w:sz w:val="19"/>
          <w:szCs w:val="19"/>
          <w:u w:val="single" w:color="auto"/>
          <w:color w:val="auto"/>
        </w:rPr>
        <w:t>Section 16.3</w:t>
      </w:r>
      <w:r>
        <w:rPr>
          <w:rFonts w:ascii="Arial" w:cs="Arial" w:eastAsia="Arial" w:hAnsi="Arial"/>
          <w:sz w:val="19"/>
          <w:szCs w:val="19"/>
          <w:color w:val="auto"/>
        </w:rPr>
        <w:t xml:space="preserve"> in respect of Series A Preference Units, </w:t>
      </w:r>
      <w:r>
        <w:rPr>
          <w:rFonts w:ascii="Arial" w:cs="Arial" w:eastAsia="Arial" w:hAnsi="Arial"/>
          <w:sz w:val="19"/>
          <w:szCs w:val="19"/>
          <w:u w:val="single" w:color="auto"/>
          <w:color w:val="auto"/>
        </w:rPr>
        <w:t>Section 17.3</w:t>
      </w:r>
      <w:r>
        <w:rPr>
          <w:rFonts w:ascii="Arial" w:cs="Arial" w:eastAsia="Arial" w:hAnsi="Arial"/>
          <w:sz w:val="19"/>
          <w:szCs w:val="19"/>
          <w:color w:val="auto"/>
        </w:rPr>
        <w:t xml:space="preserve"> in respect of Series B Preference Units and </w:t>
      </w:r>
      <w:r>
        <w:rPr>
          <w:rFonts w:ascii="Arial" w:cs="Arial" w:eastAsia="Arial" w:hAnsi="Arial"/>
          <w:sz w:val="19"/>
          <w:szCs w:val="19"/>
          <w:u w:val="single" w:color="auto"/>
          <w:color w:val="auto"/>
        </w:rPr>
        <w:t>Section 18.3</w:t>
      </w:r>
      <w:r>
        <w:rPr>
          <w:rFonts w:ascii="Arial" w:cs="Arial" w:eastAsia="Arial" w:hAnsi="Arial"/>
          <w:sz w:val="19"/>
          <w:szCs w:val="19"/>
          <w:color w:val="auto"/>
        </w:rPr>
        <w:t xml:space="preserve"> in respect of Series C Preference Units, be distributed, unless the provisions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require otherwise, 100% to the General Partner and the Unitholders (other than the Preference Unitholders) Pro Rata, until the Minimum Quarterly Distribution is reduced to zero pursuant to the second sentence of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Thereafter, all Available Cash shall be distributed as if it were Operating Surplus and shall be distributed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6.6(b)</w:t>
      </w:r>
      <w:r>
        <w:rPr>
          <w:rFonts w:ascii="Arial" w:cs="Arial" w:eastAsia="Arial" w:hAnsi="Arial"/>
          <w:sz w:val="19"/>
          <w:szCs w:val="19"/>
          <w:color w:val="auto"/>
        </w:rPr>
        <w:t>).</w:t>
      </w:r>
    </w:p>
    <w:p>
      <w:pPr>
        <w:spacing w:after="0" w:line="153" w:lineRule="exact"/>
        <w:rPr>
          <w:sz w:val="20"/>
          <w:szCs w:val="20"/>
          <w:color w:val="auto"/>
        </w:rPr>
      </w:pPr>
    </w:p>
    <w:p>
      <w:pPr>
        <w:ind w:right="360" w:firstLine="1297"/>
        <w:spacing w:after="0" w:line="247"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i w:val="1"/>
          <w:iCs w:val="1"/>
          <w:color w:val="auto"/>
        </w:rPr>
        <w:t>Adjustment of Minimum Quarterly Distribution and Target Distribution Levels</w:t>
      </w:r>
      <w:r>
        <w:rPr>
          <w:rFonts w:ascii="Arial" w:cs="Arial" w:eastAsia="Arial" w:hAnsi="Arial"/>
          <w:sz w:val="21"/>
          <w:szCs w:val="21"/>
          <w:color w:val="auto"/>
        </w:rPr>
        <w:t xml:space="preserve">. The Minimum Quarterly Distribution, First Target Distribution and Second Target Distribution shall be proportionately adjusted in the event of any distribution, combination or subdivision (whether effected by a distribution payable in Units or otherwise) of Units or other Partnership Interests in accordance with </w:t>
      </w:r>
      <w:r>
        <w:rPr>
          <w:rFonts w:ascii="Arial" w:cs="Arial" w:eastAsia="Arial" w:hAnsi="Arial"/>
          <w:sz w:val="21"/>
          <w:szCs w:val="21"/>
          <w:u w:val="single" w:color="auto"/>
          <w:color w:val="auto"/>
        </w:rPr>
        <w:t>Section 5.7</w:t>
      </w:r>
      <w:r>
        <w:rPr>
          <w:rFonts w:ascii="Arial" w:cs="Arial" w:eastAsia="Arial" w:hAnsi="Arial"/>
          <w:sz w:val="21"/>
          <w:szCs w:val="21"/>
          <w:color w:val="auto"/>
        </w:rPr>
        <w:t>. In the event of a distribution of Available Cash that is deemed to be from Capital Surplus, the then applicable Minimum Quarterly Distribution, First Target Distribution and Second Target Distribution, shall be reduced in the same proportion that the distribution had to the fair market value of the Common Units prior to the announcement of the distribution. If the Common Units are publicly traded 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 w:name="page51"/>
    <w:bookmarkEnd w:id="50"/>
    <w:p>
      <w:pPr>
        <w:ind w:right="480"/>
        <w:spacing w:after="0" w:line="328" w:lineRule="auto"/>
        <w:rPr>
          <w:sz w:val="20"/>
          <w:szCs w:val="20"/>
          <w:color w:val="auto"/>
        </w:rPr>
      </w:pPr>
      <w:r>
        <w:rPr>
          <w:rFonts w:ascii="Arial" w:cs="Arial" w:eastAsia="Arial" w:hAnsi="Arial"/>
          <w:sz w:val="19"/>
          <w:szCs w:val="19"/>
          <w:color w:val="auto"/>
        </w:rPr>
        <w:t>a National Securities Exchange, the fair market value will be the Current Market Price before the announcement of the distribution. If the Common Units are not publicly traded, the fair market value will be determined by the Board of Directors.</w:t>
      </w:r>
    </w:p>
    <w:p>
      <w:pPr>
        <w:spacing w:after="0" w:line="105" w:lineRule="exact"/>
        <w:rPr>
          <w:sz w:val="20"/>
          <w:szCs w:val="20"/>
          <w:color w:val="auto"/>
        </w:rPr>
      </w:pPr>
    </w:p>
    <w:p>
      <w:pPr>
        <w:ind w:right="360" w:firstLine="1297"/>
        <w:spacing w:after="0" w:line="276"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i w:val="1"/>
          <w:iCs w:val="1"/>
          <w:color w:val="auto"/>
        </w:rPr>
        <w:t>Special Provisions Relating to the Holders of Incentive Distribution Rights</w:t>
      </w:r>
      <w:r>
        <w:rPr>
          <w:rFonts w:ascii="Arial" w:cs="Arial" w:eastAsia="Arial" w:hAnsi="Arial"/>
          <w:sz w:val="19"/>
          <w:szCs w:val="19"/>
          <w:color w:val="auto"/>
        </w:rPr>
        <w:t xml:space="preserve">. (a) Notwithstanding anything to the contrary set forth in this Agreement but subject to </w:t>
      </w:r>
      <w:r>
        <w:rPr>
          <w:rFonts w:ascii="Arial" w:cs="Arial" w:eastAsia="Arial" w:hAnsi="Arial"/>
          <w:sz w:val="19"/>
          <w:szCs w:val="19"/>
          <w:u w:val="single" w:color="auto"/>
          <w:color w:val="auto"/>
        </w:rPr>
        <w:t>Section 6.7</w:t>
      </w:r>
      <w:r>
        <w:rPr>
          <w:rFonts w:ascii="Arial" w:cs="Arial" w:eastAsia="Arial" w:hAnsi="Arial"/>
          <w:sz w:val="19"/>
          <w:szCs w:val="19"/>
          <w:color w:val="auto"/>
        </w:rPr>
        <w:t>, the holders of the Incentive Distribution Rights</w:t>
      </w:r>
    </w:p>
    <w:p>
      <w:pPr>
        <w:spacing w:after="0" w:line="2" w:lineRule="exact"/>
        <w:rPr>
          <w:sz w:val="20"/>
          <w:szCs w:val="20"/>
          <w:color w:val="auto"/>
        </w:rPr>
      </w:pPr>
    </w:p>
    <w:p>
      <w:pPr>
        <w:ind w:right="40" w:firstLine="8"/>
        <w:spacing w:after="0" w:line="233" w:lineRule="auto"/>
        <w:tabs>
          <w:tab w:leader="none" w:pos="2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shall possess the rights and obligations provided in this Agreement with respect to a Limited Partner pursuant to </w:t>
      </w:r>
      <w:r>
        <w:rPr>
          <w:rFonts w:ascii="Arial" w:cs="Arial" w:eastAsia="Arial" w:hAnsi="Arial"/>
          <w:sz w:val="22"/>
          <w:szCs w:val="22"/>
          <w:u w:val="single" w:color="auto"/>
          <w:color w:val="auto"/>
        </w:rPr>
        <w:t>Articles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and (ii) shall not (A) be entitled to vote on any matters requiring the approval or vote of the holders of Outstanding Units, except as provided by law, or (B) be entitled to any distributions other than as provided in </w:t>
      </w:r>
      <w:r>
        <w:rPr>
          <w:rFonts w:ascii="Arial" w:cs="Arial" w:eastAsia="Arial" w:hAnsi="Arial"/>
          <w:sz w:val="22"/>
          <w:szCs w:val="22"/>
          <w:u w:val="single" w:color="auto"/>
          <w:color w:val="auto"/>
        </w:rPr>
        <w:t>Sections 6.3(c)</w:t>
      </w:r>
      <w:r>
        <w:rPr>
          <w:rFonts w:ascii="Arial" w:cs="Arial" w:eastAsia="Arial" w:hAnsi="Arial"/>
          <w:sz w:val="22"/>
          <w:szCs w:val="22"/>
          <w:color w:val="auto"/>
        </w:rPr>
        <w:t xml:space="preserve">, </w:t>
      </w:r>
      <w:r>
        <w:rPr>
          <w:rFonts w:ascii="Arial" w:cs="Arial" w:eastAsia="Arial" w:hAnsi="Arial"/>
          <w:sz w:val="22"/>
          <w:szCs w:val="22"/>
          <w:u w:val="single" w:color="auto"/>
          <w:color w:val="auto"/>
        </w:rPr>
        <w:t>6.3(d)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in each case subject to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right="200" w:firstLine="1305"/>
        <w:spacing w:after="0" w:line="245" w:lineRule="auto"/>
        <w:tabs>
          <w:tab w:leader="none" w:pos="1981"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and the last sentence of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the aggregate Incentive Distributions distributable in accordance with </w:t>
      </w:r>
      <w:r>
        <w:rPr>
          <w:rFonts w:ascii="Arial" w:cs="Arial" w:eastAsia="Arial" w:hAnsi="Arial"/>
          <w:sz w:val="21"/>
          <w:szCs w:val="21"/>
          <w:u w:val="single" w:color="auto"/>
          <w:color w:val="auto"/>
        </w:rPr>
        <w:t>Section 6.3(c)(ii)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(d)(ii)</w:t>
      </w:r>
      <w:r>
        <w:rPr>
          <w:rFonts w:ascii="Arial" w:cs="Arial" w:eastAsia="Arial" w:hAnsi="Arial"/>
          <w:sz w:val="21"/>
          <w:szCs w:val="21"/>
          <w:color w:val="auto"/>
        </w:rPr>
        <w:t xml:space="preserve"> to the holders of the Incentive Distribution Rights with respect to any Quarter commencing with the Quarter ending March 31, 2019 or during or after any Quarter in which any acquisition by the Partnership Group of a Non-GasLog Acquisition has occurred shall be equal to, respectively, 13% or 23% of Available Cash on hand at the end of such Quarter as reduced by Available Cash Derived from Non-GasLog Acquisitions at such time (as opposed to, respectively, 13% or 23% of Available Cash). Any amount of any such reduction in the aggregate Incentive Distributions distributable to the holders of the Incentive Distribution Rights pursuant to the preceding sentence (i) shall be allocated Pro Rata with respect to the holders of Incentive Distribution Rights and (ii) is referred to herein as an “</w:t>
      </w:r>
      <w:r>
        <w:rPr>
          <w:rFonts w:ascii="Arial" w:cs="Arial" w:eastAsia="Arial" w:hAnsi="Arial"/>
          <w:sz w:val="21"/>
          <w:szCs w:val="21"/>
          <w:b w:val="1"/>
          <w:bCs w:val="1"/>
          <w:i w:val="1"/>
          <w:iCs w:val="1"/>
          <w:color w:val="auto"/>
        </w:rPr>
        <w:t>Incentive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Distributions Reduction</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right="280" w:firstLine="1305"/>
        <w:spacing w:after="0" w:line="238" w:lineRule="auto"/>
        <w:tabs>
          <w:tab w:leader="none" w:pos="1968"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With respect to any Quarter in which there are Incentive Distributions Reductions, the amount of such Incentive Distributions Reductions shall be redistributed to all Unitholders, Pro Rata, concurrently with and in addition to the distributions to Unitholders contemplated by </w:t>
      </w:r>
      <w:r>
        <w:rPr>
          <w:rFonts w:ascii="Arial" w:cs="Arial" w:eastAsia="Arial" w:hAnsi="Arial"/>
          <w:sz w:val="22"/>
          <w:szCs w:val="22"/>
          <w:u w:val="single" w:color="auto"/>
          <w:color w:val="auto"/>
        </w:rPr>
        <w:t>subclause (c)(iii)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(d)(iii)</w:t>
      </w:r>
      <w:r>
        <w:rPr>
          <w:rFonts w:ascii="Arial" w:cs="Arial" w:eastAsia="Arial" w:hAnsi="Arial"/>
          <w:sz w:val="22"/>
          <w:szCs w:val="22"/>
          <w:color w:val="auto"/>
        </w:rPr>
        <w:t xml:space="preserve"> (as the case may be) of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with respect to such Quarter.</w:t>
      </w:r>
    </w:p>
    <w:p>
      <w:pPr>
        <w:spacing w:after="0" w:line="185" w:lineRule="exact"/>
        <w:rPr>
          <w:rFonts w:ascii="Arial" w:cs="Arial" w:eastAsia="Arial" w:hAnsi="Arial"/>
          <w:sz w:val="22"/>
          <w:szCs w:val="22"/>
          <w:color w:val="auto"/>
        </w:rPr>
      </w:pPr>
    </w:p>
    <w:p>
      <w:pPr>
        <w:ind w:firstLine="1305"/>
        <w:spacing w:after="0" w:line="235" w:lineRule="auto"/>
        <w:tabs>
          <w:tab w:leader="none" w:pos="1927"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Partnership shall, and shall cause each other Group Member to, permit any representatives designated by the holders of the Incentive Distribution Rights to inspect any Group Member’s books and records (to the extent not already accessible to such holders at such time) in connection with evaluations and appraisals of the Partnership’s computation of Available Cash Derived from Non-GasLog Acquisitions, all at such reasonable times and as reasonably requested. The Partnership and the holders of the Incentive Distribution Rights agree to work in good faith to resolve any disputes that may arise from such evaluations or appraisals.</w:t>
      </w:r>
    </w:p>
    <w:p>
      <w:pPr>
        <w:spacing w:after="0" w:line="188" w:lineRule="exact"/>
        <w:rPr>
          <w:sz w:val="20"/>
          <w:szCs w:val="20"/>
          <w:color w:val="auto"/>
        </w:rPr>
      </w:pPr>
    </w:p>
    <w:p>
      <w:pPr>
        <w:ind w:right="540" w:firstLine="1297"/>
        <w:spacing w:after="0" w:line="276"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i w:val="1"/>
          <w:iCs w:val="1"/>
          <w:color w:val="auto"/>
        </w:rPr>
        <w:t>Additional Term of Incentive Distribution Rights</w:t>
      </w:r>
      <w:r>
        <w:rPr>
          <w:rFonts w:ascii="Arial" w:cs="Arial" w:eastAsia="Arial" w:hAnsi="Arial"/>
          <w:sz w:val="19"/>
          <w:szCs w:val="19"/>
          <w:color w:val="auto"/>
        </w:rPr>
        <w:t xml:space="preserve">. Notwithstanding any other provision of this </w:t>
      </w:r>
      <w:r>
        <w:rPr>
          <w:rFonts w:ascii="Arial" w:cs="Arial" w:eastAsia="Arial" w:hAnsi="Arial"/>
          <w:sz w:val="19"/>
          <w:szCs w:val="19"/>
          <w:u w:val="single" w:color="auto"/>
          <w:color w:val="auto"/>
        </w:rPr>
        <w:t>Article VI</w:t>
      </w:r>
      <w:r>
        <w:rPr>
          <w:rFonts w:ascii="Arial" w:cs="Arial" w:eastAsia="Arial" w:hAnsi="Arial"/>
          <w:sz w:val="19"/>
          <w:szCs w:val="19"/>
          <w:color w:val="auto"/>
        </w:rPr>
        <w:t>, for the avoidance of doubt concerning the terms of the Incentive Distribution Rights issued under this Agreement,</w:t>
      </w:r>
    </w:p>
    <w:p>
      <w:pPr>
        <w:spacing w:after="0" w:line="2" w:lineRule="exact"/>
        <w:rPr>
          <w:sz w:val="20"/>
          <w:szCs w:val="20"/>
          <w:color w:val="auto"/>
        </w:rPr>
      </w:pPr>
    </w:p>
    <w:p>
      <w:pPr>
        <w:jc w:val="both"/>
        <w:ind w:right="540" w:firstLine="8"/>
        <w:spacing w:after="0" w:line="234" w:lineRule="auto"/>
        <w:tabs>
          <w:tab w:leader="none" w:pos="258"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with respect to the Quarter immediately preceding the Quarter ending March 31, 2019,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the Fourth Amended Agreement controls the matters set forth therein, and distributions of Available Cash and all other applicable adjustments and calculations for such Quarter shall be governed by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1" w:name="page52"/>
    <w:bookmarkEnd w:id="51"/>
    <w:p>
      <w:pPr>
        <w:ind w:right="20"/>
        <w:spacing w:after="0" w:line="235" w:lineRule="auto"/>
        <w:rPr>
          <w:sz w:val="20"/>
          <w:szCs w:val="20"/>
          <w:color w:val="auto"/>
        </w:rPr>
      </w:pPr>
      <w:r>
        <w:rPr>
          <w:rFonts w:ascii="Arial" w:cs="Arial" w:eastAsia="Arial" w:hAnsi="Arial"/>
          <w:sz w:val="22"/>
          <w:szCs w:val="22"/>
          <w:color w:val="auto"/>
        </w:rPr>
        <w:t xml:space="preserve">the Fourth Amended Agreement and any other related terms and provisions of the Fourth Amended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the term “Incentive Distribution Rights” shall mean the Incentive Distribution Rights issued under this Agreement, and (ii) with respect to the Quarter ending March 31, 2019 and all subsequent Quarters,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this Agreement controls the matters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the Fourth Amended Agreement, and distributions of Available Cash and all other applicable adjustments and calculations for such Quarters shall be governed by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this Agreement and any other related terms and provisions of this Agreement.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188"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 member thereof to be a general partner of the Partnership or to have or be subject to the liabilities of a general partner of the Partnership.</w:t>
      </w:r>
    </w:p>
    <w:p>
      <w:pPr>
        <w:spacing w:after="0" w:line="200" w:lineRule="exact"/>
        <w:rPr>
          <w:sz w:val="20"/>
          <w:szCs w:val="20"/>
          <w:color w:val="auto"/>
        </w:rPr>
      </w:pPr>
    </w:p>
    <w:p>
      <w:pPr>
        <w:spacing w:after="0" w:line="213" w:lineRule="exact"/>
        <w:rPr>
          <w:sz w:val="20"/>
          <w:szCs w:val="20"/>
          <w:color w:val="auto"/>
        </w:rPr>
      </w:pPr>
    </w:p>
    <w:p>
      <w:pPr>
        <w:ind w:firstLine="1305"/>
        <w:spacing w:after="0" w:line="246" w:lineRule="auto"/>
        <w:tabs>
          <w:tab w:leader="none" w:pos="1981"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7.1</w:t>
      </w:r>
      <w:r>
        <w:rPr>
          <w:rFonts w:ascii="Arial" w:cs="Arial" w:eastAsia="Arial" w:hAnsi="Arial"/>
          <w:sz w:val="21"/>
          <w:szCs w:val="21"/>
          <w:color w:val="auto"/>
        </w:rPr>
        <w:t>;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2" w:name="page53"/>
    <w:bookmarkEnd w:id="52"/>
    <w:p>
      <w:pPr>
        <w:ind w:right="120"/>
        <w:spacing w:after="0" w:line="274" w:lineRule="auto"/>
        <w:rPr>
          <w:sz w:val="20"/>
          <w:szCs w:val="20"/>
          <w:color w:val="auto"/>
        </w:rPr>
      </w:pPr>
      <w:r>
        <w:rPr>
          <w:rFonts w:ascii="Arial" w:cs="Arial" w:eastAsia="Arial" w:hAnsi="Arial"/>
          <w:sz w:val="19"/>
          <w:szCs w:val="19"/>
          <w:color w:val="auto"/>
        </w:rPr>
        <w:t xml:space="preserve">Partnership) is authorized to execute, deliver and perform the agreements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 (iv) agrees that the execution, delivery or performance by the Board of Directors, the General Partner, any Group Member or any Affiliate of any of them of this Agreement or any agreement authorized or permitted under this Agreement (including the exercise by the General Partner or any Affiliate of the General Partner of the rights accorded pursuant to </w:t>
      </w:r>
      <w:r>
        <w:rPr>
          <w:rFonts w:ascii="Arial" w:cs="Arial" w:eastAsia="Arial" w:hAnsi="Arial"/>
          <w:sz w:val="19"/>
          <w:szCs w:val="19"/>
          <w:u w:val="single" w:color="auto"/>
          <w:color w:val="auto"/>
        </w:rPr>
        <w:t>Article XV</w:t>
      </w:r>
      <w:r>
        <w:rPr>
          <w:rFonts w:ascii="Arial" w:cs="Arial" w:eastAsia="Arial" w:hAnsi="Arial"/>
          <w:sz w:val="19"/>
          <w:szCs w:val="19"/>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59"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i w:val="1"/>
          <w:iCs w:val="1"/>
          <w:color w:val="auto"/>
        </w:rPr>
        <w:t>Election and Appointment; Term; Manner of Acting</w:t>
      </w:r>
      <w:r>
        <w:rPr>
          <w:rFonts w:ascii="Arial" w:cs="Arial" w:eastAsia="Arial" w:hAnsi="Arial"/>
          <w:sz w:val="21"/>
          <w:szCs w:val="21"/>
          <w:color w:val="auto"/>
        </w:rPr>
        <w:t xml:space="preserve">. (a) Subject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following the 2015 Annual Meeting, the Board of Directors shall consist of seven individuals, four of whom shall be Appointed Directors and three of whom shall be Elected Directors. The Elected Directors shall be divided into three classes: Class I, comprising one Elected Director, Class II, comprising one Elected Director and Class III, comprising one Elected Director;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following the addition of one additional Elected Director resulting from a Surrender Election pursuant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Class III shall comprise two Elected Directors.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any vacancy among the Appointed Directors shall be filled as if an Appointed Director had resigned, in accordance with </w:t>
      </w:r>
      <w:r>
        <w:rPr>
          <w:rFonts w:ascii="Arial" w:cs="Arial" w:eastAsia="Arial" w:hAnsi="Arial"/>
          <w:sz w:val="21"/>
          <w:szCs w:val="21"/>
          <w:u w:val="single" w:color="auto"/>
          <w:color w:val="auto"/>
        </w:rPr>
        <w:t>Section 7.6</w:t>
      </w:r>
      <w:r>
        <w:rPr>
          <w:rFonts w:ascii="Arial" w:cs="Arial" w:eastAsia="Arial" w:hAnsi="Arial"/>
          <w:sz w:val="21"/>
          <w:szCs w:val="21"/>
          <w:color w:val="auto"/>
        </w:rPr>
        <w:t>. The successors of the initial members of the Board of Directors shall be appointed or elected, as the case may be, as follows:</w:t>
      </w:r>
    </w:p>
    <w:p>
      <w:pPr>
        <w:spacing w:after="0" w:line="185" w:lineRule="exact"/>
        <w:rPr>
          <w:sz w:val="20"/>
          <w:szCs w:val="20"/>
          <w:color w:val="auto"/>
        </w:rPr>
      </w:pPr>
    </w:p>
    <w:p>
      <w:pPr>
        <w:ind w:left="660" w:right="200" w:firstLine="645"/>
        <w:spacing w:after="0"/>
        <w:tabs>
          <w:tab w:leader="none" w:pos="19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The Appointed Directors shall be appointed by the General Partner, and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each Appointed Director shall hold office until his successor is duly appointed by the General Partner and qualified or until his earlier death, resignation or removal; and</w:t>
      </w:r>
    </w:p>
    <w:p>
      <w:pPr>
        <w:spacing w:after="0" w:line="186" w:lineRule="exact"/>
        <w:rPr>
          <w:rFonts w:ascii="Arial" w:cs="Arial" w:eastAsia="Arial" w:hAnsi="Arial"/>
          <w:sz w:val="22"/>
          <w:szCs w:val="22"/>
          <w:color w:val="auto"/>
        </w:rPr>
      </w:pPr>
    </w:p>
    <w:p>
      <w:pPr>
        <w:ind w:left="660" w:firstLine="645"/>
        <w:spacing w:after="0" w:line="279" w:lineRule="auto"/>
        <w:tabs>
          <w:tab w:leader="none" w:pos="20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Class I Elected Director shall be elected at the 2015 Annual Meeting for a one-year term expiring on the date of the first succeeding Annual Meeting, the Class II Elected Director shall be elected at the 2015 Annual Meeting for a two-year term expiring on the second succeeding Annual Meeting and the Class III Elected Director (or, if a Surrender Election has been made, the Class III Elected Directors) shall be elected at the 2015 Annual Meeting for a three-year term expiring on the third succeeding Annual Meeting, in each case by a plurality of the votes of the Outstanding Common Units present in person or represented by proxy at the Annual Meeting with each Outstanding Common Unit having one vote.</w:t>
      </w:r>
    </w:p>
    <w:p>
      <w:pPr>
        <w:spacing w:after="0" w:line="151" w:lineRule="exact"/>
        <w:rPr>
          <w:sz w:val="20"/>
          <w:szCs w:val="20"/>
          <w:color w:val="auto"/>
        </w:rPr>
      </w:pPr>
    </w:p>
    <w:p>
      <w:pPr>
        <w:ind w:right="200" w:firstLine="1305"/>
        <w:spacing w:after="0" w:line="297" w:lineRule="auto"/>
        <w:tabs>
          <w:tab w:leader="none" w:pos="1981"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paragraph (a)(ii)</w:t>
      </w:r>
      <w:r>
        <w:rPr>
          <w:rFonts w:ascii="Arial" w:cs="Arial" w:eastAsia="Arial" w:hAnsi="Arial"/>
          <w:sz w:val="19"/>
          <w:szCs w:val="19"/>
          <w:color w:val="auto"/>
        </w:rPr>
        <w:t xml:space="preserve"> above with respect to the Elected Directors elected at the 2015 Annual Meeting or as provided in </w:t>
      </w:r>
      <w:r>
        <w:rPr>
          <w:rFonts w:ascii="Arial" w:cs="Arial" w:eastAsia="Arial" w:hAnsi="Arial"/>
          <w:sz w:val="19"/>
          <w:szCs w:val="19"/>
          <w:u w:val="single" w:color="auto"/>
          <w:color w:val="auto"/>
        </w:rPr>
        <w:t>paragraphs (d)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each member of the Board of Directors appointed or elected, as the case may be, at an Annual Meeting shall hold office until the third succeeding Annual Meeting and until his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3" w:name="page54"/>
    <w:bookmarkEnd w:id="53"/>
    <w:p>
      <w:pPr>
        <w:spacing w:after="0"/>
        <w:rPr>
          <w:sz w:val="20"/>
          <w:szCs w:val="20"/>
          <w:color w:val="auto"/>
        </w:rPr>
      </w:pPr>
      <w:r>
        <w:rPr>
          <w:rFonts w:ascii="Arial" w:cs="Arial" w:eastAsia="Arial" w:hAnsi="Arial"/>
          <w:sz w:val="21"/>
          <w:szCs w:val="21"/>
          <w:color w:val="auto"/>
        </w:rPr>
        <w:t>successor is duly elected or appointed, as the case may be, and qualified, or until his earlier death, resignation or removal.</w:t>
      </w:r>
    </w:p>
    <w:p>
      <w:pPr>
        <w:spacing w:after="0" w:line="218" w:lineRule="exact"/>
        <w:rPr>
          <w:sz w:val="20"/>
          <w:szCs w:val="20"/>
          <w:color w:val="auto"/>
        </w:rPr>
      </w:pPr>
    </w:p>
    <w:p>
      <w:pPr>
        <w:ind w:right="40" w:firstLine="1305"/>
        <w:spacing w:after="0" w:line="235" w:lineRule="auto"/>
        <w:tabs>
          <w:tab w:leader="none" w:pos="19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188" w:lineRule="exact"/>
        <w:rPr>
          <w:rFonts w:ascii="Arial" w:cs="Arial" w:eastAsia="Arial" w:hAnsi="Arial"/>
          <w:sz w:val="22"/>
          <w:szCs w:val="22"/>
          <w:color w:val="auto"/>
        </w:rPr>
      </w:pPr>
    </w:p>
    <w:p>
      <w:pPr>
        <w:ind w:right="280" w:firstLine="1305"/>
        <w:spacing w:after="0" w:line="248" w:lineRule="auto"/>
        <w:tabs>
          <w:tab w:leader="none" w:pos="1927"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21"/>
          <w:szCs w:val="21"/>
          <w:b w:val="1"/>
          <w:bCs w:val="1"/>
          <w:i w:val="1"/>
          <w:iCs w:val="1"/>
          <w:color w:val="auto"/>
        </w:rPr>
        <w:t>Surrender Election</w:t>
      </w:r>
      <w:r>
        <w:rPr>
          <w:rFonts w:ascii="Arial" w:cs="Arial" w:eastAsia="Arial" w:hAnsi="Arial"/>
          <w:sz w:val="21"/>
          <w:szCs w:val="21"/>
          <w:color w:val="auto"/>
        </w:rPr>
        <w:t xml:space="preserve">”). If the Surrender Election is made, then in accordance with and at the times specified in </w:t>
      </w:r>
      <w:r>
        <w:rPr>
          <w:rFonts w:ascii="Arial" w:cs="Arial" w:eastAsia="Arial" w:hAnsi="Arial"/>
          <w:sz w:val="21"/>
          <w:szCs w:val="21"/>
          <w:u w:val="single" w:color="auto"/>
          <w:color w:val="auto"/>
        </w:rPr>
        <w:t>Sections 7.2(e)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xml:space="preserve"> below, (i) the number of Appointed Directors shall decrease from four to three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and (ii) the number of Elected Directors shall increase from three to four. The Partnership shall inform the Limited Partners of the date on which the Surrender Election is made within 30 days following the Surrender Election.</w:t>
      </w:r>
    </w:p>
    <w:p>
      <w:pPr>
        <w:spacing w:after="0" w:line="177" w:lineRule="exact"/>
        <w:rPr>
          <w:rFonts w:ascii="Arial" w:cs="Arial" w:eastAsia="Arial" w:hAnsi="Arial"/>
          <w:sz w:val="21"/>
          <w:szCs w:val="21"/>
          <w:color w:val="auto"/>
        </w:rPr>
      </w:pPr>
    </w:p>
    <w:p>
      <w:pPr>
        <w:ind w:right="140" w:firstLine="1305"/>
        <w:spacing w:after="0" w:line="238" w:lineRule="auto"/>
        <w:tabs>
          <w:tab w:leader="none" w:pos="19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If a Surrender Election is made, then, unless </w:t>
      </w:r>
      <w:r>
        <w:rPr>
          <w:rFonts w:ascii="Arial" w:cs="Arial" w:eastAsia="Arial" w:hAnsi="Arial"/>
          <w:sz w:val="22"/>
          <w:szCs w:val="22"/>
          <w:u w:val="single" w:color="auto"/>
          <w:color w:val="auto"/>
        </w:rPr>
        <w:t>Section 7.2(f)</w:t>
      </w:r>
      <w:r>
        <w:rPr>
          <w:rFonts w:ascii="Arial" w:cs="Arial" w:eastAsia="Arial" w:hAnsi="Arial"/>
          <w:sz w:val="22"/>
          <w:szCs w:val="22"/>
          <w:color w:val="auto"/>
        </w:rPr>
        <w:t xml:space="preserve"> applies, the additional Elected Director resulting from the Surrender Election shall be elected at the Annual Meeting next following the Surrender Election. Such Elected Director shall be a Class III Elected Director and shall hold office until the Annual Meeting at which the Class III Elected Director seat would expire.</w:t>
      </w:r>
    </w:p>
    <w:p>
      <w:pPr>
        <w:spacing w:after="0" w:line="185" w:lineRule="exact"/>
        <w:rPr>
          <w:rFonts w:ascii="Arial" w:cs="Arial" w:eastAsia="Arial" w:hAnsi="Arial"/>
          <w:sz w:val="22"/>
          <w:szCs w:val="22"/>
          <w:color w:val="auto"/>
        </w:rPr>
      </w:pPr>
    </w:p>
    <w:p>
      <w:pPr>
        <w:ind w:right="20" w:firstLine="1305"/>
        <w:spacing w:after="0" w:line="249" w:lineRule="auto"/>
        <w:tabs>
          <w:tab w:leader="none" w:pos="1945"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If the Surrender Election is made after the 2015 Annual Meeting, 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21"/>
          <w:szCs w:val="21"/>
          <w:u w:val="single" w:color="auto"/>
          <w:color w:val="auto"/>
        </w:rPr>
        <w:t>Section 13.4</w:t>
      </w:r>
      <w:r>
        <w:rPr>
          <w:rFonts w:ascii="Arial" w:cs="Arial" w:eastAsia="Arial" w:hAnsi="Arial"/>
          <w:sz w:val="21"/>
          <w:szCs w:val="21"/>
          <w:color w:val="auto"/>
        </w:rPr>
        <w:t>, for the sole purpose of the Limited Partners electing an additional Elected Director. Such Elected Director shall be a Class III Elected Director and shall hold office until the Annual Meeting at which the Class III Elected Director seat would expire.</w:t>
      </w:r>
    </w:p>
    <w:p>
      <w:pPr>
        <w:spacing w:after="0" w:line="192" w:lineRule="exact"/>
        <w:rPr>
          <w:rFonts w:ascii="Arial" w:cs="Arial" w:eastAsia="Arial" w:hAnsi="Arial"/>
          <w:sz w:val="21"/>
          <w:szCs w:val="21"/>
          <w:color w:val="auto"/>
        </w:rPr>
      </w:pPr>
    </w:p>
    <w:p>
      <w:pPr>
        <w:ind w:right="220" w:firstLine="1305"/>
        <w:spacing w:after="0" w:line="276" w:lineRule="auto"/>
        <w:tabs>
          <w:tab w:leader="none" w:pos="1981"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On and after the date that an additional Elected Director is elected in accordance with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only three (or four, if an additional Appointed Director has been appointed under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right="120"/>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Section 18.5(b)</w:t>
      </w:r>
      <w:r>
        <w:rPr>
          <w:rFonts w:ascii="Arial" w:cs="Arial" w:eastAsia="Arial" w:hAnsi="Arial"/>
          <w:sz w:val="22"/>
          <w:szCs w:val="22"/>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22"/>
          <w:szCs w:val="22"/>
          <w:u w:val="single" w:color="auto"/>
          <w:color w:val="auto"/>
        </w:rPr>
        <w:t>Section 7.4(a)(i)</w:t>
      </w:r>
      <w:r>
        <w:rPr>
          <w:rFonts w:ascii="Arial" w:cs="Arial" w:eastAsia="Arial" w:hAnsi="Arial"/>
          <w:sz w:val="22"/>
          <w:szCs w:val="22"/>
          <w:color w:val="auto"/>
        </w:rPr>
        <w:t>, designate the Appointed Director whose term shall terminate upon such election.</w:t>
      </w:r>
    </w:p>
    <w:p>
      <w:pPr>
        <w:spacing w:after="0" w:line="187"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i w:val="1"/>
          <w:iCs w:val="1"/>
          <w:color w:val="auto"/>
        </w:rPr>
        <w:t>Nominations of Elected Directors</w:t>
      </w:r>
      <w:r>
        <w:rPr>
          <w:rFonts w:ascii="Arial" w:cs="Arial" w:eastAsia="Arial" w:hAnsi="Arial"/>
          <w:sz w:val="19"/>
          <w:szCs w:val="19"/>
          <w:color w:val="auto"/>
        </w:rPr>
        <w:t>.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ind w:right="20"/>
        <w:spacing w:after="0" w:line="270" w:lineRule="auto"/>
        <w:rPr>
          <w:sz w:val="20"/>
          <w:szCs w:val="20"/>
          <w:color w:val="auto"/>
        </w:rPr>
      </w:pPr>
      <w:r>
        <w:rPr>
          <w:rFonts w:ascii="Arial" w:cs="Arial" w:eastAsia="Arial" w:hAnsi="Arial"/>
          <w:sz w:val="19"/>
          <w:szCs w:val="19"/>
          <w:color w:val="auto"/>
        </w:rPr>
        <w:t xml:space="preserve">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10th day following the date on which the date of the Annual Meeting was announced. Such notice shall set forth</w:t>
      </w:r>
    </w:p>
    <w:p>
      <w:pPr>
        <w:spacing w:after="0" w:line="4" w:lineRule="exact"/>
        <w:rPr>
          <w:sz w:val="20"/>
          <w:szCs w:val="20"/>
          <w:color w:val="auto"/>
        </w:rPr>
      </w:pPr>
    </w:p>
    <w:p>
      <w:pPr>
        <w:ind w:firstLine="8"/>
        <w:spacing w:after="0" w:line="275" w:lineRule="auto"/>
        <w:tabs>
          <w:tab w:leader="none" w:pos="294"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name and address 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155"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w:t>
      </w:r>
    </w:p>
    <w:p>
      <w:pPr>
        <w:spacing w:after="0" w:line="173" w:lineRule="exact"/>
        <w:rPr>
          <w:sz w:val="20"/>
          <w:szCs w:val="20"/>
          <w:color w:val="auto"/>
        </w:rPr>
      </w:pPr>
    </w:p>
    <w:p>
      <w:pPr>
        <w:ind w:left="1980" w:hanging="675"/>
        <w:spacing w:after="0"/>
        <w:tabs>
          <w:tab w:leader="none" w:pos="19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Appointed Director may be removed at any time, (i) without Cause, only by the General Partner and,</w:t>
      </w:r>
    </w:p>
    <w:p>
      <w:pPr>
        <w:spacing w:after="0" w:line="42" w:lineRule="exact"/>
        <w:rPr>
          <w:rFonts w:ascii="Arial" w:cs="Arial" w:eastAsia="Arial" w:hAnsi="Arial"/>
          <w:sz w:val="19"/>
          <w:szCs w:val="19"/>
          <w:color w:val="auto"/>
        </w:rPr>
      </w:pPr>
    </w:p>
    <w:p>
      <w:pPr>
        <w:ind w:right="280" w:firstLine="8"/>
        <w:spacing w:after="0" w:line="234" w:lineRule="auto"/>
        <w:tabs>
          <w:tab w:leader="none" w:pos="3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with Cause, by (x) 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187" w:lineRule="exact"/>
        <w:rPr>
          <w:rFonts w:ascii="Arial" w:cs="Arial" w:eastAsia="Arial" w:hAnsi="Arial"/>
          <w:sz w:val="22"/>
          <w:szCs w:val="22"/>
          <w:color w:val="auto"/>
        </w:rPr>
      </w:pPr>
    </w:p>
    <w:p>
      <w:pPr>
        <w:jc w:val="both"/>
        <w:ind w:right="40" w:firstLine="1305"/>
        <w:spacing w:after="0"/>
        <w:tabs>
          <w:tab w:leader="none" w:pos="1981"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Elected Director may be removed at any time, with Cause, only by the affirmative vote of a majority of the other members of the Board of Directors or at a properly called meeting of the Limited Partners only by the affirmative vote of the holders of a majority of the Outstanding Common Units.</w:t>
      </w:r>
    </w:p>
    <w:p>
      <w:pPr>
        <w:spacing w:after="0" w:line="186"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Resignations of Members of the Board of Directors</w:t>
      </w:r>
      <w:r>
        <w:rPr>
          <w:rFonts w:ascii="Arial" w:cs="Arial" w:eastAsia="Arial" w:hAnsi="Arial"/>
          <w:sz w:val="22"/>
          <w:szCs w:val="22"/>
          <w:color w:val="auto"/>
        </w:rPr>
        <w:t>. Any member of the Board of Directors may resign at any time by giving written notice to the Board of Directors. Such resignation shall take effect at the time specified therein.</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i w:val="1"/>
          <w:iCs w:val="1"/>
          <w:color w:val="auto"/>
        </w:rPr>
        <w:t>Vacancies on the Board of Directors</w:t>
      </w:r>
      <w:r>
        <w:rPr>
          <w:rFonts w:ascii="Arial" w:cs="Arial" w:eastAsia="Arial" w:hAnsi="Arial"/>
          <w:sz w:val="19"/>
          <w:szCs w:val="19"/>
          <w:color w:val="auto"/>
        </w:rPr>
        <w:t>. Vacancies on the Board of Directors may be filled only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2" w:lineRule="exact"/>
        <w:rPr>
          <w:sz w:val="20"/>
          <w:szCs w:val="20"/>
          <w:color w:val="auto"/>
        </w:rPr>
      </w:pPr>
    </w:p>
    <w:p>
      <w:pPr>
        <w:ind w:right="180" w:firstLine="1305"/>
        <w:spacing w:after="0"/>
        <w:tabs>
          <w:tab w:leader="none" w:pos="19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if any Appointed Director is removed, resigns or is otherwise unable to serve as a member of the Board of Directors, the General Partner shall, in its individual capacity, appoint an individual to fill the vacancy.</w:t>
      </w:r>
    </w:p>
    <w:p>
      <w:pPr>
        <w:spacing w:after="0" w:line="186" w:lineRule="exact"/>
        <w:rPr>
          <w:rFonts w:ascii="Arial" w:cs="Arial" w:eastAsia="Arial" w:hAnsi="Arial"/>
          <w:sz w:val="22"/>
          <w:szCs w:val="22"/>
          <w:color w:val="auto"/>
        </w:rPr>
      </w:pPr>
    </w:p>
    <w:p>
      <w:pPr>
        <w:ind w:right="140" w:firstLine="1305"/>
        <w:spacing w:after="0" w:line="251" w:lineRule="auto"/>
        <w:tabs>
          <w:tab w:leader="none" w:pos="1981"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any Elected Director is removed, resigns or is unable to serve as a member of the Board of Directors, the vacancy shall be filled by a majority of the other Elected Directors then serving.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5" w:name="page56"/>
    <w:bookmarkEnd w:id="55"/>
    <w:p>
      <w:pPr>
        <w:ind w:right="80" w:firstLine="1305"/>
        <w:spacing w:after="0" w:line="251" w:lineRule="auto"/>
        <w:tabs>
          <w:tab w:leader="none" w:pos="19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 director appointed or elected pursuant to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to fill a vacancy shall be appointed or elected, as the case may be, for no more than the unexpired term of his predecessor in office.</w:t>
      </w:r>
    </w:p>
    <w:p>
      <w:pPr>
        <w:spacing w:after="0" w:line="173"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i w:val="1"/>
          <w:iCs w:val="1"/>
          <w:color w:val="auto"/>
        </w:rPr>
        <w:t>Meetings; Committees; Chairman</w:t>
      </w:r>
      <w:r>
        <w:rPr>
          <w:rFonts w:ascii="Arial" w:cs="Arial" w:eastAsia="Arial" w:hAnsi="Arial"/>
          <w:sz w:val="19"/>
          <w:szCs w:val="19"/>
          <w:color w:val="auto"/>
        </w:rPr>
        <w:t xml:space="preserve">.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9"/>
          <w:szCs w:val="19"/>
          <w:u w:val="single" w:color="auto"/>
          <w:color w:val="auto"/>
        </w:rPr>
        <w:t>Section 7.7(a)</w:t>
      </w:r>
      <w:r>
        <w:rPr>
          <w:rFonts w:ascii="Arial" w:cs="Arial" w:eastAsia="Arial" w:hAnsi="Arial"/>
          <w:sz w:val="19"/>
          <w:szCs w:val="19"/>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200" w:lineRule="exact"/>
        <w:rPr>
          <w:sz w:val="20"/>
          <w:szCs w:val="20"/>
          <w:color w:val="auto"/>
        </w:rPr>
      </w:pPr>
    </w:p>
    <w:p>
      <w:pPr>
        <w:spacing w:after="0" w:line="209" w:lineRule="exact"/>
        <w:rPr>
          <w:sz w:val="20"/>
          <w:szCs w:val="20"/>
          <w:color w:val="auto"/>
        </w:rPr>
      </w:pPr>
    </w:p>
    <w:p>
      <w:pPr>
        <w:ind w:right="20" w:firstLine="1305"/>
        <w:spacing w:after="0" w:line="271" w:lineRule="auto"/>
        <w:tabs>
          <w:tab w:leader="none" w:pos="1981"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the Board of Directors may designate one or more members of the Board of Directors as alternate members of any committee who may replace any absent or disqualified member at any meeting of such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 w:name="page57"/>
    <w:bookmarkEnd w:id="56"/>
    <w:p>
      <w:pPr>
        <w:ind w:right="240"/>
        <w:spacing w:after="0" w:line="238" w:lineRule="auto"/>
        <w:rPr>
          <w:sz w:val="20"/>
          <w:szCs w:val="20"/>
          <w:color w:val="auto"/>
        </w:rPr>
      </w:pPr>
      <w:r>
        <w:rPr>
          <w:rFonts w:ascii="Arial" w:cs="Arial" w:eastAsia="Arial" w:hAnsi="Arial"/>
          <w:sz w:val="22"/>
          <w:szCs w:val="22"/>
          <w:color w:val="auto"/>
        </w:rPr>
        <w:t xml:space="preserve">committee. Subject to the first sentence of this </w:t>
      </w:r>
      <w:r>
        <w:rPr>
          <w:rFonts w:ascii="Arial" w:cs="Arial" w:eastAsia="Arial" w:hAnsi="Arial"/>
          <w:sz w:val="22"/>
          <w:szCs w:val="22"/>
          <w:u w:val="single" w:color="auto"/>
          <w:color w:val="auto"/>
        </w:rPr>
        <w:t>Section 7.7(b)</w:t>
      </w:r>
      <w:r>
        <w:rPr>
          <w:rFonts w:ascii="Arial" w:cs="Arial" w:eastAsia="Arial" w:hAnsi="Arial"/>
          <w:sz w:val="22"/>
          <w:szCs w:val="22"/>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185" w:lineRule="exact"/>
        <w:rPr>
          <w:sz w:val="20"/>
          <w:szCs w:val="20"/>
          <w:color w:val="auto"/>
        </w:rPr>
      </w:pPr>
    </w:p>
    <w:p>
      <w:pPr>
        <w:ind w:firstLine="1305"/>
        <w:spacing w:after="0" w:line="277" w:lineRule="auto"/>
        <w:tabs>
          <w:tab w:leader="none" w:pos="196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Appointed Directors may designate one of the members of the Board of Directors as Chairman of the Board of Directors. The initial Chairman of the Board of Directors shall be Curtis Anastasio.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5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7.8</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174" w:lineRule="exact"/>
        <w:rPr>
          <w:sz w:val="20"/>
          <w:szCs w:val="20"/>
          <w:color w:val="auto"/>
        </w:rPr>
      </w:pPr>
    </w:p>
    <w:p>
      <w:pPr>
        <w:ind w:right="100" w:firstLine="1305"/>
        <w:spacing w:after="0" w:line="247" w:lineRule="auto"/>
        <w:tabs>
          <w:tab w:leader="none" w:pos="1981"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21"/>
          <w:szCs w:val="21"/>
          <w:u w:val="single" w:color="auto"/>
          <w:color w:val="auto"/>
        </w:rPr>
        <w:t>Section 7.8</w:t>
      </w:r>
      <w:r>
        <w:rPr>
          <w:rFonts w:ascii="Arial" w:cs="Arial" w:eastAsia="Arial" w:hAnsi="Arial"/>
          <w:sz w:val="21"/>
          <w:szCs w:val="21"/>
          <w:color w:val="auto"/>
        </w:rPr>
        <w:t>. Any person may hold two or more offices.</w:t>
      </w:r>
    </w:p>
    <w:p>
      <w:pPr>
        <w:spacing w:after="0" w:line="178" w:lineRule="exact"/>
        <w:rPr>
          <w:rFonts w:ascii="Arial" w:cs="Arial" w:eastAsia="Arial" w:hAnsi="Arial"/>
          <w:sz w:val="21"/>
          <w:szCs w:val="21"/>
          <w:color w:val="auto"/>
        </w:rPr>
      </w:pPr>
    </w:p>
    <w:p>
      <w:pPr>
        <w:jc w:val="both"/>
        <w:ind w:right="260" w:firstLine="1305"/>
        <w:spacing w:after="0" w:line="238" w:lineRule="auto"/>
        <w:tabs>
          <w:tab w:leader="none" w:pos="196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185" w:lineRule="exact"/>
        <w:rPr>
          <w:rFonts w:ascii="Arial" w:cs="Arial" w:eastAsia="Arial" w:hAnsi="Arial"/>
          <w:sz w:val="22"/>
          <w:szCs w:val="22"/>
          <w:color w:val="auto"/>
        </w:rPr>
      </w:pPr>
    </w:p>
    <w:p>
      <w:pPr>
        <w:ind w:right="640" w:firstLine="1305"/>
        <w:spacing w:after="0" w:line="251" w:lineRule="auto"/>
        <w:tabs>
          <w:tab w:leader="none" w:pos="192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173" w:lineRule="exact"/>
        <w:rPr>
          <w:rFonts w:ascii="Arial" w:cs="Arial" w:eastAsia="Arial" w:hAnsi="Arial"/>
          <w:sz w:val="22"/>
          <w:szCs w:val="22"/>
          <w:color w:val="auto"/>
        </w:rPr>
      </w:pPr>
    </w:p>
    <w:p>
      <w:pPr>
        <w:ind w:right="660" w:firstLine="1305"/>
        <w:spacing w:after="0"/>
        <w:tabs>
          <w:tab w:leader="none" w:pos="1968"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 w:name="page58"/>
    <w:bookmarkEnd w:id="57"/>
    <w:p>
      <w:pPr>
        <w:ind w:right="300" w:firstLine="1297"/>
        <w:spacing w:after="0" w:line="28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Compensation of Directors</w:t>
      </w:r>
      <w:r>
        <w:rPr>
          <w:rFonts w:ascii="Arial" w:cs="Arial" w:eastAsia="Arial" w:hAnsi="Arial"/>
          <w:sz w:val="19"/>
          <w:szCs w:val="19"/>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143"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i w:val="1"/>
          <w:iCs w:val="1"/>
          <w:color w:val="auto"/>
        </w:rPr>
        <w:t>Certificate of Limited Partnership</w:t>
      </w:r>
      <w:r>
        <w:rPr>
          <w:rFonts w:ascii="Arial" w:cs="Arial" w:eastAsia="Arial" w:hAnsi="Arial"/>
          <w:sz w:val="21"/>
          <w:szCs w:val="21"/>
          <w:color w:val="auto"/>
        </w:rPr>
        <w:t xml:space="preserve">.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21"/>
          <w:szCs w:val="21"/>
          <w:u w:val="single" w:color="auto"/>
          <w:color w:val="auto"/>
        </w:rPr>
        <w:t>Section 3.4(a)</w:t>
      </w:r>
      <w:r>
        <w:rPr>
          <w:rFonts w:ascii="Arial" w:cs="Arial" w:eastAsia="Arial" w:hAnsi="Arial"/>
          <w:sz w:val="21"/>
          <w:szCs w:val="21"/>
          <w:color w:val="auto"/>
        </w:rPr>
        <w:t>, the General Partner shall not be required, before or after filing, to deliver or mail a copy of the Certificate of Limited Partnership, any qualification document or any amendment thereto to any Limited Partner.</w:t>
      </w:r>
    </w:p>
    <w:p>
      <w:pPr>
        <w:spacing w:after="0" w:line="187"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Restrictions on the Authority of the Board of Directors and the General Partner</w:t>
      </w:r>
      <w:r>
        <w:rPr>
          <w:rFonts w:ascii="Arial" w:cs="Arial" w:eastAsia="Arial" w:hAnsi="Arial"/>
          <w:sz w:val="22"/>
          <w:szCs w:val="22"/>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188" w:lineRule="exact"/>
        <w:rPr>
          <w:sz w:val="20"/>
          <w:szCs w:val="20"/>
          <w:color w:val="auto"/>
        </w:rPr>
      </w:pPr>
    </w:p>
    <w:p>
      <w:pPr>
        <w:ind w:right="40" w:firstLine="1305"/>
        <w:spacing w:after="0" w:line="245" w:lineRule="auto"/>
        <w:tabs>
          <w:tab w:leader="none" w:pos="1981"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Articles 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XIV</w:t>
      </w:r>
      <w:r>
        <w:rPr>
          <w:rFonts w:ascii="Arial" w:cs="Arial" w:eastAsia="Arial" w:hAnsi="Arial"/>
          <w:sz w:val="21"/>
          <w:szCs w:val="21"/>
          <w:color w:val="auto"/>
        </w:rPr>
        <w:t xml:space="preserve">, the Board of Directors may not sell, exchange or otherwise dispose of all or substantially all of the assets of the Partnership Group, taken as a whole, in a single transaction or a series of related transactions (including by way of merger, consolidation, other combination or sale of ownership interests in the Partnership’s Subsidiaries) without the approval of holders of a Unit Majority and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w:t>
      </w:r>
      <w:r>
        <w:rPr>
          <w:rFonts w:ascii="Arial" w:cs="Arial" w:eastAsia="Arial" w:hAnsi="Arial"/>
          <w:sz w:val="21"/>
          <w:szCs w:val="21"/>
          <w:color w:val="auto"/>
        </w:rPr>
        <w:t>.</w:t>
      </w:r>
    </w:p>
    <w:p>
      <w:pPr>
        <w:spacing w:after="0" w:line="185"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8" w:name="page59"/>
    <w:bookmarkEnd w:id="58"/>
    <w:p>
      <w:pPr>
        <w:ind w:right="120" w:firstLine="1305"/>
        <w:spacing w:after="0" w:line="275" w:lineRule="auto"/>
        <w:tabs>
          <w:tab w:leader="none" w:pos="19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 the expenses that are allocable to the Partnership Group. Reimbursements pursuant to this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shall be in addition to any reimbursement to the General Partner as a result of indemnification pursuant to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firstLine="1305"/>
        <w:spacing w:after="0" w:line="270" w:lineRule="auto"/>
        <w:tabs>
          <w:tab w:leader="none" w:pos="1968"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19"/>
          <w:szCs w:val="19"/>
          <w:u w:val="single" w:color="auto"/>
          <w:color w:val="auto"/>
        </w:rPr>
        <w:t>Section 7.12(c)</w:t>
      </w:r>
      <w:r>
        <w:rPr>
          <w:rFonts w:ascii="Arial" w:cs="Arial" w:eastAsia="Arial" w:hAnsi="Arial"/>
          <w:sz w:val="19"/>
          <w:szCs w:val="19"/>
          <w:color w:val="auto"/>
        </w:rPr>
        <w:t xml:space="preserve"> shall constitute obligations of the General Partner hereunder and shall be assumed by any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of the General Partner’s General Partner Interest pursuant to </w:t>
      </w:r>
      <w:r>
        <w:rPr>
          <w:rFonts w:ascii="Arial" w:cs="Arial" w:eastAsia="Arial" w:hAnsi="Arial"/>
          <w:sz w:val="19"/>
          <w:szCs w:val="19"/>
          <w:u w:val="single" w:color="auto"/>
          <w:color w:val="auto"/>
        </w:rPr>
        <w:t>Section 4.6.</w:t>
      </w:r>
    </w:p>
    <w:p>
      <w:pPr>
        <w:spacing w:after="0" w:line="167" w:lineRule="exact"/>
        <w:rPr>
          <w:sz w:val="20"/>
          <w:szCs w:val="20"/>
          <w:color w:val="auto"/>
        </w:rPr>
      </w:pPr>
    </w:p>
    <w:p>
      <w:pPr>
        <w:ind w:right="60" w:firstLine="1297"/>
        <w:spacing w:after="0" w:line="234"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i w:val="1"/>
          <w:iCs w:val="1"/>
          <w:color w:val="auto"/>
        </w:rPr>
        <w:t>Outside Activities</w:t>
      </w:r>
      <w:r>
        <w:rPr>
          <w:rFonts w:ascii="Arial" w:cs="Arial" w:eastAsia="Arial" w:hAnsi="Arial"/>
          <w:sz w:val="22"/>
          <w:szCs w:val="22"/>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9" w:name="page60"/>
    <w:bookmarkEnd w:id="59"/>
    <w:p>
      <w:pPr>
        <w:ind w:right="500"/>
        <w:spacing w:after="0" w:line="251" w:lineRule="auto"/>
        <w:rPr>
          <w:sz w:val="20"/>
          <w:szCs w:val="20"/>
          <w:color w:val="auto"/>
        </w:rPr>
      </w:pPr>
      <w:r>
        <w:rPr>
          <w:rFonts w:ascii="Arial" w:cs="Arial" w:eastAsia="Arial" w:hAnsi="Arial"/>
          <w:sz w:val="22"/>
          <w:szCs w:val="22"/>
          <w:color w:val="auto"/>
        </w:rPr>
        <w:t>permitted in the Omnibus Agreement, shall not acquire or own any Five-Year Vessels (as such term is defined in the Omnibus Agreement).</w:t>
      </w:r>
    </w:p>
    <w:p>
      <w:pPr>
        <w:spacing w:after="0" w:line="173" w:lineRule="exact"/>
        <w:rPr>
          <w:sz w:val="20"/>
          <w:szCs w:val="20"/>
          <w:color w:val="auto"/>
        </w:rPr>
      </w:pPr>
    </w:p>
    <w:p>
      <w:pPr>
        <w:ind w:right="180" w:firstLine="1305"/>
        <w:spacing w:after="0"/>
        <w:tabs>
          <w:tab w:leader="none" w:pos="19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186" w:lineRule="exact"/>
        <w:rPr>
          <w:rFonts w:ascii="Arial" w:cs="Arial" w:eastAsia="Arial" w:hAnsi="Arial"/>
          <w:sz w:val="22"/>
          <w:szCs w:val="22"/>
          <w:color w:val="auto"/>
        </w:rPr>
      </w:pPr>
    </w:p>
    <w:p>
      <w:pPr>
        <w:ind w:firstLine="1305"/>
        <w:spacing w:after="0" w:line="273" w:lineRule="auto"/>
        <w:tabs>
          <w:tab w:leader="none" w:pos="1968"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56" w:lineRule="exact"/>
        <w:rPr>
          <w:rFonts w:ascii="Arial" w:cs="Arial" w:eastAsia="Arial" w:hAnsi="Arial"/>
          <w:sz w:val="19"/>
          <w:szCs w:val="19"/>
          <w:color w:val="auto"/>
        </w:rPr>
      </w:pPr>
    </w:p>
    <w:p>
      <w:pPr>
        <w:ind w:right="200" w:firstLine="1305"/>
        <w:spacing w:after="0" w:line="270" w:lineRule="auto"/>
        <w:tabs>
          <w:tab w:leader="none" w:pos="192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154" w:lineRule="exact"/>
        <w:rPr>
          <w:rFonts w:ascii="Arial" w:cs="Arial" w:eastAsia="Arial" w:hAnsi="Arial"/>
          <w:sz w:val="19"/>
          <w:szCs w:val="19"/>
          <w:color w:val="auto"/>
        </w:rPr>
      </w:pPr>
    </w:p>
    <w:p>
      <w:pPr>
        <w:ind w:right="60" w:firstLine="1305"/>
        <w:spacing w:after="0" w:line="252" w:lineRule="auto"/>
        <w:tabs>
          <w:tab w:leader="none" w:pos="1968"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21"/>
          <w:szCs w:val="21"/>
          <w:i w:val="1"/>
          <w:iCs w:val="1"/>
          <w:color w:val="auto"/>
        </w:rPr>
        <w:t>Affiliates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7.13(e)</w:t>
      </w:r>
      <w:r>
        <w:rPr>
          <w:rFonts w:ascii="Arial" w:cs="Arial" w:eastAsia="Arial" w:hAnsi="Arial"/>
          <w:sz w:val="21"/>
          <w:szCs w:val="21"/>
          <w:color w:val="auto"/>
        </w:rPr>
        <w:t xml:space="preserve"> with respect to the General Partner shall not include any Group Member.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0" w:name="page61"/>
    <w:bookmarkEnd w:id="60"/>
    <w:p>
      <w:pPr>
        <w:ind w:left="1300"/>
        <w:spacing w:after="0"/>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i w:val="1"/>
          <w:iCs w:val="1"/>
          <w:color w:val="auto"/>
        </w:rPr>
        <w:t>Loans from the General Partner; Loans or Contributions from the Partnership or Group Members</w:t>
      </w:r>
      <w:r>
        <w:rPr>
          <w:rFonts w:ascii="Arial" w:cs="Arial" w:eastAsia="Arial" w:hAnsi="Arial"/>
          <w:sz w:val="19"/>
          <w:szCs w:val="19"/>
          <w:color w:val="auto"/>
        </w:rPr>
        <w:t>.</w:t>
      </w:r>
    </w:p>
    <w:p>
      <w:pPr>
        <w:spacing w:after="0" w:line="43" w:lineRule="exact"/>
        <w:rPr>
          <w:sz w:val="20"/>
          <w:szCs w:val="20"/>
          <w:color w:val="auto"/>
        </w:rPr>
      </w:pPr>
    </w:p>
    <w:p>
      <w:pPr>
        <w:ind w:firstLine="8"/>
        <w:spacing w:after="0" w:line="243" w:lineRule="auto"/>
        <w:tabs>
          <w:tab w:leader="none" w:pos="348"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21"/>
          <w:szCs w:val="21"/>
          <w:u w:val="single" w:color="auto"/>
          <w:color w:val="auto"/>
        </w:rPr>
        <w:t>Section 7.14(a)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7.14(b)</w:t>
      </w:r>
      <w:r>
        <w:rPr>
          <w:rFonts w:ascii="Arial" w:cs="Arial" w:eastAsia="Arial" w:hAnsi="Arial"/>
          <w:sz w:val="21"/>
          <w:szCs w:val="21"/>
          <w:color w:val="auto"/>
        </w:rPr>
        <w:t>, the term “</w:t>
      </w:r>
      <w:r>
        <w:rPr>
          <w:rFonts w:ascii="Arial" w:cs="Arial" w:eastAsia="Arial" w:hAnsi="Arial"/>
          <w:sz w:val="21"/>
          <w:szCs w:val="21"/>
          <w:b w:val="1"/>
          <w:bCs w:val="1"/>
          <w:i w:val="1"/>
          <w:iCs w:val="1"/>
          <w:color w:val="auto"/>
        </w:rPr>
        <w:t>Group Member</w:t>
      </w:r>
      <w:r>
        <w:rPr>
          <w:rFonts w:ascii="Arial" w:cs="Arial" w:eastAsia="Arial" w:hAnsi="Arial"/>
          <w:sz w:val="21"/>
          <w:szCs w:val="21"/>
          <w:color w:val="auto"/>
        </w:rPr>
        <w:t>” shall include any Affiliate of a Group Member that is controlled by the Group Member.</w:t>
      </w:r>
    </w:p>
    <w:p>
      <w:pPr>
        <w:spacing w:after="0" w:line="184" w:lineRule="exact"/>
        <w:rPr>
          <w:rFonts w:ascii="Arial" w:cs="Arial" w:eastAsia="Arial" w:hAnsi="Arial"/>
          <w:sz w:val="21"/>
          <w:szCs w:val="21"/>
          <w:color w:val="auto"/>
        </w:rPr>
      </w:pPr>
    </w:p>
    <w:p>
      <w:pPr>
        <w:jc w:val="both"/>
        <w:ind w:right="320" w:firstLine="1305"/>
        <w:spacing w:after="0"/>
        <w:tabs>
          <w:tab w:leader="none" w:pos="1981"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86" w:lineRule="exact"/>
        <w:rPr>
          <w:rFonts w:ascii="Arial" w:cs="Arial" w:eastAsia="Arial" w:hAnsi="Arial"/>
          <w:sz w:val="22"/>
          <w:szCs w:val="22"/>
          <w:color w:val="auto"/>
        </w:rPr>
      </w:pPr>
    </w:p>
    <w:p>
      <w:pPr>
        <w:ind w:right="140" w:firstLine="1305"/>
        <w:spacing w:after="0" w:line="249" w:lineRule="auto"/>
        <w:tabs>
          <w:tab w:leader="none" w:pos="1968" w:val="left"/>
        </w:tabs>
        <w:numPr>
          <w:ilvl w:val="1"/>
          <w:numId w:val="56"/>
        </w:numPr>
        <w:rPr>
          <w:rFonts w:ascii="Arial" w:cs="Arial" w:eastAsia="Arial" w:hAnsi="Arial"/>
          <w:sz w:val="21"/>
          <w:szCs w:val="21"/>
          <w:color w:val="auto"/>
        </w:rPr>
      </w:pPr>
      <w:r>
        <w:rPr>
          <w:rFonts w:ascii="Arial" w:cs="Arial" w:eastAsia="Arial" w:hAnsi="Arial"/>
          <w:sz w:val="21"/>
          <w:szCs w:val="21"/>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if the purpose or effect of such borrowing is directly or indirectly to enable distributions to the General Partner or its Affiliates (including in their capacities as Limited Partners) to exceed the General Partner’s Percentage Interest of the total amount distributed to all partners.</w:t>
      </w:r>
    </w:p>
    <w:p>
      <w:pPr>
        <w:spacing w:after="0" w:line="179" w:lineRule="exact"/>
        <w:rPr>
          <w:sz w:val="20"/>
          <w:szCs w:val="20"/>
          <w:color w:val="auto"/>
        </w:rPr>
      </w:pPr>
    </w:p>
    <w:p>
      <w:pPr>
        <w:ind w:right="80" w:firstLine="1297"/>
        <w:spacing w:after="0" w:line="271"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available to the General Partner or its Affiliates (other than a Group Member) with respect to its or their obligations incurred pursuant to the Underwriting Agreement, the Omnibus Agreement, the Contribution Agreement or the Exchange Agreement (other than obligations incurred by the General Partner on behalf of the Partnership). Any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made only out of the assets of the Partnership, it being agreed that the General Partner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1" w:name="page62"/>
    <w:bookmarkEnd w:id="61"/>
    <w:p>
      <w:pPr>
        <w:ind w:right="140"/>
        <w:spacing w:after="0" w:line="251" w:lineRule="auto"/>
        <w:rPr>
          <w:sz w:val="20"/>
          <w:szCs w:val="20"/>
          <w:color w:val="auto"/>
        </w:rPr>
      </w:pPr>
      <w:r>
        <w:rPr>
          <w:rFonts w:ascii="Arial" w:cs="Arial" w:eastAsia="Arial" w:hAnsi="Arial"/>
          <w:sz w:val="22"/>
          <w:szCs w:val="22"/>
          <w:color w:val="auto"/>
        </w:rPr>
        <w:t>shall not be personally liable for such indemnification and shall have no obligation to contribute or loan any monies or property to the Partnership to enable it to effectuate such indemnification.</w:t>
      </w:r>
    </w:p>
    <w:p>
      <w:pPr>
        <w:spacing w:after="0" w:line="173" w:lineRule="exact"/>
        <w:rPr>
          <w:sz w:val="20"/>
          <w:szCs w:val="20"/>
          <w:color w:val="auto"/>
        </w:rPr>
      </w:pPr>
    </w:p>
    <w:p>
      <w:pPr>
        <w:ind w:firstLine="1305"/>
        <w:spacing w:after="0" w:line="282" w:lineRule="auto"/>
        <w:tabs>
          <w:tab w:leader="none" w:pos="198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80" w:firstLine="1305"/>
        <w:spacing w:after="0" w:line="282" w:lineRule="auto"/>
        <w:tabs>
          <w:tab w:leader="none" w:pos="1968"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47" w:lineRule="exact"/>
        <w:rPr>
          <w:rFonts w:ascii="Arial" w:cs="Arial" w:eastAsia="Arial" w:hAnsi="Arial"/>
          <w:sz w:val="19"/>
          <w:szCs w:val="19"/>
          <w:color w:val="auto"/>
        </w:rPr>
      </w:pPr>
    </w:p>
    <w:p>
      <w:pPr>
        <w:ind w:right="20" w:firstLine="1305"/>
        <w:spacing w:after="0" w:line="282" w:lineRule="auto"/>
        <w:tabs>
          <w:tab w:leader="none" w:pos="1927"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47" w:lineRule="exact"/>
        <w:rPr>
          <w:rFonts w:ascii="Arial" w:cs="Arial" w:eastAsia="Arial" w:hAnsi="Arial"/>
          <w:sz w:val="19"/>
          <w:szCs w:val="19"/>
          <w:color w:val="auto"/>
        </w:rPr>
      </w:pPr>
    </w:p>
    <w:p>
      <w:pPr>
        <w:ind w:right="120" w:firstLine="1305"/>
        <w:spacing w:after="0" w:line="277" w:lineRule="auto"/>
        <w:tabs>
          <w:tab w:leader="none" w:pos="1968"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9"/>
          <w:szCs w:val="19"/>
          <w:u w:val="single" w:color="auto"/>
          <w:color w:val="auto"/>
        </w:rPr>
        <w:t>Section 7.15(a)</w:t>
      </w:r>
      <w:r>
        <w:rPr>
          <w:rFonts w:ascii="Arial" w:cs="Arial" w:eastAsia="Arial" w:hAnsi="Arial"/>
          <w:sz w:val="19"/>
          <w:szCs w:val="19"/>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52" w:lineRule="exact"/>
        <w:rPr>
          <w:rFonts w:ascii="Arial" w:cs="Arial" w:eastAsia="Arial" w:hAnsi="Arial"/>
          <w:sz w:val="19"/>
          <w:szCs w:val="19"/>
          <w:color w:val="auto"/>
        </w:rPr>
      </w:pPr>
    </w:p>
    <w:p>
      <w:pPr>
        <w:ind w:right="1100" w:firstLine="1305"/>
        <w:spacing w:after="0" w:line="251"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173" w:lineRule="exact"/>
        <w:rPr>
          <w:rFonts w:ascii="Arial" w:cs="Arial" w:eastAsia="Arial" w:hAnsi="Arial"/>
          <w:sz w:val="22"/>
          <w:szCs w:val="22"/>
          <w:color w:val="auto"/>
        </w:rPr>
      </w:pPr>
    </w:p>
    <w:p>
      <w:pPr>
        <w:ind w:right="260" w:firstLine="1305"/>
        <w:spacing w:after="0"/>
        <w:tabs>
          <w:tab w:leader="none" w:pos="1981"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2" w:name="page63"/>
    <w:bookmarkEnd w:id="62"/>
    <w:p>
      <w:pPr>
        <w:ind w:right="60" w:firstLine="1305"/>
        <w:spacing w:after="0" w:line="274" w:lineRule="auto"/>
        <w:tabs>
          <w:tab w:leader="none" w:pos="1981"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50" w:lineRule="exact"/>
        <w:rPr>
          <w:rFonts w:ascii="Arial" w:cs="Arial" w:eastAsia="Arial" w:hAnsi="Arial"/>
          <w:sz w:val="21"/>
          <w:szCs w:val="21"/>
          <w:color w:val="auto"/>
        </w:rPr>
      </w:pPr>
    </w:p>
    <w:p>
      <w:pPr>
        <w:ind w:right="20" w:firstLine="1305"/>
        <w:spacing w:after="0" w:line="235" w:lineRule="auto"/>
        <w:tabs>
          <w:tab w:leader="none" w:pos="1987"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No amendment, modification or repeal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i w:val="1"/>
          <w:iCs w:val="1"/>
          <w:color w:val="auto"/>
        </w:rPr>
        <w:t>Liability of Indemnitees</w:t>
      </w:r>
      <w:r>
        <w:rPr>
          <w:rFonts w:ascii="Arial" w:cs="Arial" w:eastAsia="Arial" w:hAnsi="Arial"/>
          <w:sz w:val="19"/>
          <w:szCs w:val="19"/>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51" w:lineRule="exact"/>
        <w:rPr>
          <w:sz w:val="20"/>
          <w:szCs w:val="20"/>
          <w:color w:val="auto"/>
        </w:rPr>
      </w:pPr>
    </w:p>
    <w:p>
      <w:pPr>
        <w:ind w:right="40" w:firstLine="1305"/>
        <w:spacing w:after="0" w:line="282" w:lineRule="auto"/>
        <w:tabs>
          <w:tab w:leader="none" w:pos="198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47" w:lineRule="exact"/>
        <w:rPr>
          <w:rFonts w:ascii="Arial" w:cs="Arial" w:eastAsia="Arial" w:hAnsi="Arial"/>
          <w:sz w:val="19"/>
          <w:szCs w:val="19"/>
          <w:color w:val="auto"/>
        </w:rPr>
      </w:pPr>
    </w:p>
    <w:p>
      <w:pPr>
        <w:jc w:val="both"/>
        <w:ind w:right="220" w:firstLine="1305"/>
        <w:spacing w:after="0" w:line="238" w:lineRule="auto"/>
        <w:tabs>
          <w:tab w:leader="none" w:pos="196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198" w:lineRule="exact"/>
        <w:rPr>
          <w:rFonts w:ascii="Arial" w:cs="Arial" w:eastAsia="Arial" w:hAnsi="Arial"/>
          <w:sz w:val="22"/>
          <w:szCs w:val="22"/>
          <w:color w:val="auto"/>
        </w:rPr>
      </w:pPr>
    </w:p>
    <w:p>
      <w:pPr>
        <w:ind w:firstLine="1305"/>
        <w:spacing w:after="0" w:line="287" w:lineRule="auto"/>
        <w:tabs>
          <w:tab w:leader="none" w:pos="1927"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43" w:lineRule="exact"/>
        <w:rPr>
          <w:sz w:val="20"/>
          <w:szCs w:val="20"/>
          <w:color w:val="auto"/>
        </w:rPr>
      </w:pPr>
    </w:p>
    <w:p>
      <w:pPr>
        <w:ind w:right="180" w:firstLine="1297"/>
        <w:spacing w:after="0" w:line="252" w:lineRule="auto"/>
        <w:rPr>
          <w:sz w:val="20"/>
          <w:szCs w:val="20"/>
          <w:color w:val="auto"/>
        </w:rPr>
      </w:pPr>
      <w:r>
        <w:rPr>
          <w:rFonts w:ascii="Arial" w:cs="Arial" w:eastAsia="Arial" w:hAnsi="Arial"/>
          <w:sz w:val="21"/>
          <w:szCs w:val="21"/>
          <w:color w:val="auto"/>
        </w:rPr>
        <w:t xml:space="preserve">Section 7.17. </w:t>
      </w:r>
      <w:r>
        <w:rPr>
          <w:rFonts w:ascii="Arial" w:cs="Arial" w:eastAsia="Arial" w:hAnsi="Arial"/>
          <w:sz w:val="21"/>
          <w:szCs w:val="21"/>
          <w:i w:val="1"/>
          <w:iCs w:val="1"/>
          <w:color w:val="auto"/>
        </w:rPr>
        <w:t>Resolution of Conflicts of Interest; Standards of Conduct and Modification of Duties</w:t>
      </w:r>
      <w:r>
        <w:rPr>
          <w:rFonts w:ascii="Arial" w:cs="Arial" w:eastAsia="Arial" w:hAnsi="Arial"/>
          <w:sz w:val="21"/>
          <w:szCs w:val="21"/>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spacing w:after="0" w:line="268" w:lineRule="auto"/>
        <w:rPr>
          <w:sz w:val="20"/>
          <w:szCs w:val="20"/>
          <w:color w:val="auto"/>
        </w:rPr>
      </w:pPr>
      <w:r>
        <w:rPr>
          <w:rFonts w:ascii="Arial" w:cs="Arial" w:eastAsia="Arial" w:hAnsi="Arial"/>
          <w:sz w:val="19"/>
          <w:szCs w:val="19"/>
          <w:color w:val="auto"/>
        </w:rPr>
        <w:t xml:space="preserve">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majority of the Outstanding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 (x) 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or</w:t>
      </w:r>
    </w:p>
    <w:p>
      <w:pPr>
        <w:spacing w:after="0" w:line="5" w:lineRule="exact"/>
        <w:rPr>
          <w:sz w:val="20"/>
          <w:szCs w:val="20"/>
          <w:color w:val="auto"/>
        </w:rPr>
      </w:pPr>
    </w:p>
    <w:p>
      <w:pPr>
        <w:ind w:right="120" w:firstLine="8"/>
        <w:spacing w:after="0" w:line="275" w:lineRule="auto"/>
        <w:tabs>
          <w:tab w:leader="none" w:pos="366" w:val="left"/>
        </w:tabs>
        <w:numPr>
          <w:ilvl w:val="0"/>
          <w:numId w:val="60"/>
        </w:numPr>
        <w:rPr>
          <w:rFonts w:ascii="Arial" w:cs="Arial" w:eastAsia="Arial" w:hAnsi="Arial"/>
          <w:sz w:val="19"/>
          <w:szCs w:val="19"/>
          <w:u w:val="single" w:color="auto"/>
          <w:color w:val="auto"/>
        </w:rPr>
      </w:pPr>
      <w:r>
        <w:rPr>
          <w:rFonts w:ascii="Arial" w:cs="Arial" w:eastAsia="Arial" w:hAnsi="Arial"/>
          <w:sz w:val="19"/>
          <w:szCs w:val="19"/>
          <w:color w:val="auto"/>
        </w:rPr>
        <w:t>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of any duty hereunder or existing at law, in equity or otherwise.</w:t>
      </w:r>
    </w:p>
    <w:p>
      <w:pPr>
        <w:spacing w:after="0" w:line="154" w:lineRule="exact"/>
        <w:rPr>
          <w:rFonts w:ascii="Arial" w:cs="Arial" w:eastAsia="Arial" w:hAnsi="Arial"/>
          <w:sz w:val="19"/>
          <w:szCs w:val="19"/>
          <w:u w:val="single" w:color="auto"/>
          <w:color w:val="auto"/>
        </w:rPr>
      </w:pPr>
    </w:p>
    <w:p>
      <w:pPr>
        <w:ind w:right="100" w:firstLine="1305"/>
        <w:spacing w:after="0" w:line="245" w:lineRule="auto"/>
        <w:tabs>
          <w:tab w:leader="none" w:pos="1981" w:val="left"/>
        </w:tabs>
        <w:numPr>
          <w:ilvl w:val="1"/>
          <w:numId w:val="60"/>
        </w:numPr>
        <w:rPr>
          <w:rFonts w:ascii="Arial" w:cs="Arial" w:eastAsia="Arial" w:hAnsi="Arial"/>
          <w:sz w:val="21"/>
          <w:szCs w:val="21"/>
          <w:color w:val="auto"/>
        </w:rPr>
      </w:pPr>
      <w:r>
        <w:rPr>
          <w:rFonts w:ascii="Arial" w:cs="Arial" w:eastAsia="Arial" w:hAnsi="Arial"/>
          <w:sz w:val="21"/>
          <w:szCs w:val="21"/>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1" w:lineRule="exact"/>
        <w:rPr>
          <w:rFonts w:ascii="Arial" w:cs="Arial" w:eastAsia="Arial" w:hAnsi="Arial"/>
          <w:sz w:val="21"/>
          <w:szCs w:val="21"/>
          <w:color w:val="auto"/>
        </w:rPr>
      </w:pPr>
    </w:p>
    <w:p>
      <w:pPr>
        <w:ind w:right="120" w:firstLine="1305"/>
        <w:spacing w:after="0"/>
        <w:tabs>
          <w:tab w:leader="none" w:pos="1968" w:val="left"/>
        </w:tabs>
        <w:numPr>
          <w:ilvl w:val="1"/>
          <w:numId w:val="60"/>
        </w:numPr>
        <w:rPr>
          <w:rFonts w:ascii="Arial" w:cs="Arial" w:eastAsia="Arial" w:hAnsi="Arial"/>
          <w:sz w:val="22"/>
          <w:szCs w:val="22"/>
          <w:color w:val="auto"/>
        </w:rPr>
      </w:pPr>
      <w:r>
        <w:rPr>
          <w:rFonts w:ascii="Arial" w:cs="Arial" w:eastAsia="Arial" w:hAnsi="Arial"/>
          <w:sz w:val="22"/>
          <w:szCs w:val="22"/>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4" w:name="page65"/>
    <w:bookmarkEnd w:id="64"/>
    <w:p>
      <w:pPr>
        <w:spacing w:after="0" w:line="271" w:lineRule="auto"/>
        <w:rPr>
          <w:sz w:val="20"/>
          <w:szCs w:val="20"/>
          <w:color w:val="auto"/>
        </w:rPr>
      </w:pPr>
      <w:r>
        <w:rPr>
          <w:rFonts w:ascii="Arial" w:cs="Arial" w:eastAsia="Arial" w:hAnsi="Arial"/>
          <w:sz w:val="19"/>
          <w:szCs w:val="19"/>
          <w:color w:val="auto"/>
        </w:rPr>
        <w:t>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General Partner Interest or Incentive Distribution Rights, if any, to the extent permitted under this Agreement, or refrains from voting or transferring its Units, General Partner Units or Incentive Distribution Rights,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165" w:lineRule="exact"/>
        <w:rPr>
          <w:sz w:val="20"/>
          <w:szCs w:val="20"/>
          <w:color w:val="auto"/>
        </w:rPr>
      </w:pPr>
    </w:p>
    <w:p>
      <w:pPr>
        <w:ind w:right="80" w:firstLine="1305"/>
        <w:spacing w:after="0" w:line="275" w:lineRule="auto"/>
        <w:tabs>
          <w:tab w:leader="none" w:pos="1927"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58" w:lineRule="exact"/>
        <w:rPr>
          <w:rFonts w:ascii="Arial" w:cs="Arial" w:eastAsia="Arial" w:hAnsi="Arial"/>
          <w:sz w:val="19"/>
          <w:szCs w:val="19"/>
          <w:color w:val="auto"/>
        </w:rPr>
      </w:pPr>
    </w:p>
    <w:p>
      <w:pPr>
        <w:ind w:right="80" w:firstLine="1305"/>
        <w:spacing w:after="0" w:line="282" w:lineRule="auto"/>
        <w:tabs>
          <w:tab w:leader="none" w:pos="196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19"/>
          <w:szCs w:val="19"/>
          <w:u w:val="single" w:color="auto"/>
          <w:color w:val="auto"/>
        </w:rPr>
        <w:t>Section 7.11(b)</w:t>
      </w:r>
      <w:r>
        <w:rPr>
          <w:rFonts w:ascii="Arial" w:cs="Arial" w:eastAsia="Arial" w:hAnsi="Arial"/>
          <w:sz w:val="19"/>
          <w:szCs w:val="19"/>
          <w:color w:val="auto"/>
        </w:rPr>
        <w:t>)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47" w:lineRule="exact"/>
        <w:rPr>
          <w:rFonts w:ascii="Arial" w:cs="Arial" w:eastAsia="Arial" w:hAnsi="Arial"/>
          <w:sz w:val="19"/>
          <w:szCs w:val="19"/>
          <w:color w:val="auto"/>
        </w:rPr>
      </w:pPr>
    </w:p>
    <w:p>
      <w:pPr>
        <w:ind w:right="20" w:firstLine="1305"/>
        <w:spacing w:after="0" w:line="236" w:lineRule="auto"/>
        <w:tabs>
          <w:tab w:leader="none" w:pos="1945"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5" w:name="page66"/>
    <w:bookmarkEnd w:id="65"/>
    <w:p>
      <w:pPr>
        <w:ind w:right="320"/>
        <w:spacing w:after="0" w:line="238" w:lineRule="auto"/>
        <w:rPr>
          <w:sz w:val="20"/>
          <w:szCs w:val="20"/>
          <w:color w:val="auto"/>
        </w:rPr>
      </w:pPr>
      <w:r>
        <w:rPr>
          <w:rFonts w:ascii="Arial" w:cs="Arial" w:eastAsia="Arial" w:hAnsi="Arial"/>
          <w:sz w:val="22"/>
          <w:szCs w:val="22"/>
          <w:color w:val="auto"/>
        </w:rPr>
        <w:t xml:space="preserve">such other duties and liabilities of the Board of Directors or the General Partner or such other Indemnitee. Notwithstanding anything to the contrary, but subject to </w:t>
      </w:r>
      <w:r>
        <w:rPr>
          <w:rFonts w:ascii="Arial" w:cs="Arial" w:eastAsia="Arial" w:hAnsi="Arial"/>
          <w:sz w:val="22"/>
          <w:szCs w:val="22"/>
          <w:u w:val="single" w:color="auto"/>
          <w:color w:val="auto"/>
        </w:rPr>
        <w:t>Section 7.17(c)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7.17(b)</w:t>
      </w:r>
      <w:r>
        <w:rPr>
          <w:rFonts w:ascii="Arial" w:cs="Arial" w:eastAsia="Arial" w:hAnsi="Arial"/>
          <w:sz w:val="22"/>
          <w:szCs w:val="22"/>
          <w:color w:val="auto"/>
        </w:rPr>
        <w:t>, neither the General Partner nor the Board of Directors nor any other Indemnitee shall owe any fiduciary duties to Preference Unitholders other than the implied duty of good faith and fair dealing.</w:t>
      </w:r>
    </w:p>
    <w:p>
      <w:pPr>
        <w:spacing w:after="0" w:line="185" w:lineRule="exact"/>
        <w:rPr>
          <w:sz w:val="20"/>
          <w:szCs w:val="20"/>
          <w:color w:val="auto"/>
        </w:rPr>
      </w:pPr>
    </w:p>
    <w:p>
      <w:pPr>
        <w:ind w:right="220" w:firstLine="1305"/>
        <w:spacing w:after="0" w:line="258" w:lineRule="auto"/>
        <w:tabs>
          <w:tab w:leader="none" w:pos="1981"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1"/>
          <w:szCs w:val="21"/>
          <w:u w:val="single" w:color="auto"/>
          <w:color w:val="auto"/>
        </w:rPr>
        <w:t>Section 7.17</w:t>
      </w:r>
      <w:r>
        <w:rPr>
          <w:rFonts w:ascii="Arial" w:cs="Arial" w:eastAsia="Arial" w:hAnsi="Arial"/>
          <w:sz w:val="21"/>
          <w:szCs w:val="21"/>
          <w:color w:val="auto"/>
        </w:rPr>
        <w:t>.</w:t>
      </w:r>
    </w:p>
    <w:p>
      <w:pPr>
        <w:spacing w:after="0" w:line="167"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 xml:space="preserve">Section 7.18. </w:t>
      </w:r>
      <w:r>
        <w:rPr>
          <w:rFonts w:ascii="Arial" w:cs="Arial" w:eastAsia="Arial" w:hAnsi="Arial"/>
          <w:sz w:val="21"/>
          <w:szCs w:val="21"/>
          <w:i w:val="1"/>
          <w:iCs w:val="1"/>
          <w:color w:val="auto"/>
        </w:rPr>
        <w:t>Other Matters Concerning the General Partner and the Board of Directors</w:t>
      </w:r>
      <w:r>
        <w:rPr>
          <w:rFonts w:ascii="Arial" w:cs="Arial" w:eastAsia="Arial" w:hAnsi="Arial"/>
          <w:sz w:val="21"/>
          <w:szCs w:val="21"/>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4" w:lineRule="exact"/>
        <w:rPr>
          <w:sz w:val="20"/>
          <w:szCs w:val="20"/>
          <w:color w:val="auto"/>
        </w:rPr>
      </w:pPr>
    </w:p>
    <w:p>
      <w:pPr>
        <w:ind w:firstLine="1305"/>
        <w:spacing w:after="0" w:line="282" w:lineRule="auto"/>
        <w:tabs>
          <w:tab w:leader="none" w:pos="1981"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47" w:lineRule="exact"/>
        <w:rPr>
          <w:rFonts w:ascii="Arial" w:cs="Arial" w:eastAsia="Arial" w:hAnsi="Arial"/>
          <w:sz w:val="19"/>
          <w:szCs w:val="19"/>
          <w:color w:val="auto"/>
        </w:rPr>
      </w:pPr>
    </w:p>
    <w:p>
      <w:pPr>
        <w:jc w:val="both"/>
        <w:ind w:right="520" w:firstLine="1305"/>
        <w:spacing w:after="0"/>
        <w:tabs>
          <w:tab w:leader="none" w:pos="196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86" w:lineRule="exact"/>
        <w:rPr>
          <w:sz w:val="20"/>
          <w:szCs w:val="20"/>
          <w:color w:val="auto"/>
        </w:rPr>
      </w:pPr>
    </w:p>
    <w:p>
      <w:pPr>
        <w:ind w:right="520" w:firstLine="1297"/>
        <w:spacing w:after="0" w:line="249" w:lineRule="auto"/>
        <w:rPr>
          <w:sz w:val="20"/>
          <w:szCs w:val="20"/>
          <w:color w:val="auto"/>
        </w:rPr>
      </w:pPr>
      <w:r>
        <w:rPr>
          <w:rFonts w:ascii="Arial" w:cs="Arial" w:eastAsia="Arial" w:hAnsi="Arial"/>
          <w:sz w:val="21"/>
          <w:szCs w:val="21"/>
          <w:color w:val="auto"/>
        </w:rPr>
        <w:t xml:space="preserve">Section 7.19. </w:t>
      </w:r>
      <w:r>
        <w:rPr>
          <w:rFonts w:ascii="Arial" w:cs="Arial" w:eastAsia="Arial" w:hAnsi="Arial"/>
          <w:sz w:val="21"/>
          <w:szCs w:val="21"/>
          <w:i w:val="1"/>
          <w:iCs w:val="1"/>
          <w:color w:val="auto"/>
        </w:rPr>
        <w:t>Purchase or Sale of Partnership Interests</w:t>
      </w:r>
      <w:r>
        <w:rPr>
          <w:rFonts w:ascii="Arial" w:cs="Arial" w:eastAsia="Arial" w:hAnsi="Arial"/>
          <w:sz w:val="21"/>
          <w:szCs w:val="21"/>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w:t>
      </w:r>
    </w:p>
    <w:p>
      <w:pPr>
        <w:spacing w:after="0" w:line="179" w:lineRule="exact"/>
        <w:rPr>
          <w:sz w:val="20"/>
          <w:szCs w:val="20"/>
          <w:color w:val="auto"/>
        </w:rPr>
      </w:pPr>
    </w:p>
    <w:p>
      <w:pPr>
        <w:ind w:right="60" w:firstLine="1297"/>
        <w:spacing w:after="0" w:line="234"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i w:val="1"/>
          <w:iCs w:val="1"/>
          <w:color w:val="auto"/>
        </w:rPr>
        <w:t>Registration Rights of the General Partner and its Affiliates</w:t>
      </w:r>
      <w:r>
        <w:rPr>
          <w:rFonts w:ascii="Arial" w:cs="Arial" w:eastAsia="Arial" w:hAnsi="Arial"/>
          <w:sz w:val="22"/>
          <w:szCs w:val="22"/>
          <w:color w:val="auto"/>
        </w:rPr>
        <w:t xml:space="preserve">. (a) If (i) the General Partner or any Affiliate of the General Partner (including for purposes of this </w:t>
      </w:r>
      <w:r>
        <w:rPr>
          <w:rFonts w:ascii="Arial" w:cs="Arial" w:eastAsia="Arial" w:hAnsi="Arial"/>
          <w:sz w:val="22"/>
          <w:szCs w:val="22"/>
          <w:u w:val="single" w:color="auto"/>
          <w:color w:val="auto"/>
        </w:rPr>
        <w:t>Section 7.20</w:t>
      </w:r>
      <w:r>
        <w:rPr>
          <w:rFonts w:ascii="Arial" w:cs="Arial" w:eastAsia="Arial" w:hAnsi="Arial"/>
          <w:sz w:val="22"/>
          <w:szCs w:val="22"/>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6" w:name="page67"/>
    <w:bookmarkEnd w:id="66"/>
    <w:p>
      <w:pPr>
        <w:spacing w:after="0" w:line="269" w:lineRule="auto"/>
        <w:rPr>
          <w:sz w:val="20"/>
          <w:szCs w:val="20"/>
          <w:color w:val="auto"/>
        </w:rPr>
      </w:pPr>
      <w:r>
        <w:rPr>
          <w:rFonts w:ascii="Arial" w:cs="Arial" w:eastAsia="Arial" w:hAnsi="Arial"/>
          <w:sz w:val="19"/>
          <w:szCs w:val="19"/>
          <w:color w:val="auto"/>
        </w:rPr>
        <w:t xml:space="preserve">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effect more than three registrations in total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 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if the Conflicts Committee determines in good faith that the requested registration would be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detrimental to the Partnership and its Partners because such registration would (x) materially interfere with a significant acquisition, merger, 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211" w:lineRule="exact"/>
        <w:rPr>
          <w:sz w:val="20"/>
          <w:szCs w:val="20"/>
          <w:color w:val="auto"/>
        </w:rPr>
      </w:pPr>
    </w:p>
    <w:p>
      <w:pPr>
        <w:ind w:right="320" w:firstLine="1305"/>
        <w:spacing w:after="0" w:line="277" w:lineRule="auto"/>
        <w:tabs>
          <w:tab w:leader="none" w:pos="1981"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If the Partnership shall at any time propose to file a registration statement under the Securities Act for an offering of equity interests of the Partnership for cash (other than an offering relating solely to an employee benefit plan), the Partnership shall use its commercially reasonable efforts to include such number or amount of Partnership Interests held by any Holder in such registration statement as the Holder shall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is not required to make any effort or take any action to so include the Partnership Interests of the Holder once the registration statement becomes or is declared effective by the Commission, including any registration statement providing for the offering from time to time of Partnership Interests pursuant to Rule 415 of the Securities Act. If the proposed offering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7" w:name="page68"/>
    <w:bookmarkEnd w:id="67"/>
    <w:p>
      <w:pPr>
        <w:ind w:right="80"/>
        <w:spacing w:after="0" w:line="270" w:lineRule="auto"/>
        <w:rPr>
          <w:sz w:val="20"/>
          <w:szCs w:val="20"/>
          <w:color w:val="auto"/>
        </w:rPr>
      </w:pPr>
      <w:r>
        <w:rPr>
          <w:rFonts w:ascii="Arial" w:cs="Arial" w:eastAsia="Arial" w:hAnsi="Arial"/>
          <w:sz w:val="19"/>
          <w:szCs w:val="19"/>
          <w:color w:val="auto"/>
        </w:rPr>
        <w:t xml:space="preserve">pursuant to this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w:t>
      </w:r>
    </w:p>
    <w:p>
      <w:pPr>
        <w:spacing w:after="0" w:line="4" w:lineRule="exact"/>
        <w:rPr>
          <w:sz w:val="20"/>
          <w:szCs w:val="20"/>
          <w:color w:val="auto"/>
        </w:rPr>
      </w:pPr>
    </w:p>
    <w:p>
      <w:pPr>
        <w:ind w:right="1140"/>
        <w:spacing w:after="0" w:line="237" w:lineRule="auto"/>
        <w:rPr>
          <w:sz w:val="20"/>
          <w:szCs w:val="20"/>
          <w:color w:val="auto"/>
        </w:rPr>
      </w:pPr>
      <w:r>
        <w:rPr>
          <w:rFonts w:ascii="Arial" w:cs="Arial" w:eastAsia="Arial" w:hAnsi="Arial"/>
          <w:sz w:val="22"/>
          <w:szCs w:val="22"/>
          <w:u w:val="single" w:color="auto"/>
          <w:color w:val="auto"/>
        </w:rPr>
        <w:t>Section 7.20(c)</w:t>
      </w:r>
      <w:r>
        <w:rPr>
          <w:rFonts w:ascii="Arial" w:cs="Arial" w:eastAsia="Arial" w:hAnsi="Arial"/>
          <w:sz w:val="22"/>
          <w:szCs w:val="22"/>
          <w:color w:val="auto"/>
        </w:rPr>
        <w:t>, all costs and expenses of any such registration and offering (other than the underwriting discounts and commissions) shall be paid by the Partnership, without reimbursement by the Holder.</w:t>
      </w:r>
    </w:p>
    <w:p>
      <w:pPr>
        <w:spacing w:after="0" w:line="185" w:lineRule="exact"/>
        <w:rPr>
          <w:sz w:val="20"/>
          <w:szCs w:val="20"/>
          <w:color w:val="auto"/>
        </w:rPr>
      </w:pPr>
    </w:p>
    <w:p>
      <w:pPr>
        <w:ind w:firstLine="1305"/>
        <w:spacing w:after="0" w:line="270" w:lineRule="auto"/>
        <w:tabs>
          <w:tab w:leader="none" w:pos="196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9"/>
          <w:szCs w:val="19"/>
          <w:u w:val="single" w:color="auto"/>
          <w:color w:val="auto"/>
        </w:rPr>
        <w:t>Section 7.15</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 written information furnished to the Partnership by or on behalf of such Indemnified Person specifically for use in the preparation thereof.</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right="120" w:firstLine="1305"/>
        <w:spacing w:after="0" w:line="277" w:lineRule="auto"/>
        <w:tabs>
          <w:tab w:leader="none" w:pos="1927"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shall continue in effect thereafter.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8" w:name="page69"/>
    <w:bookmarkEnd w:id="68"/>
    <w:p>
      <w:pPr>
        <w:ind w:firstLine="1305"/>
        <w:spacing w:after="0" w:line="282" w:lineRule="auto"/>
        <w:tabs>
          <w:tab w:leader="none" w:pos="1968"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7.20</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right="100" w:firstLine="1305"/>
        <w:spacing w:after="0" w:line="273" w:lineRule="auto"/>
        <w:tabs>
          <w:tab w:leader="none" w:pos="1945"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Any request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w:t>
      </w:r>
    </w:p>
    <w:p>
      <w:pPr>
        <w:spacing w:after="0" w:line="1" w:lineRule="exact"/>
        <w:rPr>
          <w:rFonts w:ascii="Arial" w:cs="Arial" w:eastAsia="Arial" w:hAnsi="Arial"/>
          <w:sz w:val="19"/>
          <w:szCs w:val="19"/>
          <w:color w:val="auto"/>
        </w:rPr>
      </w:pPr>
    </w:p>
    <w:p>
      <w:pPr>
        <w:jc w:val="both"/>
        <w:ind w:right="160" w:firstLine="8"/>
        <w:spacing w:after="0" w:line="234" w:lineRule="auto"/>
        <w:tabs>
          <w:tab w:leader="none" w:pos="366"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187"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188" w:lineRule="exact"/>
        <w:rPr>
          <w:sz w:val="20"/>
          <w:szCs w:val="20"/>
          <w:color w:val="auto"/>
        </w:rPr>
      </w:pPr>
    </w:p>
    <w:p>
      <w:pPr>
        <w:jc w:val="both"/>
        <w:ind w:right="100" w:firstLine="1297"/>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i w:val="1"/>
          <w:iCs w:val="1"/>
          <w:color w:val="auto"/>
        </w:rPr>
        <w:t>Records and Accounting</w:t>
      </w:r>
      <w:r>
        <w:rPr>
          <w:rFonts w:ascii="Arial" w:cs="Arial" w:eastAsia="Arial" w:hAnsi="Arial"/>
          <w:sz w:val="22"/>
          <w:szCs w:val="22"/>
          <w:color w:val="auto"/>
        </w:rPr>
        <w:t>. The Partnership shall keep or cause to be kept at the principal office of the Partnership appropriate books and records with respect to the Partnership’s business, including all books and records necessary to provide to the Limited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9" w:name="page70"/>
    <w:bookmarkEnd w:id="69"/>
    <w:p>
      <w:pPr>
        <w:ind w:right="40"/>
        <w:spacing w:after="0" w:line="247" w:lineRule="auto"/>
        <w:rPr>
          <w:sz w:val="20"/>
          <w:szCs w:val="20"/>
          <w:color w:val="auto"/>
        </w:rPr>
      </w:pPr>
      <w:r>
        <w:rPr>
          <w:rFonts w:ascii="Arial" w:cs="Arial" w:eastAsia="Arial" w:hAnsi="Arial"/>
          <w:sz w:val="21"/>
          <w:szCs w:val="21"/>
          <w:color w:val="auto"/>
        </w:rPr>
        <w:t xml:space="preserve">Partners any information required to be provided pursuant to </w:t>
      </w: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0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51" w:lineRule="exact"/>
        <w:rPr>
          <w:sz w:val="20"/>
          <w:szCs w:val="20"/>
          <w:color w:val="auto"/>
        </w:rPr>
      </w:pPr>
    </w:p>
    <w:p>
      <w:pPr>
        <w:ind w:right="80" w:firstLine="1305"/>
        <w:spacing w:after="0" w:line="279" w:lineRule="auto"/>
        <w:tabs>
          <w:tab w:leader="none" w:pos="1981"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185" w:lineRule="exact"/>
        <w:rPr>
          <w:sz w:val="20"/>
          <w:szCs w:val="20"/>
          <w:color w:val="auto"/>
        </w:rPr>
      </w:pPr>
    </w:p>
    <w:p>
      <w:pPr>
        <w:ind w:right="160" w:firstLine="1305"/>
        <w:spacing w:after="0" w:line="328" w:lineRule="auto"/>
        <w:tabs>
          <w:tab w:leader="none" w:pos="1981"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05" w:lineRule="exact"/>
        <w:rPr>
          <w:sz w:val="20"/>
          <w:szCs w:val="20"/>
          <w:color w:val="auto"/>
        </w:rPr>
      </w:pPr>
    </w:p>
    <w:p>
      <w:pPr>
        <w:jc w:val="both"/>
        <w:ind w:right="140" w:firstLine="1297"/>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i w:val="1"/>
          <w:iCs w:val="1"/>
          <w:color w:val="auto"/>
        </w:rPr>
        <w:t>Tax Withholding</w:t>
      </w:r>
      <w:r>
        <w:rPr>
          <w:rFonts w:ascii="Arial" w:cs="Arial" w:eastAsia="Arial" w:hAnsi="Arial"/>
          <w:sz w:val="22"/>
          <w:szCs w:val="22"/>
          <w:color w:val="auto"/>
        </w:rPr>
        <w:t>. Notwithstanding any other provision of this Agreement, the Board of Directors is authorized to take any action that may be required or advisable to cause the Partnership and other Group Members to comply with any withholding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0" w:name="page71"/>
    <w:bookmarkEnd w:id="70"/>
    <w:p>
      <w:pPr>
        <w:ind w:right="120"/>
        <w:spacing w:after="0" w:line="238" w:lineRule="auto"/>
        <w:rPr>
          <w:sz w:val="20"/>
          <w:szCs w:val="20"/>
          <w:color w:val="auto"/>
        </w:rPr>
      </w:pPr>
      <w:r>
        <w:rPr>
          <w:rFonts w:ascii="Arial" w:cs="Arial" w:eastAsia="Arial" w:hAnsi="Arial"/>
          <w:sz w:val="22"/>
          <w:szCs w:val="22"/>
          <w:color w:val="auto"/>
        </w:rPr>
        <w:t>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185"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 manner that does not require a holder of Common Units or Preference Units to file a tax return in any jurisdiction with which the holder has no contact other than through ownership of Common Units or Preference Units.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ADMISSION OF PARTNERS</w:t>
      </w:r>
    </w:p>
    <w:p>
      <w:pPr>
        <w:spacing w:after="0" w:line="1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Admission of Initial Limited Partners</w:t>
      </w:r>
      <w:r>
        <w:rPr>
          <w:rFonts w:ascii="Arial" w:cs="Arial" w:eastAsia="Arial" w:hAnsi="Arial"/>
          <w:sz w:val="21"/>
          <w:szCs w:val="21"/>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w:t>
      </w:r>
      <w:r>
        <w:rPr>
          <w:rFonts w:ascii="Arial" w:cs="Arial" w:eastAsia="Arial" w:hAnsi="Arial"/>
          <w:sz w:val="21"/>
          <w:szCs w:val="21"/>
          <w:color w:val="auto"/>
        </w:rPr>
        <w:t>, the Board of Directors admitted such parties to the Partnership as Initial Limited Partners in respect of the Common Units, Subordinated Units or Incentive Distribution Rights issued to them.</w:t>
      </w:r>
    </w:p>
    <w:p>
      <w:pPr>
        <w:spacing w:after="0" w:line="174"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Admission of Additional Limited Partners</w:t>
      </w:r>
      <w:r>
        <w:rPr>
          <w:rFonts w:ascii="Arial" w:cs="Arial" w:eastAsia="Arial" w:hAnsi="Arial"/>
          <w:sz w:val="19"/>
          <w:szCs w:val="19"/>
          <w:color w:val="auto"/>
        </w:rPr>
        <w:t xml:space="preserve">. (a) From and after the Closing Date, by acceptance of the transfer of any Limited Partner Interests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the acceptance of any Limited Partner Interests issued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pursuant to a merger, consolidation or conversion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4"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represents that the transferee or other recipient has the capacity, power and authority to enter into this Agreement and</w:t>
      </w:r>
    </w:p>
    <w:p>
      <w:pPr>
        <w:spacing w:after="0" w:line="1" w:lineRule="exact"/>
        <w:rPr>
          <w:rFonts w:ascii="Arial" w:cs="Arial" w:eastAsia="Arial" w:hAnsi="Arial"/>
          <w:sz w:val="21"/>
          <w:szCs w:val="21"/>
          <w:color w:val="auto"/>
        </w:rPr>
      </w:pPr>
    </w:p>
    <w:p>
      <w:pPr>
        <w:ind w:right="220" w:firstLine="8"/>
        <w:spacing w:after="0" w:line="232" w:lineRule="auto"/>
        <w:tabs>
          <w:tab w:leader="none" w:pos="366" w:val="left"/>
        </w:tabs>
        <w:numPr>
          <w:ilvl w:val="0"/>
          <w:numId w:val="70"/>
        </w:numPr>
        <w:rPr>
          <w:rFonts w:ascii="Arial" w:cs="Arial" w:eastAsia="Arial" w:hAnsi="Arial"/>
          <w:sz w:val="22"/>
          <w:szCs w:val="22"/>
          <w:color w:val="auto"/>
        </w:rPr>
      </w:pPr>
      <w:r>
        <w:rPr>
          <w:rFonts w:ascii="Arial" w:cs="Arial" w:eastAsia="Arial" w:hAnsi="Arial"/>
          <w:sz w:val="22"/>
          <w:szCs w:val="22"/>
          <w:color w:val="auto"/>
        </w:rPr>
        <w:t>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189" w:lineRule="exact"/>
        <w:rPr>
          <w:rFonts w:ascii="Arial" w:cs="Arial" w:eastAsia="Arial" w:hAnsi="Arial"/>
          <w:sz w:val="22"/>
          <w:szCs w:val="22"/>
          <w:color w:val="auto"/>
        </w:rPr>
      </w:pPr>
    </w:p>
    <w:p>
      <w:pPr>
        <w:ind w:right="100" w:firstLine="1305"/>
        <w:spacing w:after="0" w:line="297" w:lineRule="auto"/>
        <w:tabs>
          <w:tab w:leader="none" w:pos="1981"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1" w:name="page72"/>
    <w:bookmarkEnd w:id="71"/>
    <w:p>
      <w:pPr>
        <w:spacing w:after="0"/>
        <w:rPr>
          <w:sz w:val="20"/>
          <w:szCs w:val="20"/>
          <w:color w:val="auto"/>
        </w:rPr>
      </w:pPr>
      <w:r>
        <w:rPr>
          <w:rFonts w:ascii="Arial" w:cs="Arial" w:eastAsia="Arial" w:hAnsi="Arial"/>
          <w:sz w:val="21"/>
          <w:szCs w:val="21"/>
          <w:color w:val="auto"/>
        </w:rPr>
        <w:t xml:space="preserve">Agent to do so, as applicable). A Limited Partner Interest may be represented by a Certificate, as provided in </w:t>
      </w:r>
      <w:r>
        <w:rPr>
          <w:rFonts w:ascii="Arial" w:cs="Arial" w:eastAsia="Arial" w:hAnsi="Arial"/>
          <w:sz w:val="21"/>
          <w:szCs w:val="21"/>
          <w:u w:val="single" w:color="auto"/>
          <w:color w:val="auto"/>
        </w:rPr>
        <w:t>Section 4.1</w:t>
      </w:r>
      <w:r>
        <w:rPr>
          <w:rFonts w:ascii="Arial" w:cs="Arial" w:eastAsia="Arial" w:hAnsi="Arial"/>
          <w:sz w:val="21"/>
          <w:szCs w:val="21"/>
          <w:color w:val="auto"/>
        </w:rPr>
        <w:t>.</w:t>
      </w:r>
    </w:p>
    <w:p>
      <w:pPr>
        <w:spacing w:after="0" w:line="218" w:lineRule="exact"/>
        <w:rPr>
          <w:sz w:val="20"/>
          <w:szCs w:val="20"/>
          <w:color w:val="auto"/>
        </w:rPr>
      </w:pPr>
    </w:p>
    <w:p>
      <w:pPr>
        <w:ind w:right="360" w:firstLine="1305"/>
        <w:spacing w:after="0" w:line="328" w:lineRule="auto"/>
        <w:tabs>
          <w:tab w:leader="none" w:pos="196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w:t>
      </w:r>
    </w:p>
    <w:p>
      <w:pPr>
        <w:spacing w:after="0" w:line="105"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Admission of Successor General Partner</w:t>
      </w:r>
      <w:r>
        <w:rPr>
          <w:rFonts w:ascii="Arial" w:cs="Arial" w:eastAsia="Arial" w:hAnsi="Arial"/>
          <w:sz w:val="19"/>
          <w:szCs w:val="19"/>
          <w:color w:val="auto"/>
        </w:rPr>
        <w:t xml:space="preserve">. A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or part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Person shall be admitted to the Partnership as a successor or additional General Partner until compliance with the terms of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has occurred and such Person has executed and delivered such other documents or instruments as may be required to effect such admission.</w:t>
      </w:r>
    </w:p>
    <w:p>
      <w:pPr>
        <w:spacing w:after="0" w:line="158"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173"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WITHDRAWAL OR REMOVAL OF PARTNERS</w:t>
      </w:r>
    </w:p>
    <w:p>
      <w:pPr>
        <w:spacing w:after="0" w:line="188" w:lineRule="exact"/>
        <w:rPr>
          <w:sz w:val="20"/>
          <w:szCs w:val="20"/>
          <w:color w:val="auto"/>
        </w:rPr>
      </w:pPr>
    </w:p>
    <w:p>
      <w:pPr>
        <w:jc w:val="both"/>
        <w:ind w:right="360" w:firstLine="1297"/>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Withdrawal</w:t>
      </w:r>
      <w:r>
        <w:rPr>
          <w:rFonts w:ascii="Arial" w:cs="Arial" w:eastAsia="Arial" w:hAnsi="Arial"/>
          <w:sz w:val="22"/>
          <w:szCs w:val="22"/>
          <w:color w:val="auto"/>
        </w:rPr>
        <w:t>”):</w:t>
      </w:r>
    </w:p>
    <w:p>
      <w:pPr>
        <w:spacing w:after="0" w:line="186" w:lineRule="exact"/>
        <w:rPr>
          <w:sz w:val="20"/>
          <w:szCs w:val="20"/>
          <w:color w:val="auto"/>
        </w:rPr>
      </w:pPr>
    </w:p>
    <w:p>
      <w:pPr>
        <w:ind w:left="2000" w:hanging="695"/>
        <w:spacing w:after="0"/>
        <w:tabs>
          <w:tab w:leader="none" w:pos="20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General Partner voluntarily withdraws from the Partnership by giving written notice to the other</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Partners;</w:t>
      </w:r>
    </w:p>
    <w:p>
      <w:pPr>
        <w:spacing w:after="0" w:line="188" w:lineRule="exact"/>
        <w:rPr>
          <w:rFonts w:ascii="Arial" w:cs="Arial" w:eastAsia="Arial" w:hAnsi="Arial"/>
          <w:sz w:val="21"/>
          <w:szCs w:val="21"/>
          <w:color w:val="auto"/>
        </w:rPr>
      </w:pPr>
    </w:p>
    <w:p>
      <w:pPr>
        <w:ind w:left="2000" w:hanging="695"/>
        <w:spacing w:after="0"/>
        <w:tabs>
          <w:tab w:leader="none" w:pos="20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0" w:hanging="695"/>
        <w:spacing w:after="0"/>
        <w:tabs>
          <w:tab w:leader="none" w:pos="20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260" w:firstLine="645"/>
        <w:spacing w:after="0"/>
        <w:tabs>
          <w:tab w:leader="none" w:pos="1998"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General Partner (A) makes a general assignment for the benefit of creditors; (B) files a voluntary petition in bankruptcy; (C) files a voluntary petition or answer seeking for itself a liquidation, dissolution or similar relief (but not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2" w:name="page73"/>
    <w:bookmarkEnd w:id="72"/>
    <w:p>
      <w:pPr>
        <w:ind w:left="660" w:right="180"/>
        <w:spacing w:after="0" w:line="287" w:lineRule="auto"/>
        <w:rPr>
          <w:sz w:val="20"/>
          <w:szCs w:val="20"/>
          <w:color w:val="auto"/>
        </w:rPr>
      </w:pPr>
      <w:r>
        <w:rPr>
          <w:rFonts w:ascii="Arial" w:cs="Arial" w:eastAsia="Arial" w:hAnsi="Arial"/>
          <w:sz w:val="19"/>
          <w:szCs w:val="19"/>
          <w:color w:val="auto"/>
        </w:rPr>
        <w:t xml:space="preserve">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143" w:lineRule="exact"/>
        <w:rPr>
          <w:sz w:val="20"/>
          <w:szCs w:val="20"/>
          <w:color w:val="auto"/>
        </w:rPr>
      </w:pPr>
    </w:p>
    <w:p>
      <w:pPr>
        <w:ind w:left="660" w:right="400" w:firstLine="645"/>
        <w:spacing w:after="0" w:line="251" w:lineRule="auto"/>
        <w:tabs>
          <w:tab w:leader="none" w:pos="19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173" w:lineRule="exact"/>
        <w:rPr>
          <w:rFonts w:ascii="Arial" w:cs="Arial" w:eastAsia="Arial" w:hAnsi="Arial"/>
          <w:sz w:val="22"/>
          <w:szCs w:val="22"/>
          <w:color w:val="auto"/>
        </w:rPr>
      </w:pPr>
    </w:p>
    <w:p>
      <w:pPr>
        <w:ind w:left="660" w:right="20" w:firstLine="645"/>
        <w:spacing w:after="0" w:line="234" w:lineRule="auto"/>
        <w:tabs>
          <w:tab w:leader="none" w:pos="1998"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If an Event of Withdrawal specified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11.1(a)(vi)(B)</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p>
    <w:p>
      <w:pPr>
        <w:spacing w:after="0" w:line="43"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color w:val="auto"/>
        </w:rPr>
        <w:t>occurs, the withdrawing General Partner shall give notice to the Limited Partners within 30 days after such occurrence. The</w:t>
      </w:r>
    </w:p>
    <w:p>
      <w:pPr>
        <w:spacing w:after="0" w:line="24" w:lineRule="exact"/>
        <w:rPr>
          <w:rFonts w:ascii="Arial" w:cs="Arial" w:eastAsia="Arial" w:hAnsi="Arial"/>
          <w:sz w:val="19"/>
          <w:szCs w:val="19"/>
          <w:u w:val="single" w:color="auto"/>
          <w:color w:val="auto"/>
        </w:rPr>
      </w:pPr>
    </w:p>
    <w:p>
      <w:pPr>
        <w:ind w:right="20"/>
        <w:spacing w:after="0" w:line="237" w:lineRule="auto"/>
        <w:rPr>
          <w:rFonts w:ascii="Arial" w:cs="Arial" w:eastAsia="Arial" w:hAnsi="Arial"/>
          <w:sz w:val="19"/>
          <w:szCs w:val="19"/>
          <w:u w:val="single" w:color="auto"/>
          <w:color w:val="auto"/>
        </w:rPr>
      </w:pPr>
      <w:r>
        <w:rPr>
          <w:rFonts w:ascii="Arial" w:cs="Arial" w:eastAsia="Arial" w:hAnsi="Arial"/>
          <w:sz w:val="22"/>
          <w:szCs w:val="22"/>
          <w:color w:val="auto"/>
        </w:rPr>
        <w:t xml:space="preserve">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184" w:lineRule="exact"/>
        <w:rPr>
          <w:rFonts w:ascii="Arial" w:cs="Arial" w:eastAsia="Arial" w:hAnsi="Arial"/>
          <w:sz w:val="19"/>
          <w:szCs w:val="19"/>
          <w:u w:val="single" w:color="auto"/>
          <w:color w:val="auto"/>
        </w:rPr>
      </w:pPr>
    </w:p>
    <w:p>
      <w:pPr>
        <w:ind w:firstLine="1305"/>
        <w:spacing w:after="0" w:line="251" w:lineRule="auto"/>
        <w:tabs>
          <w:tab w:leader="none" w:pos="1981" w:val="left"/>
        </w:tabs>
        <w:numPr>
          <w:ilvl w:val="1"/>
          <w:numId w:val="74"/>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173" w:lineRule="exact"/>
        <w:rPr>
          <w:sz w:val="20"/>
          <w:szCs w:val="20"/>
          <w:color w:val="auto"/>
        </w:rPr>
      </w:pPr>
    </w:p>
    <w:p>
      <w:pPr>
        <w:ind w:left="660" w:right="20" w:firstLine="645"/>
        <w:spacing w:after="0" w:line="246" w:lineRule="auto"/>
        <w:tabs>
          <w:tab w:leader="none" w:pos="1998"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prior to the effective date of such withdrawal, the withdrawal is approved by Unitholders holding at least a</w:t>
      </w:r>
      <w:r>
        <w:rPr>
          <w:rFonts w:ascii="Arial" w:cs="Arial" w:eastAsia="Arial" w:hAnsi="Arial"/>
          <w:sz w:val="21"/>
          <w:szCs w:val="21"/>
          <w:i w:val="1"/>
          <w:iCs w:val="1"/>
          <w:color w:val="auto"/>
        </w:rPr>
        <w:t xml:space="preserve"> </w:t>
      </w:r>
      <w:r>
        <w:rPr>
          <w:rFonts w:ascii="Arial" w:cs="Arial" w:eastAsia="Arial" w:hAnsi="Arial"/>
          <w:sz w:val="21"/>
          <w:szCs w:val="21"/>
          <w:color w:val="auto"/>
        </w:rPr>
        <w:t>majority of the Outstanding Common Units (excluding Common Units held by the General Partner and its Affiliates) and the General Partner delivers to the Partnership an Opinion of Counsel (“</w:t>
      </w:r>
      <w:r>
        <w:rPr>
          <w:rFonts w:ascii="Arial" w:cs="Arial" w:eastAsia="Arial" w:hAnsi="Arial"/>
          <w:sz w:val="21"/>
          <w:szCs w:val="21"/>
          <w:b w:val="1"/>
          <w:bCs w:val="1"/>
          <w:i w:val="1"/>
          <w:iCs w:val="1"/>
          <w:color w:val="auto"/>
        </w:rPr>
        <w:t>Withdrawal Opinion of Counsel</w:t>
      </w:r>
      <w:r>
        <w:rPr>
          <w:rFonts w:ascii="Arial" w:cs="Arial" w:eastAsia="Arial" w:hAnsi="Arial"/>
          <w:sz w:val="21"/>
          <w:szCs w:val="21"/>
          <w:color w:val="auto"/>
        </w:rPr>
        <w:t>”) that such withdrawal (following the selection of the successor General Partner) would not result in the loss of the limited liability of any Limited Partner or any Group Member;</w:t>
      </w:r>
    </w:p>
    <w:p>
      <w:pPr>
        <w:spacing w:after="0" w:line="180" w:lineRule="exact"/>
        <w:rPr>
          <w:rFonts w:ascii="Arial" w:cs="Arial" w:eastAsia="Arial" w:hAnsi="Arial"/>
          <w:sz w:val="21"/>
          <w:szCs w:val="21"/>
          <w:color w:val="auto"/>
        </w:rPr>
      </w:pPr>
    </w:p>
    <w:p>
      <w:pPr>
        <w:ind w:left="660" w:right="260" w:firstLine="645"/>
        <w:spacing w:after="0" w:line="238" w:lineRule="auto"/>
        <w:tabs>
          <w:tab w:leader="none" w:pos="200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3" w:name="page74"/>
    <w:bookmarkEnd w:id="73"/>
    <w:p>
      <w:pPr>
        <w:ind w:left="660" w:right="380" w:firstLine="645"/>
        <w:spacing w:after="0" w:line="251" w:lineRule="auto"/>
        <w:tabs>
          <w:tab w:leader="none" w:pos="20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ind w:left="660" w:firstLine="645"/>
        <w:spacing w:after="0" w:line="271" w:lineRule="auto"/>
        <w:tabs>
          <w:tab w:leader="none" w:pos="199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p>
    <w:p>
      <w:pPr>
        <w:spacing w:after="0" w:line="165"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i w:val="1"/>
          <w:iCs w:val="1"/>
          <w:color w:val="auto"/>
        </w:rPr>
        <w:t>Removal of the General Partner</w:t>
      </w:r>
      <w:r>
        <w:rPr>
          <w:rFonts w:ascii="Arial" w:cs="Arial" w:eastAsia="Arial" w:hAnsi="Arial"/>
          <w:sz w:val="22"/>
          <w:szCs w:val="22"/>
          <w:color w:val="auto"/>
        </w:rPr>
        <w:t>. The General Partner may be removed if such removal is approved by the Unitholders holding at least 66 2 /3 % of the Outstanding Common Units (including Common Units held by the General Partner and its Affiliates). Any such action by such holders or the Board of Directors for removal of the General Partner must also provide for the election of a successor General Partner by the majority vote of the Outstanding Common Units, voting together as a single class.</w:t>
      </w:r>
    </w:p>
    <w:p>
      <w:pPr>
        <w:spacing w:after="0" w:line="188"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Such removal shall be effective immediately following the admission of a successor General Partner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such Person shall, upon admission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subject to the provisions of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i w:val="1"/>
          <w:iCs w:val="1"/>
          <w:color w:val="auto"/>
        </w:rPr>
        <w:t>Interest of Departing General Partner and Successor General Partner</w:t>
      </w:r>
      <w:r>
        <w:rPr>
          <w:rFonts w:ascii="Arial" w:cs="Arial" w:eastAsia="Arial" w:hAnsi="Arial"/>
          <w:sz w:val="22"/>
          <w:szCs w:val="22"/>
          <w:color w:val="auto"/>
        </w:rPr>
        <w:t>. (a) In the event of</w:t>
      </w:r>
    </w:p>
    <w:p>
      <w:pPr>
        <w:spacing w:after="0" w:line="8" w:lineRule="exact"/>
        <w:rPr>
          <w:sz w:val="20"/>
          <w:szCs w:val="20"/>
          <w:color w:val="auto"/>
        </w:rPr>
      </w:pPr>
    </w:p>
    <w:p>
      <w:pPr>
        <w:ind w:right="160" w:firstLine="8"/>
        <w:spacing w:after="0" w:line="237" w:lineRule="auto"/>
        <w:tabs>
          <w:tab w:leader="none" w:pos="258"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withdrawal of the General Partner under circumstances where such withdrawal does not violate this Agreement or (ii) removal of the General Partner by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74" w:name="page75"/>
    <w:bookmarkEnd w:id="74"/>
    <w:p>
      <w:pPr>
        <w:spacing w:after="0" w:line="270" w:lineRule="auto"/>
        <w:rPr>
          <w:sz w:val="20"/>
          <w:szCs w:val="20"/>
          <w:color w:val="auto"/>
        </w:rPr>
      </w:pPr>
      <w:r>
        <w:rPr>
          <w:rFonts w:ascii="Arial" w:cs="Arial" w:eastAsia="Arial" w:hAnsi="Arial"/>
          <w:sz w:val="19"/>
          <w:szCs w:val="19"/>
          <w:color w:val="auto"/>
        </w:rPr>
        <w:t xml:space="preserve">holders of Outstanding Common Units under circumstances where Cause does not exist, if the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(A) the Departing General Partner shall have the option, exercisable prior to the effective date of the departure of such Departing General Partner, to require its successor to purchase its General Partner Interest (represented by General Partner Units) and its general partner interest (or equivalent interest), if any, in the other Group Members and its Incentive Distribution Rights, if any (collectively, the “</w:t>
      </w:r>
      <w:r>
        <w:rPr>
          <w:rFonts w:ascii="Arial" w:cs="Arial" w:eastAsia="Arial" w:hAnsi="Arial"/>
          <w:sz w:val="19"/>
          <w:szCs w:val="19"/>
          <w:b w:val="1"/>
          <w:bCs w:val="1"/>
          <w:i w:val="1"/>
          <w:iCs w:val="1"/>
          <w:color w:val="auto"/>
        </w:rPr>
        <w:t>Combined Interest</w:t>
      </w:r>
      <w:r>
        <w:rPr>
          <w:rFonts w:ascii="Arial" w:cs="Arial" w:eastAsia="Arial" w:hAnsi="Arial"/>
          <w:sz w:val="19"/>
          <w:szCs w:val="19"/>
          <w:color w:val="auto"/>
        </w:rPr>
        <w:t xml:space="preserve">”), in exchange for an amount in cash equal to the fair market value of such Combined Interest, such amount to be determined and payable as of the effective date of its departure and (B) the other holders of the Incentive Distribution Rights shall have the option, exercisable prior to the effective date of the departure of such Departing General Partner, to require such successor to purchase such holders’ Incentive Distribution Rights in exchange for an amount in cash equal to the fair market value of such Incentive Distribution Rights, such amount to be determined and payable as of the effective date of the Departing General Partner’s departure. If the General Partner is removed by the holders of Outstanding 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200" w:lineRule="exact"/>
        <w:rPr>
          <w:sz w:val="20"/>
          <w:szCs w:val="20"/>
          <w:color w:val="auto"/>
        </w:rPr>
      </w:pPr>
    </w:p>
    <w:p>
      <w:pPr>
        <w:spacing w:after="0" w:line="205"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11.3(a)</w:t>
      </w:r>
      <w:r>
        <w:rPr>
          <w:rFonts w:ascii="Arial" w:cs="Arial" w:eastAsia="Arial" w:hAnsi="Arial"/>
          <w:sz w:val="21"/>
          <w:szCs w:val="21"/>
          <w:color w:val="auto"/>
        </w:rPr>
        <w:t>, the fair market value of the Departing General Partner’s Combined Interest and the value of the Incentive Distribution Rights held by holders other than the Departing General Partner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Incentive Distribution Rights held by holders other than the Departing General Partner. In making its determination, such third independent investment banking firm or other independent expert may consider the then current trading price of Common Units on any National Securities Exchange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5" w:name="page76"/>
    <w:bookmarkEnd w:id="75"/>
    <w:p>
      <w:pPr>
        <w:ind w:right="260"/>
        <w:spacing w:after="0" w:line="251" w:lineRule="auto"/>
        <w:rPr>
          <w:sz w:val="20"/>
          <w:szCs w:val="20"/>
          <w:color w:val="auto"/>
        </w:rPr>
      </w:pPr>
      <w:r>
        <w:rPr>
          <w:rFonts w:ascii="Arial" w:cs="Arial" w:eastAsia="Arial" w:hAnsi="Arial"/>
          <w:sz w:val="22"/>
          <w:szCs w:val="22"/>
          <w:color w:val="auto"/>
        </w:rPr>
        <w:t>which Common Units are then listed or admitted to trading, the value of the Partnership’s assets, the rights and obligations of the Departing General Partner and other factors it may deem relevant.</w:t>
      </w:r>
    </w:p>
    <w:p>
      <w:pPr>
        <w:spacing w:after="0" w:line="173" w:lineRule="exact"/>
        <w:rPr>
          <w:sz w:val="20"/>
          <w:szCs w:val="20"/>
          <w:color w:val="auto"/>
        </w:rPr>
      </w:pPr>
    </w:p>
    <w:p>
      <w:pPr>
        <w:ind w:right="20" w:firstLine="1305"/>
        <w:spacing w:after="0" w:line="245" w:lineRule="auto"/>
        <w:tabs>
          <w:tab w:leader="none" w:pos="1981"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If the Combined Interest is not purchased in the manner set forth in </w:t>
      </w:r>
      <w:r>
        <w:rPr>
          <w:rFonts w:ascii="Arial" w:cs="Arial" w:eastAsia="Arial" w:hAnsi="Arial"/>
          <w:sz w:val="21"/>
          <w:szCs w:val="21"/>
          <w:u w:val="single" w:color="auto"/>
          <w:color w:val="auto"/>
        </w:rPr>
        <w:t>Section 11.3(a)</w:t>
      </w:r>
      <w:r>
        <w:rPr>
          <w:rFonts w:ascii="Arial" w:cs="Arial" w:eastAsia="Arial" w:hAnsi="Arial"/>
          <w:sz w:val="21"/>
          <w:szCs w:val="21"/>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21"/>
          <w:szCs w:val="21"/>
          <w:u w:val="single" w:color="auto"/>
          <w:color w:val="auto"/>
        </w:rPr>
        <w:t>Section 11.3(a)</w:t>
      </w:r>
      <w:r>
        <w:rPr>
          <w:rFonts w:ascii="Arial" w:cs="Arial" w:eastAsia="Arial" w:hAnsi="Arial"/>
          <w:sz w:val="21"/>
          <w:szCs w:val="21"/>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185" w:lineRule="exact"/>
        <w:rPr>
          <w:rFonts w:ascii="Arial" w:cs="Arial" w:eastAsia="Arial" w:hAnsi="Arial"/>
          <w:sz w:val="21"/>
          <w:szCs w:val="21"/>
          <w:color w:val="auto"/>
        </w:rPr>
      </w:pPr>
    </w:p>
    <w:p>
      <w:pPr>
        <w:ind w:right="160" w:firstLine="1305"/>
        <w:spacing w:after="0" w:line="273" w:lineRule="auto"/>
        <w:tabs>
          <w:tab w:leader="none" w:pos="196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56"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DISSOLUTION AND LIQUIDATION</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i w:val="1"/>
          <w:iCs w:val="1"/>
          <w:color w:val="auto"/>
        </w:rPr>
        <w:t>Dissolution</w:t>
      </w:r>
      <w:r>
        <w:rPr>
          <w:rFonts w:ascii="Arial" w:cs="Arial" w:eastAsia="Arial" w:hAnsi="Arial"/>
          <w:sz w:val="22"/>
          <w:szCs w:val="22"/>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the Partnership shall not be dissolved and the Board of Directors shall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ind w:right="40"/>
        <w:spacing w:after="0" w:line="251" w:lineRule="auto"/>
        <w:rPr>
          <w:sz w:val="20"/>
          <w:szCs w:val="20"/>
          <w:color w:val="auto"/>
        </w:rPr>
      </w:pPr>
      <w:r>
        <w:rPr>
          <w:rFonts w:ascii="Arial" w:cs="Arial" w:eastAsia="Arial" w:hAnsi="Arial"/>
          <w:sz w:val="22"/>
          <w:szCs w:val="22"/>
          <w:color w:val="auto"/>
        </w:rPr>
        <w:t xml:space="preserve">continue the business of the Partnership. The Partnership shall dissolve, and (subject to </w:t>
      </w:r>
      <w:r>
        <w:rPr>
          <w:rFonts w:ascii="Arial" w:cs="Arial" w:eastAsia="Arial" w:hAnsi="Arial"/>
          <w:sz w:val="22"/>
          <w:szCs w:val="22"/>
          <w:u w:val="single" w:color="auto"/>
          <w:color w:val="auto"/>
        </w:rPr>
        <w:t>Section 12.2</w:t>
      </w:r>
      <w:r>
        <w:rPr>
          <w:rFonts w:ascii="Arial" w:cs="Arial" w:eastAsia="Arial" w:hAnsi="Arial"/>
          <w:sz w:val="22"/>
          <w:szCs w:val="22"/>
          <w:color w:val="auto"/>
        </w:rPr>
        <w:t>) its affairs shall be wound up, upon:</w:t>
      </w:r>
    </w:p>
    <w:p>
      <w:pPr>
        <w:spacing w:after="0" w:line="173" w:lineRule="exact"/>
        <w:rPr>
          <w:sz w:val="20"/>
          <w:szCs w:val="20"/>
          <w:color w:val="auto"/>
        </w:rPr>
      </w:pPr>
    </w:p>
    <w:p>
      <w:pPr>
        <w:ind w:left="660" w:right="20" w:firstLine="645"/>
        <w:spacing w:after="0" w:line="251" w:lineRule="auto"/>
        <w:tabs>
          <w:tab w:leader="none" w:pos="19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173" w:lineRule="exact"/>
        <w:rPr>
          <w:rFonts w:ascii="Arial" w:cs="Arial" w:eastAsia="Arial" w:hAnsi="Arial"/>
          <w:sz w:val="22"/>
          <w:szCs w:val="22"/>
          <w:color w:val="auto"/>
        </w:rPr>
      </w:pPr>
    </w:p>
    <w:p>
      <w:pPr>
        <w:ind w:left="660" w:right="800" w:firstLine="645"/>
        <w:spacing w:after="0" w:line="251" w:lineRule="auto"/>
        <w:tabs>
          <w:tab w:leader="none" w:pos="19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entry of a decree of judicial dissolution of the Partnership pursuant to the provisions of the Marshall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Islands Act; or</w:t>
      </w:r>
    </w:p>
    <w:p>
      <w:pPr>
        <w:spacing w:after="0" w:line="188" w:lineRule="exact"/>
        <w:rPr>
          <w:rFonts w:ascii="Arial" w:cs="Arial" w:eastAsia="Arial" w:hAnsi="Arial"/>
          <w:sz w:val="19"/>
          <w:szCs w:val="19"/>
          <w:color w:val="auto"/>
        </w:rPr>
      </w:pPr>
    </w:p>
    <w:p>
      <w:pPr>
        <w:jc w:val="both"/>
        <w:ind w:left="660" w:right="20" w:firstLine="645"/>
        <w:spacing w:after="0"/>
        <w:tabs>
          <w:tab w:leader="none" w:pos="1938"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 Event of Withdrawal of the General Partner as provided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unless a successor is elected and an Opinion of Counsel is received as provided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such successor is admitted to the Partnership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86" w:lineRule="exact"/>
        <w:rPr>
          <w:sz w:val="20"/>
          <w:szCs w:val="20"/>
          <w:color w:val="auto"/>
        </w:rPr>
      </w:pPr>
    </w:p>
    <w:p>
      <w:pPr>
        <w:ind w:right="40" w:firstLine="1297"/>
        <w:spacing w:after="0" w:line="245"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i w:val="1"/>
          <w:iCs w:val="1"/>
          <w:color w:val="auto"/>
        </w:rPr>
        <w:t>Continuation of the Business of the Partnership After Dissolution</w:t>
      </w:r>
      <w:r>
        <w:rPr>
          <w:rFonts w:ascii="Arial" w:cs="Arial" w:eastAsia="Arial" w:hAnsi="Arial"/>
          <w:sz w:val="21"/>
          <w:szCs w:val="21"/>
          <w:color w:val="auto"/>
        </w:rPr>
        <w:t xml:space="preserve">. Upon (a) dissolution of the Partnership following an Event of Withdrawal caused by the withdrawal or removal of the General Partner as provided in </w:t>
      </w:r>
      <w:r>
        <w:rPr>
          <w:rFonts w:ascii="Arial" w:cs="Arial" w:eastAsia="Arial" w:hAnsi="Arial"/>
          <w:sz w:val="21"/>
          <w:szCs w:val="21"/>
          <w:u w:val="single" w:color="auto"/>
          <w:color w:val="auto"/>
        </w:rPr>
        <w:t>Section 11.1(a)(i)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11.1(a)(iii)</w:t>
      </w:r>
      <w:r>
        <w:rPr>
          <w:rFonts w:ascii="Arial" w:cs="Arial" w:eastAsia="Arial" w:hAnsi="Arial"/>
          <w:sz w:val="21"/>
          <w:szCs w:val="21"/>
          <w:color w:val="auto"/>
        </w:rPr>
        <w:t xml:space="preserve"> and the failure of the Partners to select a successor to such Departing General Partner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then within 90 days thereafter, or (b) dissolution of the Partnership upon an event constituting an Event of Withdrawal as defined in </w:t>
      </w:r>
      <w:r>
        <w:rPr>
          <w:rFonts w:ascii="Arial" w:cs="Arial" w:eastAsia="Arial" w:hAnsi="Arial"/>
          <w:sz w:val="21"/>
          <w:szCs w:val="21"/>
          <w:u w:val="single" w:color="auto"/>
          <w:color w:val="auto"/>
        </w:rPr>
        <w:t>Section 11.1(a)(iv)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11.1(a)(v)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11.1(a)(vi)</w:t>
      </w:r>
      <w:r>
        <w:rPr>
          <w:rFonts w:ascii="Arial" w:cs="Arial" w:eastAsia="Arial" w:hAnsi="Arial"/>
          <w:sz w:val="21"/>
          <w:szCs w:val="21"/>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182" w:lineRule="exact"/>
        <w:rPr>
          <w:sz w:val="20"/>
          <w:szCs w:val="20"/>
          <w:color w:val="auto"/>
        </w:rPr>
      </w:pPr>
    </w:p>
    <w:p>
      <w:pPr>
        <w:ind w:left="2000" w:hanging="695"/>
        <w:spacing w:after="0"/>
        <w:tabs>
          <w:tab w:leader="none" w:pos="20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Partnership shall continue without dissolution unless earlier dissolved in accordance with this</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left="660" w:right="320" w:firstLine="645"/>
        <w:spacing w:after="0" w:line="251" w:lineRule="auto"/>
        <w:tabs>
          <w:tab w:leader="none" w:pos="2004"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173" w:lineRule="exact"/>
        <w:rPr>
          <w:rFonts w:ascii="Arial" w:cs="Arial" w:eastAsia="Arial" w:hAnsi="Arial"/>
          <w:sz w:val="22"/>
          <w:szCs w:val="22"/>
          <w:color w:val="auto"/>
        </w:rPr>
      </w:pPr>
    </w:p>
    <w:p>
      <w:pPr>
        <w:ind w:left="660" w:firstLine="645"/>
        <w:spacing w:after="0" w:line="282" w:lineRule="auto"/>
        <w:tabs>
          <w:tab w:leader="none" w:pos="201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48"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 xml:space="preserve">Section 12.3. </w:t>
      </w:r>
      <w:r>
        <w:rPr>
          <w:rFonts w:ascii="Arial" w:cs="Arial" w:eastAsia="Arial" w:hAnsi="Arial"/>
          <w:sz w:val="22"/>
          <w:szCs w:val="22"/>
          <w:i w:val="1"/>
          <w:iCs w:val="1"/>
          <w:color w:val="auto"/>
        </w:rPr>
        <w:t>Liquidating Trustee</w:t>
      </w:r>
      <w:r>
        <w:rPr>
          <w:rFonts w:ascii="Arial" w:cs="Arial" w:eastAsia="Arial" w:hAnsi="Arial"/>
          <w:sz w:val="22"/>
          <w:szCs w:val="22"/>
          <w:color w:val="auto"/>
        </w:rPr>
        <w:t xml:space="preserve">. Upon dissolution of the Partnership, unless the business of the Partnership is continued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 the Board of Directors shall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7" w:name="page78"/>
    <w:bookmarkEnd w:id="77"/>
    <w:p>
      <w:pPr>
        <w:spacing w:after="0" w:line="271" w:lineRule="auto"/>
        <w:rPr>
          <w:sz w:val="20"/>
          <w:szCs w:val="20"/>
          <w:color w:val="auto"/>
        </w:rPr>
      </w:pPr>
      <w:r>
        <w:rPr>
          <w:rFonts w:ascii="Arial" w:cs="Arial" w:eastAsia="Arial" w:hAnsi="Arial"/>
          <w:sz w:val="19"/>
          <w:szCs w:val="19"/>
          <w:color w:val="auto"/>
        </w:rPr>
        <w:t xml:space="preserve">select one or more Persons to act as Liquidating Trustee. The Liquidating Trustee (if other than the General Partner) shall be entitled to receive such compensation for its services as may be approved by holders of at least a majority of the Outstanding Common Units. The Liquidating Trustee (if other than the General Partner) shall agree not to resign at any time without 15 days’ prior notice and may be removed at any time, with or without cause, by notice of removal approved by holders of at least a majority of the Outstanding Common Units. Upon dissolution, removal or resignation of the Liquidating Trustee, a successor and substitute Liquidating Trustee (who shall have and succeed to all rights, powers and duties of the original Liquidating Trustee) shall within 30 days thereafter be approved by the holders of at least a majority of the Outstanding Common Units.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9"/>
          <w:szCs w:val="19"/>
          <w:u w:val="single" w:color="auto"/>
          <w:color w:val="auto"/>
        </w:rPr>
        <w:t>Section 7.11(b)</w:t>
      </w:r>
      <w:r>
        <w:rPr>
          <w:rFonts w:ascii="Arial" w:cs="Arial" w:eastAsia="Arial" w:hAnsi="Arial"/>
          <w:sz w:val="19"/>
          <w:szCs w:val="19"/>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200" w:lineRule="exact"/>
        <w:rPr>
          <w:sz w:val="20"/>
          <w:szCs w:val="20"/>
          <w:color w:val="auto"/>
        </w:rPr>
      </w:pPr>
    </w:p>
    <w:p>
      <w:pPr>
        <w:spacing w:after="0" w:line="209" w:lineRule="exact"/>
        <w:rPr>
          <w:sz w:val="20"/>
          <w:szCs w:val="20"/>
          <w:color w:val="auto"/>
        </w:rPr>
      </w:pPr>
    </w:p>
    <w:p>
      <w:pPr>
        <w:ind w:right="400" w:firstLine="1297"/>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186" w:lineRule="exact"/>
        <w:rPr>
          <w:sz w:val="20"/>
          <w:szCs w:val="20"/>
          <w:color w:val="auto"/>
        </w:rPr>
      </w:pPr>
    </w:p>
    <w:p>
      <w:pPr>
        <w:ind w:right="120" w:firstLine="1305"/>
        <w:spacing w:after="0" w:line="246" w:lineRule="auto"/>
        <w:tabs>
          <w:tab w:leader="none" w:pos="1968"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21"/>
          <w:szCs w:val="21"/>
          <w:u w:val="single" w:color="auto"/>
          <w:color w:val="auto"/>
        </w:rPr>
        <w:t>Section 12.4(c)</w:t>
      </w:r>
      <w:r>
        <w:rPr>
          <w:rFonts w:ascii="Arial" w:cs="Arial" w:eastAsia="Arial" w:hAnsi="Arial"/>
          <w:sz w:val="21"/>
          <w:szCs w:val="21"/>
          <w:color w:val="auto"/>
        </w:rPr>
        <w:t xml:space="preserve"> to have received cash equal to its fair market value, and contemporaneously therewith, appropriate cash distributions must be made to the other 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180" w:lineRule="exact"/>
        <w:rPr>
          <w:rFonts w:ascii="Arial" w:cs="Arial" w:eastAsia="Arial" w:hAnsi="Arial"/>
          <w:sz w:val="21"/>
          <w:szCs w:val="21"/>
          <w:color w:val="auto"/>
        </w:rPr>
      </w:pPr>
    </w:p>
    <w:p>
      <w:pPr>
        <w:ind w:right="280" w:firstLine="1305"/>
        <w:spacing w:after="0" w:line="279" w:lineRule="auto"/>
        <w:tabs>
          <w:tab w:leader="none" w:pos="198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and amounts to Partners otherwise than in respect of their distribution rights under </w:t>
      </w:r>
      <w:r>
        <w:rPr>
          <w:rFonts w:ascii="Arial" w:cs="Arial" w:eastAsia="Arial" w:hAnsi="Arial"/>
          <w:sz w:val="19"/>
          <w:szCs w:val="19"/>
          <w:u w:val="single" w:color="auto"/>
          <w:color w:val="auto"/>
        </w:rPr>
        <w:t>Article VI</w:t>
      </w:r>
      <w:r>
        <w:rPr>
          <w:rFonts w:ascii="Arial" w:cs="Arial" w:eastAsia="Arial" w:hAnsi="Arial"/>
          <w:sz w:val="19"/>
          <w:szCs w:val="19"/>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ind w:right="220" w:firstLine="1305"/>
        <w:spacing w:after="0"/>
        <w:tabs>
          <w:tab w:leader="none" w:pos="1968"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All property and all cash in excess of that required to discharge liabilities as provided in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shall be distributed, 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in respect of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in respect of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in respect of Series C Preference Units, as follows:</w:t>
      </w:r>
    </w:p>
    <w:p>
      <w:pPr>
        <w:spacing w:after="0" w:line="186" w:lineRule="exact"/>
        <w:rPr>
          <w:sz w:val="20"/>
          <w:szCs w:val="20"/>
          <w:color w:val="auto"/>
        </w:rPr>
      </w:pPr>
    </w:p>
    <w:p>
      <w:pPr>
        <w:ind w:left="660" w:firstLine="645"/>
        <w:spacing w:after="0" w:line="251" w:lineRule="auto"/>
        <w:tabs>
          <w:tab w:leader="none" w:pos="1998"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 Current Market Price of the Common Units as of the date three trading days prior to the announcement of the proposed liquidation exceeds the Unrecovered Capital for a Common Unit:</w:t>
      </w:r>
    </w:p>
    <w:p>
      <w:pPr>
        <w:spacing w:after="0" w:line="173" w:lineRule="exact"/>
        <w:rPr>
          <w:rFonts w:ascii="Arial" w:cs="Arial" w:eastAsia="Arial" w:hAnsi="Arial"/>
          <w:sz w:val="22"/>
          <w:szCs w:val="22"/>
          <w:color w:val="auto"/>
        </w:rPr>
      </w:pPr>
    </w:p>
    <w:p>
      <w:pPr>
        <w:ind w:left="1300" w:right="140" w:firstLine="653"/>
        <w:spacing w:after="0" w:line="238" w:lineRule="auto"/>
        <w:tabs>
          <w:tab w:leader="none" w:pos="2626" w:val="left"/>
        </w:tabs>
        <w:numPr>
          <w:ilvl w:val="1"/>
          <w:numId w:val="83"/>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such Current Market Price of a Common Unit;</w:t>
      </w:r>
    </w:p>
    <w:p>
      <w:pPr>
        <w:spacing w:after="0" w:line="185" w:lineRule="exact"/>
        <w:rPr>
          <w:rFonts w:ascii="Arial" w:cs="Arial" w:eastAsia="Arial" w:hAnsi="Arial"/>
          <w:sz w:val="22"/>
          <w:szCs w:val="22"/>
          <w:color w:val="auto"/>
        </w:rPr>
      </w:pPr>
    </w:p>
    <w:p>
      <w:pPr>
        <w:ind w:left="1300" w:right="420" w:firstLine="653"/>
        <w:spacing w:after="0" w:line="297" w:lineRule="auto"/>
        <w:tabs>
          <w:tab w:leader="none" w:pos="2614"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Thereafter (x) to the General Partner in accordance with its Percentage Interest; (y) 23% to the holders of the Incentive Distribution Rights, Pro Rata; and (z) to all Unitholders, Pro Rata, a percentage equal to 100% less the sum of the percentages applicable to </w:t>
      </w:r>
      <w:r>
        <w:rPr>
          <w:rFonts w:ascii="Arial" w:cs="Arial" w:eastAsia="Arial" w:hAnsi="Arial"/>
          <w:sz w:val="19"/>
          <w:szCs w:val="19"/>
          <w:u w:val="single" w:color="auto"/>
          <w:color w:val="auto"/>
        </w:rPr>
        <w:t>subclauses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(i)(B)</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660" w:firstLine="645"/>
        <w:spacing w:after="0" w:line="274" w:lineRule="auto"/>
        <w:tabs>
          <w:tab w:leader="none" w:pos="2004"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the Current Market Price of the Common Units as of the date three trading days prior to the announcement of the proposed liquidation is equal to or less than the Unrecovered Capital for a Common Unit:</w:t>
      </w:r>
    </w:p>
    <w:p>
      <w:pPr>
        <w:spacing w:after="0" w:line="150" w:lineRule="exact"/>
        <w:rPr>
          <w:rFonts w:ascii="Arial" w:cs="Arial" w:eastAsia="Arial" w:hAnsi="Arial"/>
          <w:sz w:val="21"/>
          <w:szCs w:val="21"/>
          <w:color w:val="auto"/>
        </w:rPr>
      </w:pPr>
    </w:p>
    <w:p>
      <w:pPr>
        <w:ind w:left="1300" w:right="260" w:firstLine="653"/>
        <w:spacing w:after="0" w:line="238" w:lineRule="auto"/>
        <w:tabs>
          <w:tab w:leader="none" w:pos="2626" w:val="left"/>
        </w:tabs>
        <w:numPr>
          <w:ilvl w:val="1"/>
          <w:numId w:val="83"/>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Unrecovered Capital for a Common Unit;</w:t>
      </w:r>
    </w:p>
    <w:p>
      <w:pPr>
        <w:spacing w:after="0" w:line="185" w:lineRule="exact"/>
        <w:rPr>
          <w:rFonts w:ascii="Arial" w:cs="Arial" w:eastAsia="Arial" w:hAnsi="Arial"/>
          <w:sz w:val="22"/>
          <w:szCs w:val="22"/>
          <w:color w:val="auto"/>
        </w:rPr>
      </w:pPr>
    </w:p>
    <w:p>
      <w:pPr>
        <w:ind w:left="1300" w:right="420" w:firstLine="653"/>
        <w:spacing w:after="0" w:line="297" w:lineRule="auto"/>
        <w:tabs>
          <w:tab w:leader="none" w:pos="2614"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Thereafter, (x) to the General Partner in accordance with its Percentage Interest; (y) 23% to the holders of the Incentive Distribution Rights, Pro Rata; and (z) to all Unitholders, Pro Rata, a percentage equal to 100% less the sum of the percentages applicable to </w:t>
      </w:r>
      <w:r>
        <w:rPr>
          <w:rFonts w:ascii="Arial" w:cs="Arial" w:eastAsia="Arial" w:hAnsi="Arial"/>
          <w:sz w:val="19"/>
          <w:szCs w:val="19"/>
          <w:u w:val="single" w:color="auto"/>
          <w:color w:val="auto"/>
        </w:rPr>
        <w:t>subclauses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(ii)(B)</w:t>
      </w:r>
      <w:r>
        <w:rPr>
          <w:rFonts w:ascii="Arial" w:cs="Arial" w:eastAsia="Arial" w:hAnsi="Arial"/>
          <w:sz w:val="19"/>
          <w:szCs w:val="19"/>
          <w:color w:val="auto"/>
        </w:rPr>
        <w:t>.</w:t>
      </w:r>
    </w:p>
    <w:p>
      <w:pPr>
        <w:spacing w:after="0" w:line="134" w:lineRule="exact"/>
        <w:rPr>
          <w:sz w:val="20"/>
          <w:szCs w:val="20"/>
          <w:color w:val="auto"/>
        </w:rPr>
      </w:pPr>
    </w:p>
    <w:p>
      <w:pPr>
        <w:ind w:right="20" w:firstLine="1297"/>
        <w:spacing w:after="0" w:line="236" w:lineRule="auto"/>
        <w:rPr>
          <w:sz w:val="20"/>
          <w:szCs w:val="20"/>
          <w:color w:val="auto"/>
        </w:rPr>
      </w:pPr>
      <w:r>
        <w:rPr>
          <w:rFonts w:ascii="Arial" w:cs="Arial" w:eastAsia="Arial" w:hAnsi="Arial"/>
          <w:sz w:val="22"/>
          <w:szCs w:val="22"/>
          <w:color w:val="auto"/>
        </w:rPr>
        <w:t xml:space="preserve">Distributions with respect to Series A Preference Units described in </w:t>
      </w:r>
      <w:r>
        <w:rPr>
          <w:rFonts w:ascii="Arial" w:cs="Arial" w:eastAsia="Arial" w:hAnsi="Arial"/>
          <w:sz w:val="22"/>
          <w:szCs w:val="22"/>
          <w:u w:val="single" w:color="auto"/>
          <w:color w:val="auto"/>
        </w:rPr>
        <w:t>Article XVI</w:t>
      </w:r>
      <w:r>
        <w:rPr>
          <w:rFonts w:ascii="Arial" w:cs="Arial" w:eastAsia="Arial" w:hAnsi="Arial"/>
          <w:sz w:val="22"/>
          <w:szCs w:val="22"/>
          <w:color w:val="auto"/>
        </w:rPr>
        <w:t xml:space="preserve">, Series B Preference Units described in </w:t>
      </w:r>
      <w:r>
        <w:rPr>
          <w:rFonts w:ascii="Arial" w:cs="Arial" w:eastAsia="Arial" w:hAnsi="Arial"/>
          <w:sz w:val="22"/>
          <w:szCs w:val="22"/>
          <w:u w:val="single" w:color="auto"/>
          <w:color w:val="auto"/>
        </w:rPr>
        <w:t>Article XVII</w:t>
      </w:r>
      <w:r>
        <w:rPr>
          <w:rFonts w:ascii="Arial" w:cs="Arial" w:eastAsia="Arial" w:hAnsi="Arial"/>
          <w:sz w:val="22"/>
          <w:szCs w:val="22"/>
          <w:color w:val="auto"/>
        </w:rPr>
        <w:t xml:space="preserve"> and Series C Preference Units described in </w:t>
      </w: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in connection with a liquidation or dissolution of the Partnership shall be made pursuant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with respect to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with respect to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with respect to Series C Preference Units, rather than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12.4(c)</w:t>
      </w:r>
      <w:r>
        <w:rPr>
          <w:rFonts w:ascii="Arial" w:cs="Arial" w:eastAsia="Arial" w:hAnsi="Arial"/>
          <w:sz w:val="22"/>
          <w:szCs w:val="22"/>
          <w:color w:val="auto"/>
        </w:rPr>
        <w:t>.</w:t>
      </w:r>
    </w:p>
    <w:p>
      <w:pPr>
        <w:spacing w:after="0" w:line="188" w:lineRule="exact"/>
        <w:rPr>
          <w:sz w:val="20"/>
          <w:szCs w:val="20"/>
          <w:color w:val="auto"/>
        </w:rPr>
      </w:pPr>
    </w:p>
    <w:p>
      <w:pPr>
        <w:ind w:right="60" w:firstLine="1305"/>
        <w:spacing w:after="0" w:line="236" w:lineRule="auto"/>
        <w:tabs>
          <w:tab w:leader="none" w:pos="1927"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clauses (c)(i)(B)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(c)(ii)(B)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the aggregate amount of distributions distributable to the holders of the Incentive Distribution Rights in accordance with such provisions shall be equal to 23% of the amount otherwise distributable to the holders of the Incentive Distribution Rights, Pro Rata, in accordance with </w:t>
      </w:r>
      <w:r>
        <w:rPr>
          <w:rFonts w:ascii="Arial" w:cs="Arial" w:eastAsia="Arial" w:hAnsi="Arial"/>
          <w:sz w:val="22"/>
          <w:szCs w:val="22"/>
          <w:u w:val="single" w:color="auto"/>
          <w:color w:val="auto"/>
        </w:rPr>
        <w:t>Section 12.4(c)</w:t>
      </w:r>
      <w:r>
        <w:rPr>
          <w:rFonts w:ascii="Arial" w:cs="Arial" w:eastAsia="Arial" w:hAnsi="Arial"/>
          <w:sz w:val="22"/>
          <w:szCs w:val="22"/>
          <w:color w:val="auto"/>
        </w:rPr>
        <w:t>, with such amount reduced by Available Cash Derived from Non-GasLog Acquisitions at such time. Any amount of any such reduction in the aggregate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9" w:name="page80"/>
    <w:bookmarkEnd w:id="79"/>
    <w:p>
      <w:pPr>
        <w:ind w:right="160"/>
        <w:spacing w:after="0"/>
        <w:rPr>
          <w:sz w:val="20"/>
          <w:szCs w:val="20"/>
          <w:color w:val="auto"/>
        </w:rPr>
      </w:pPr>
      <w:r>
        <w:rPr>
          <w:rFonts w:ascii="Arial" w:cs="Arial" w:eastAsia="Arial" w:hAnsi="Arial"/>
          <w:sz w:val="22"/>
          <w:szCs w:val="22"/>
          <w:color w:val="auto"/>
        </w:rPr>
        <w:t>Incentive Distributions distributable to the holders of the Incentive Distribution Rights pursuant to the preceding sentence (i) shall be allocated Pro Rata with respect to the holders of Incentive Distribution Rights and (ii) is referred to herein as a “</w:t>
      </w:r>
      <w:r>
        <w:rPr>
          <w:rFonts w:ascii="Arial" w:cs="Arial" w:eastAsia="Arial" w:hAnsi="Arial"/>
          <w:sz w:val="22"/>
          <w:szCs w:val="22"/>
          <w:b w:val="1"/>
          <w:bCs w:val="1"/>
          <w:i w:val="1"/>
          <w:iCs w:val="1"/>
          <w:color w:val="auto"/>
        </w:rPr>
        <w:t>Liquidating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Distributions IDR Reduction</w:t>
      </w:r>
      <w:r>
        <w:rPr>
          <w:rFonts w:ascii="Arial" w:cs="Arial" w:eastAsia="Arial" w:hAnsi="Arial"/>
          <w:sz w:val="22"/>
          <w:szCs w:val="22"/>
          <w:color w:val="auto"/>
        </w:rPr>
        <w:t>.”</w:t>
      </w:r>
    </w:p>
    <w:p>
      <w:pPr>
        <w:spacing w:after="0" w:line="186" w:lineRule="exact"/>
        <w:rPr>
          <w:sz w:val="20"/>
          <w:szCs w:val="20"/>
          <w:color w:val="auto"/>
        </w:rPr>
      </w:pPr>
    </w:p>
    <w:p>
      <w:pPr>
        <w:ind w:firstLine="1305"/>
        <w:spacing w:after="0"/>
        <w:tabs>
          <w:tab w:leader="none" w:pos="1968"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amount of any Liquidating Distributions IDR Reductions shall be redistributed to all Unitholders, Pro Rata, concurrently with and in addition to the distributions to Unitholders contemplated by </w:t>
      </w:r>
      <w:r>
        <w:rPr>
          <w:rFonts w:ascii="Arial" w:cs="Arial" w:eastAsia="Arial" w:hAnsi="Arial"/>
          <w:sz w:val="22"/>
          <w:szCs w:val="22"/>
          <w:u w:val="single" w:color="auto"/>
          <w:color w:val="auto"/>
        </w:rPr>
        <w:t>clause (c)(i)(B)(z)</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(c)(ii)(B)(z)</w:t>
      </w:r>
      <w:r>
        <w:rPr>
          <w:rFonts w:ascii="Arial" w:cs="Arial" w:eastAsia="Arial" w:hAnsi="Arial"/>
          <w:sz w:val="22"/>
          <w:szCs w:val="22"/>
          <w:color w:val="auto"/>
        </w:rPr>
        <w:t xml:space="preserve">, as the case may be, of this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86"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4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5"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188" w:lineRule="exact"/>
        <w:rPr>
          <w:sz w:val="20"/>
          <w:szCs w:val="20"/>
          <w:color w:val="auto"/>
        </w:rPr>
      </w:pPr>
    </w:p>
    <w:p>
      <w:pPr>
        <w:ind w:right="40" w:firstLine="1297"/>
        <w:spacing w:after="0" w:line="252" w:lineRule="auto"/>
        <w:rPr>
          <w:sz w:val="20"/>
          <w:szCs w:val="20"/>
          <w:color w:val="auto"/>
        </w:rPr>
      </w:pPr>
      <w:r>
        <w:rPr>
          <w:rFonts w:ascii="Arial" w:cs="Arial" w:eastAsia="Arial" w:hAnsi="Arial"/>
          <w:sz w:val="21"/>
          <w:szCs w:val="21"/>
          <w:color w:val="auto"/>
        </w:rPr>
        <w:t xml:space="preserve">Section 13.1. </w:t>
      </w:r>
      <w:r>
        <w:rPr>
          <w:rFonts w:ascii="Arial" w:cs="Arial" w:eastAsia="Arial" w:hAnsi="Arial"/>
          <w:sz w:val="21"/>
          <w:szCs w:val="21"/>
          <w:i w:val="1"/>
          <w:iCs w:val="1"/>
          <w:color w:val="auto"/>
        </w:rPr>
        <w:t>Amendments to be Adopted Without Approval of the Limited Partners or the General Partner</w:t>
      </w:r>
      <w:r>
        <w:rPr>
          <w:rFonts w:ascii="Arial" w:cs="Arial" w:eastAsia="Arial" w:hAnsi="Arial"/>
          <w:sz w:val="21"/>
          <w:szCs w:val="21"/>
          <w:color w:val="auto"/>
        </w:rPr>
        <w:t xml:space="preserve">. The General Partner and each Limited Partner agree that the Board of Directors, without the approval of any Limited Partner or, subject to </w:t>
      </w:r>
      <w:r>
        <w:rPr>
          <w:rFonts w:ascii="Arial" w:cs="Arial" w:eastAsia="Arial" w:hAnsi="Arial"/>
          <w:sz w:val="21"/>
          <w:szCs w:val="21"/>
          <w:u w:val="single" w:color="auto"/>
          <w:color w:val="auto"/>
        </w:rPr>
        <w:t>Section 5.5</w:t>
      </w:r>
      <w:r>
        <w:rPr>
          <w:rFonts w:ascii="Arial" w:cs="Arial" w:eastAsia="Arial" w:hAnsi="Arial"/>
          <w:sz w:val="21"/>
          <w:szCs w:val="21"/>
          <w:color w:val="auto"/>
        </w:rPr>
        <w:t>, the General Partner, may amend any provision of this Agreement and execute, swear to, acknowledge, deliver, file and record whatever documents may be required in connection therewith, to reflect:</w:t>
      </w:r>
    </w:p>
    <w:p>
      <w:pPr>
        <w:spacing w:after="0" w:line="174" w:lineRule="exact"/>
        <w:rPr>
          <w:sz w:val="20"/>
          <w:szCs w:val="20"/>
          <w:color w:val="auto"/>
        </w:rPr>
      </w:pPr>
    </w:p>
    <w:p>
      <w:pPr>
        <w:ind w:left="660" w:right="20" w:firstLine="645"/>
        <w:spacing w:after="0" w:line="251" w:lineRule="auto"/>
        <w:tabs>
          <w:tab w:leader="none" w:pos="19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06" w:lineRule="exact"/>
        <w:rPr>
          <w:rFonts w:ascii="Arial" w:cs="Arial" w:eastAsia="Arial" w:hAnsi="Arial"/>
          <w:sz w:val="22"/>
          <w:szCs w:val="22"/>
          <w:color w:val="auto"/>
        </w:rPr>
      </w:pPr>
    </w:p>
    <w:p>
      <w:pPr>
        <w:ind w:left="660" w:right="100" w:firstLine="645"/>
        <w:spacing w:after="0"/>
        <w:tabs>
          <w:tab w:leader="none" w:pos="19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0" w:name="page81"/>
    <w:bookmarkEnd w:id="80"/>
    <w:p>
      <w:pPr>
        <w:ind w:left="-540" w:firstLine="645"/>
        <w:spacing w:after="0" w:line="274" w:lineRule="auto"/>
        <w:tabs>
          <w:tab w:leader="none" w:pos="752"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or (iv) is required to effect the intent expressed in the Registration Statement or the intent of the provisions of this Agreement or is otherwise contemplated by this Agreement;</w:t>
      </w:r>
    </w:p>
    <w:p>
      <w:pPr>
        <w:spacing w:after="0" w:line="158" w:lineRule="exact"/>
        <w:rPr>
          <w:rFonts w:ascii="Arial" w:cs="Arial" w:eastAsia="Arial" w:hAnsi="Arial"/>
          <w:sz w:val="19"/>
          <w:szCs w:val="19"/>
          <w:color w:val="auto"/>
        </w:rPr>
      </w:pPr>
    </w:p>
    <w:p>
      <w:pPr>
        <w:ind w:left="-540" w:right="100" w:firstLine="645"/>
        <w:spacing w:after="0" w:line="236" w:lineRule="auto"/>
        <w:tabs>
          <w:tab w:leader="none" w:pos="767"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Series B Distributions and Series C Distributions) are to be made by the Partnership;</w:t>
      </w:r>
    </w:p>
    <w:p>
      <w:pPr>
        <w:spacing w:after="0" w:line="187" w:lineRule="exact"/>
        <w:rPr>
          <w:rFonts w:ascii="Arial" w:cs="Arial" w:eastAsia="Arial" w:hAnsi="Arial"/>
          <w:sz w:val="22"/>
          <w:szCs w:val="22"/>
          <w:color w:val="auto"/>
        </w:rPr>
      </w:pPr>
    </w:p>
    <w:p>
      <w:pPr>
        <w:ind w:left="-540" w:right="60" w:firstLine="645"/>
        <w:spacing w:after="0" w:line="248" w:lineRule="auto"/>
        <w:tabs>
          <w:tab w:leader="none" w:pos="756"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177" w:lineRule="exact"/>
        <w:rPr>
          <w:rFonts w:ascii="Arial" w:cs="Arial" w:eastAsia="Arial" w:hAnsi="Arial"/>
          <w:sz w:val="21"/>
          <w:szCs w:val="21"/>
          <w:color w:val="auto"/>
        </w:rPr>
      </w:pPr>
    </w:p>
    <w:p>
      <w:pPr>
        <w:ind w:left="-540" w:right="60" w:firstLine="645"/>
        <w:spacing w:after="0" w:line="258" w:lineRule="auto"/>
        <w:tabs>
          <w:tab w:leader="none" w:pos="765"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16.5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an amendment that the Board of Directors, and if required by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left="-540" w:right="80" w:firstLine="645"/>
        <w:spacing w:after="0"/>
        <w:tabs>
          <w:tab w:leader="none" w:pos="765"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w:t>
      </w:r>
    </w:p>
    <w:p>
      <w:pPr>
        <w:spacing w:after="0" w:line="186" w:lineRule="exact"/>
        <w:rPr>
          <w:rFonts w:ascii="Arial" w:cs="Arial" w:eastAsia="Arial" w:hAnsi="Arial"/>
          <w:sz w:val="22"/>
          <w:szCs w:val="22"/>
          <w:color w:val="auto"/>
        </w:rPr>
      </w:pPr>
    </w:p>
    <w:p>
      <w:pPr>
        <w:ind w:left="100" w:right="100" w:firstLine="653"/>
        <w:spacing w:after="0" w:line="251" w:lineRule="auto"/>
        <w:tabs>
          <w:tab w:leader="none" w:pos="1411"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the adjustments of the Minimum Quarterly Distribution, First Target Distribution and Second Target Distribution in connection with the IDR Reset Election in accordance with </w:t>
      </w:r>
      <w:r>
        <w:rPr>
          <w:rFonts w:ascii="Arial" w:cs="Arial" w:eastAsia="Arial" w:hAnsi="Arial"/>
          <w:sz w:val="22"/>
          <w:szCs w:val="22"/>
          <w:u w:val="single" w:color="auto"/>
          <w:color w:val="auto"/>
        </w:rPr>
        <w:t>Section 5.9</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00" w:right="400" w:firstLine="653"/>
        <w:spacing w:after="0" w:line="251" w:lineRule="auto"/>
        <w:tabs>
          <w:tab w:leader="none" w:pos="1417"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implementation of the provisions relating to GasLog’s right to reset its Incentive Distribution Rights in exchange for Common Units;</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61" w:right="279" w:bottom="1440" w:gutter="0" w:footer="0" w:header="0"/>
        </w:sectPr>
      </w:pPr>
    </w:p>
    <w:bookmarkStart w:id="81" w:name="page82"/>
    <w:bookmarkEnd w:id="81"/>
    <w:p>
      <w:pPr>
        <w:ind w:left="1300" w:right="240" w:firstLine="653"/>
        <w:spacing w:after="0" w:line="238" w:lineRule="auto"/>
        <w:tabs>
          <w:tab w:leader="none" w:pos="2623" w:val="left"/>
        </w:tabs>
        <w:numPr>
          <w:ilvl w:val="1"/>
          <w:numId w:val="88"/>
        </w:numPr>
        <w:rPr>
          <w:rFonts w:ascii="Arial" w:cs="Arial" w:eastAsia="Arial" w:hAnsi="Arial"/>
          <w:sz w:val="22"/>
          <w:szCs w:val="22"/>
          <w:color w:val="auto"/>
        </w:rPr>
      </w:pPr>
      <w:r>
        <w:rPr>
          <w:rFonts w:ascii="Arial" w:cs="Arial" w:eastAsia="Arial" w:hAnsi="Arial"/>
          <w:sz w:val="22"/>
          <w:szCs w:val="22"/>
          <w:color w:val="auto"/>
        </w:rPr>
        <w:t xml:space="preserve">any modification of the Incentive Distribution Rights made in connection with the issuance of additional Partnership Interests or rights to acquire Partnership Interests,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this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any such modifications to the Incentive Distribution Rights and the related issuance of Partnership Interests have received Special Approval; or</w:t>
      </w:r>
    </w:p>
    <w:p>
      <w:pPr>
        <w:spacing w:after="0" w:line="185" w:lineRule="exact"/>
        <w:rPr>
          <w:rFonts w:ascii="Arial" w:cs="Arial" w:eastAsia="Arial" w:hAnsi="Arial"/>
          <w:sz w:val="22"/>
          <w:szCs w:val="22"/>
          <w:color w:val="auto"/>
        </w:rPr>
      </w:pPr>
    </w:p>
    <w:p>
      <w:pPr>
        <w:ind w:left="2620" w:hanging="667"/>
        <w:spacing w:after="0"/>
        <w:tabs>
          <w:tab w:leader="none" w:pos="2620" w:val="left"/>
        </w:tabs>
        <w:numPr>
          <w:ilvl w:val="1"/>
          <w:numId w:val="88"/>
        </w:numPr>
        <w:rPr>
          <w:rFonts w:ascii="Arial" w:cs="Arial" w:eastAsia="Arial" w:hAnsi="Arial"/>
          <w:sz w:val="19"/>
          <w:szCs w:val="19"/>
          <w:color w:val="auto"/>
        </w:rPr>
      </w:pPr>
      <w:r>
        <w:rPr>
          <w:rFonts w:ascii="Arial" w:cs="Arial" w:eastAsia="Arial" w:hAnsi="Arial"/>
          <w:sz w:val="19"/>
          <w:szCs w:val="19"/>
          <w:color w:val="auto"/>
        </w:rPr>
        <w:t>any amendment expressly permitted in this Agreement to be made by the Board of Directors acting</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alone;</w:t>
      </w:r>
    </w:p>
    <w:p>
      <w:pPr>
        <w:spacing w:after="0" w:line="188" w:lineRule="exact"/>
        <w:rPr>
          <w:rFonts w:ascii="Arial" w:cs="Arial" w:eastAsia="Arial" w:hAnsi="Arial"/>
          <w:sz w:val="19"/>
          <w:szCs w:val="19"/>
          <w:color w:val="auto"/>
        </w:rPr>
      </w:pPr>
    </w:p>
    <w:p>
      <w:pPr>
        <w:ind w:left="1960" w:hanging="655"/>
        <w:spacing w:after="0"/>
        <w:tabs>
          <w:tab w:leader="none" w:pos="19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approved in accordance with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660" w:right="200" w:firstLine="645"/>
        <w:spacing w:after="0" w:line="238" w:lineRule="auto"/>
        <w:tabs>
          <w:tab w:leader="none" w:pos="1971"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06"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i w:val="1"/>
          <w:iCs w:val="1"/>
          <w:color w:val="auto"/>
        </w:rPr>
        <w:t>Amendment Procedures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00" w:lineRule="exact"/>
        <w:rPr>
          <w:sz w:val="20"/>
          <w:szCs w:val="20"/>
          <w:color w:val="auto"/>
        </w:rPr>
      </w:pPr>
    </w:p>
    <w:p>
      <w:pPr>
        <w:spacing w:after="0" w:line="209"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 xml:space="preserve">Section 13.3. </w:t>
      </w:r>
      <w:r>
        <w:rPr>
          <w:rFonts w:ascii="Arial" w:cs="Arial" w:eastAsia="Arial" w:hAnsi="Arial"/>
          <w:sz w:val="19"/>
          <w:szCs w:val="19"/>
          <w:i w:val="1"/>
          <w:iCs w:val="1"/>
          <w:color w:val="auto"/>
        </w:rPr>
        <w:t>Amendment Requirements</w:t>
      </w:r>
      <w:r>
        <w:rPr>
          <w:rFonts w:ascii="Arial" w:cs="Arial" w:eastAsia="Arial" w:hAnsi="Arial"/>
          <w:sz w:val="19"/>
          <w:szCs w:val="19"/>
          <w:color w:val="auto"/>
        </w:rPr>
        <w:t xml:space="preserve">. (a) 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provision of this Agreement that establishes a percentage of Outstanding Units (including Units deemed owned by the General Partner and its Affiliates) required to take any action shall be amended, altered, changed, repealed or rescinded in any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2" w:name="page83"/>
    <w:bookmarkEnd w:id="82"/>
    <w:p>
      <w:pPr>
        <w:ind w:right="180"/>
        <w:spacing w:after="0" w:line="252" w:lineRule="auto"/>
        <w:rPr>
          <w:sz w:val="20"/>
          <w:szCs w:val="20"/>
          <w:color w:val="auto"/>
        </w:rPr>
      </w:pPr>
      <w:r>
        <w:rPr>
          <w:rFonts w:ascii="Arial" w:cs="Arial" w:eastAsia="Arial" w:hAnsi="Arial"/>
          <w:sz w:val="21"/>
          <w:szCs w:val="21"/>
          <w:color w:val="auto"/>
        </w:rPr>
        <w:t xml:space="preserve">respect that would have the effect of (i) in the case of any provision of this Agreement other than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reducing such percentage or (ii) in the case of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increasing such percentage, unless such amendment is approved by the written consent or the affirmative vote of holders of Outstanding Units whose aggregate Outstanding Units constitute not less than the voting requirement sought to be reduced.</w:t>
      </w:r>
    </w:p>
    <w:p>
      <w:pPr>
        <w:spacing w:after="0" w:line="174" w:lineRule="exact"/>
        <w:rPr>
          <w:sz w:val="20"/>
          <w:szCs w:val="20"/>
          <w:color w:val="auto"/>
        </w:rPr>
      </w:pPr>
    </w:p>
    <w:p>
      <w:pPr>
        <w:ind w:left="1960" w:hanging="655"/>
        <w:spacing w:after="0"/>
        <w:tabs>
          <w:tab w:leader="none" w:pos="19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amendment to this Agreement may</w:t>
      </w:r>
    </w:p>
    <w:p>
      <w:pPr>
        <w:spacing w:after="0" w:line="42" w:lineRule="exact"/>
        <w:rPr>
          <w:rFonts w:ascii="Arial" w:cs="Arial" w:eastAsia="Arial" w:hAnsi="Arial"/>
          <w:sz w:val="19"/>
          <w:szCs w:val="19"/>
          <w:color w:val="auto"/>
        </w:rPr>
      </w:pPr>
    </w:p>
    <w:p>
      <w:pPr>
        <w:ind w:firstLine="8"/>
        <w:spacing w:after="0" w:line="280" w:lineRule="auto"/>
        <w:tabs>
          <w:tab w:leader="none" w:pos="25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50" w:lineRule="exact"/>
        <w:rPr>
          <w:rFonts w:ascii="Arial" w:cs="Arial" w:eastAsia="Arial" w:hAnsi="Arial"/>
          <w:sz w:val="19"/>
          <w:szCs w:val="19"/>
          <w:color w:val="auto"/>
        </w:rPr>
      </w:pPr>
    </w:p>
    <w:p>
      <w:pPr>
        <w:ind w:right="20" w:firstLine="1305"/>
        <w:spacing w:after="0" w:line="274" w:lineRule="auto"/>
        <w:tabs>
          <w:tab w:leader="none" w:pos="1955"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17.5(c)(i)</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18.5(c)(i)</w:t>
      </w:r>
      <w:r>
        <w:rPr>
          <w:rFonts w:ascii="Arial" w:cs="Arial" w:eastAsia="Arial" w:hAnsi="Arial"/>
          <w:sz w:val="19"/>
          <w:szCs w:val="19"/>
          <w:color w:val="auto"/>
        </w:rPr>
        <w:t xml:space="preserve"> with respect to Series C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 it adversely affects one or more classes of Partnership Interests, as compared to other classes of Partnership Interests, in any material respect, such amendment shall only be required to be approved by the adversely affected class or classes.</w:t>
      </w:r>
    </w:p>
    <w:p>
      <w:pPr>
        <w:spacing w:after="0" w:line="158" w:lineRule="exact"/>
        <w:rPr>
          <w:rFonts w:ascii="Arial" w:cs="Arial" w:eastAsia="Arial" w:hAnsi="Arial"/>
          <w:sz w:val="19"/>
          <w:szCs w:val="19"/>
          <w:color w:val="auto"/>
        </w:rPr>
      </w:pPr>
    </w:p>
    <w:p>
      <w:pPr>
        <w:ind w:right="40" w:firstLine="1305"/>
        <w:spacing w:after="0" w:line="252" w:lineRule="auto"/>
        <w:tabs>
          <w:tab w:leader="none" w:pos="194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except for amendments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and except as otherwise provided by </w:t>
      </w:r>
      <w:r>
        <w:rPr>
          <w:rFonts w:ascii="Arial" w:cs="Arial" w:eastAsia="Arial" w:hAnsi="Arial"/>
          <w:sz w:val="21"/>
          <w:szCs w:val="21"/>
          <w:u w:val="single" w:color="auto"/>
          <w:color w:val="auto"/>
        </w:rPr>
        <w:t>Section 14.3(b)</w:t>
      </w:r>
      <w:r>
        <w:rPr>
          <w:rFonts w:ascii="Arial" w:cs="Arial" w:eastAsia="Arial" w:hAnsi="Arial"/>
          <w:sz w:val="21"/>
          <w:szCs w:val="21"/>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74" w:lineRule="exact"/>
        <w:rPr>
          <w:rFonts w:ascii="Arial" w:cs="Arial" w:eastAsia="Arial" w:hAnsi="Arial"/>
          <w:sz w:val="21"/>
          <w:szCs w:val="21"/>
          <w:color w:val="auto"/>
        </w:rPr>
      </w:pPr>
    </w:p>
    <w:p>
      <w:pPr>
        <w:ind w:right="80" w:firstLine="1305"/>
        <w:spacing w:after="0" w:line="251" w:lineRule="auto"/>
        <w:tabs>
          <w:tab w:leader="none" w:pos="1955"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173"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 xml:space="preserve">Section 13.4. </w:t>
      </w:r>
      <w:r>
        <w:rPr>
          <w:rFonts w:ascii="Arial" w:cs="Arial" w:eastAsia="Arial" w:hAnsi="Arial"/>
          <w:sz w:val="22"/>
          <w:szCs w:val="22"/>
          <w:i w:val="1"/>
          <w:iCs w:val="1"/>
          <w:color w:val="auto"/>
        </w:rPr>
        <w:t>Special Meetings</w:t>
      </w:r>
      <w:r>
        <w:rPr>
          <w:rFonts w:ascii="Arial" w:cs="Arial" w:eastAsia="Arial" w:hAnsi="Arial"/>
          <w:sz w:val="22"/>
          <w:szCs w:val="22"/>
          <w:color w:val="auto"/>
        </w:rPr>
        <w:t xml:space="preserve">. All acts of Limited Partners to be taken pursuant to this Agreement shall be taken in the manner provided in this </w:t>
      </w:r>
      <w:r>
        <w:rPr>
          <w:rFonts w:ascii="Arial" w:cs="Arial" w:eastAsia="Arial" w:hAnsi="Arial"/>
          <w:sz w:val="22"/>
          <w:szCs w:val="22"/>
          <w:u w:val="single" w:color="auto"/>
          <w:color w:val="auto"/>
        </w:rPr>
        <w:t>Article XIII</w:t>
      </w:r>
      <w:r>
        <w:rPr>
          <w:rFonts w:ascii="Arial" w:cs="Arial" w:eastAsia="Arial" w:hAnsi="Arial"/>
          <w:sz w:val="22"/>
          <w:szCs w:val="22"/>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3" w:name="page84"/>
    <w:bookmarkEnd w:id="83"/>
    <w:p>
      <w:pPr>
        <w:ind w:right="140"/>
        <w:spacing w:after="0" w:line="246" w:lineRule="auto"/>
        <w:rPr>
          <w:sz w:val="20"/>
          <w:szCs w:val="20"/>
          <w:color w:val="auto"/>
        </w:rPr>
      </w:pPr>
      <w:r>
        <w:rPr>
          <w:rFonts w:ascii="Arial" w:cs="Arial" w:eastAsia="Arial" w:hAnsi="Arial"/>
          <w:sz w:val="21"/>
          <w:szCs w:val="21"/>
          <w:color w:val="auto"/>
        </w:rPr>
        <w:t>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181"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i w:val="1"/>
          <w:iCs w:val="1"/>
          <w:color w:val="auto"/>
        </w:rPr>
        <w:t>Notice of a Meeting</w:t>
      </w:r>
      <w:r>
        <w:rPr>
          <w:rFonts w:ascii="Arial" w:cs="Arial" w:eastAsia="Arial" w:hAnsi="Arial"/>
          <w:sz w:val="21"/>
          <w:szCs w:val="21"/>
          <w:color w:val="auto"/>
        </w:rPr>
        <w:t xml:space="preserve">. Notice of a meeting called pursuant to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shall be given to the Record Holders of the class, classes or series of Units for which a meeting is proposed in writing by mail or other means of written communication in accordance with </w:t>
      </w:r>
      <w:r>
        <w:rPr>
          <w:rFonts w:ascii="Arial" w:cs="Arial" w:eastAsia="Arial" w:hAnsi="Arial"/>
          <w:sz w:val="21"/>
          <w:szCs w:val="21"/>
          <w:u w:val="single" w:color="auto"/>
          <w:color w:val="auto"/>
        </w:rPr>
        <w:t>Section 19.1</w:t>
      </w:r>
      <w:r>
        <w:rPr>
          <w:rFonts w:ascii="Arial" w:cs="Arial" w:eastAsia="Arial" w:hAnsi="Arial"/>
          <w:sz w:val="21"/>
          <w:szCs w:val="21"/>
          <w:color w:val="auto"/>
        </w:rPr>
        <w:t xml:space="preserve"> at least 10 days in advance of such meeting. The notice shall be deemed to have been given at the time when deposited in the mail or sent by other means of written communication.</w:t>
      </w:r>
    </w:p>
    <w:p>
      <w:pPr>
        <w:spacing w:after="0" w:line="174"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i w:val="1"/>
          <w:iCs w:val="1"/>
          <w:color w:val="auto"/>
        </w:rPr>
        <w:t>Record Date</w:t>
      </w:r>
      <w:r>
        <w:rPr>
          <w:rFonts w:ascii="Arial" w:cs="Arial" w:eastAsia="Arial" w:hAnsi="Arial"/>
          <w:sz w:val="19"/>
          <w:szCs w:val="19"/>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156"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188" w:lineRule="exact"/>
        <w:rPr>
          <w:sz w:val="20"/>
          <w:szCs w:val="20"/>
          <w:color w:val="auto"/>
        </w:rPr>
      </w:pPr>
    </w:p>
    <w:p>
      <w:pPr>
        <w:ind w:right="20" w:firstLine="1297"/>
        <w:spacing w:after="0" w:line="252" w:lineRule="auto"/>
        <w:rPr>
          <w:sz w:val="20"/>
          <w:szCs w:val="20"/>
          <w:color w:val="auto"/>
        </w:rPr>
      </w:pPr>
      <w:r>
        <w:rPr>
          <w:rFonts w:ascii="Arial" w:cs="Arial" w:eastAsia="Arial" w:hAnsi="Arial"/>
          <w:sz w:val="21"/>
          <w:szCs w:val="21"/>
          <w:color w:val="auto"/>
        </w:rPr>
        <w:t xml:space="preserve">Section 13.8. </w:t>
      </w:r>
      <w:r>
        <w:rPr>
          <w:rFonts w:ascii="Arial" w:cs="Arial" w:eastAsia="Arial" w:hAnsi="Arial"/>
          <w:sz w:val="21"/>
          <w:szCs w:val="21"/>
          <w:i w:val="1"/>
          <w:iCs w:val="1"/>
          <w:color w:val="auto"/>
        </w:rPr>
        <w:t>Waiver of Notice; Approval of Meeting; Approval of Minutes</w:t>
      </w:r>
      <w:r>
        <w:rPr>
          <w:rFonts w:ascii="Arial" w:cs="Arial" w:eastAsia="Arial" w:hAnsi="Arial"/>
          <w:sz w:val="21"/>
          <w:szCs w:val="21"/>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4" w:name="page85"/>
    <w:bookmarkEnd w:id="84"/>
    <w:p>
      <w:pPr>
        <w:ind w:right="260"/>
        <w:spacing w:after="0" w:line="238" w:lineRule="auto"/>
        <w:rPr>
          <w:sz w:val="20"/>
          <w:szCs w:val="20"/>
          <w:color w:val="auto"/>
        </w:rPr>
      </w:pPr>
      <w:r>
        <w:rPr>
          <w:rFonts w:ascii="Arial" w:cs="Arial" w:eastAsia="Arial" w:hAnsi="Arial"/>
          <w:sz w:val="22"/>
          <w:szCs w:val="22"/>
          <w:color w:val="auto"/>
        </w:rPr>
        <w:t>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5" w:lineRule="exact"/>
        <w:rPr>
          <w:sz w:val="20"/>
          <w:szCs w:val="20"/>
          <w:color w:val="auto"/>
        </w:rPr>
      </w:pPr>
    </w:p>
    <w:p>
      <w:pPr>
        <w:ind w:firstLine="1297"/>
        <w:spacing w:after="0" w:line="251" w:lineRule="auto"/>
        <w:rPr>
          <w:sz w:val="20"/>
          <w:szCs w:val="20"/>
          <w:color w:val="auto"/>
        </w:rPr>
      </w:pPr>
      <w:r>
        <w:rPr>
          <w:rFonts w:ascii="Arial" w:cs="Arial" w:eastAsia="Arial" w:hAnsi="Arial"/>
          <w:sz w:val="20"/>
          <w:szCs w:val="20"/>
          <w:color w:val="auto"/>
        </w:rPr>
        <w:t xml:space="preserve">Section 13.9. </w:t>
      </w:r>
      <w:r>
        <w:rPr>
          <w:rFonts w:ascii="Arial" w:cs="Arial" w:eastAsia="Arial" w:hAnsi="Arial"/>
          <w:sz w:val="20"/>
          <w:szCs w:val="20"/>
          <w:i w:val="1"/>
          <w:iCs w:val="1"/>
          <w:color w:val="auto"/>
        </w:rPr>
        <w:t>Quorum and Voting</w:t>
      </w:r>
      <w:r>
        <w:rPr>
          <w:rFonts w:ascii="Arial" w:cs="Arial" w:eastAsia="Arial" w:hAnsi="Arial"/>
          <w:sz w:val="20"/>
          <w:szCs w:val="20"/>
          <w:color w:val="auto"/>
        </w:rPr>
        <w:t>. The holders of 33</w:t>
      </w:r>
      <w:r>
        <w:rPr>
          <w:rFonts w:ascii="Arial" w:cs="Arial" w:eastAsia="Arial" w:hAnsi="Arial"/>
          <w:sz w:val="26"/>
          <w:szCs w:val="26"/>
          <w:color w:val="auto"/>
          <w:vertAlign w:val="superscript"/>
        </w:rPr>
        <w:t>1</w:t>
      </w:r>
      <w:r>
        <w:rPr>
          <w:rFonts w:ascii="Arial" w:cs="Arial" w:eastAsia="Arial" w:hAnsi="Arial"/>
          <w:sz w:val="20"/>
          <w:szCs w:val="20"/>
          <w:color w:val="auto"/>
        </w:rPr>
        <w:t>/</w:t>
      </w:r>
      <w:r>
        <w:rPr>
          <w:rFonts w:ascii="Arial" w:cs="Arial" w:eastAsia="Arial" w:hAnsi="Arial"/>
          <w:sz w:val="13"/>
          <w:szCs w:val="13"/>
          <w:color w:val="auto"/>
        </w:rPr>
        <w:t>3</w:t>
      </w:r>
      <w:r>
        <w:rPr>
          <w:rFonts w:ascii="Arial" w:cs="Arial" w:eastAsia="Arial" w:hAnsi="Arial"/>
          <w:sz w:val="20"/>
          <w:szCs w:val="20"/>
          <w:color w:val="auto"/>
        </w:rPr>
        <w:t xml:space="preserve">%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20"/>
          <w:szCs w:val="20"/>
          <w:u w:val="single" w:color="auto"/>
          <w:color w:val="auto"/>
        </w:rPr>
        <w:t>Section 13.7</w:t>
      </w:r>
      <w:r>
        <w:rPr>
          <w:rFonts w:ascii="Arial" w:cs="Arial" w:eastAsia="Arial" w:hAnsi="Arial"/>
          <w:sz w:val="20"/>
          <w:szCs w:val="20"/>
          <w:color w:val="auto"/>
        </w:rPr>
        <w:t>.</w:t>
      </w:r>
    </w:p>
    <w:p>
      <w:pPr>
        <w:spacing w:after="0" w:line="188" w:lineRule="exact"/>
        <w:rPr>
          <w:sz w:val="20"/>
          <w:szCs w:val="20"/>
          <w:color w:val="auto"/>
        </w:rPr>
      </w:pPr>
    </w:p>
    <w:p>
      <w:pPr>
        <w:ind w:right="80" w:firstLine="1297"/>
        <w:spacing w:after="0" w:line="244" w:lineRule="auto"/>
        <w:rPr>
          <w:sz w:val="20"/>
          <w:szCs w:val="20"/>
          <w:color w:val="auto"/>
        </w:rPr>
      </w:pPr>
      <w:r>
        <w:rPr>
          <w:rFonts w:ascii="Arial" w:cs="Arial" w:eastAsia="Arial" w:hAnsi="Arial"/>
          <w:sz w:val="21"/>
          <w:szCs w:val="21"/>
          <w:color w:val="auto"/>
        </w:rPr>
        <w:t xml:space="preserve">Section 13.10. </w:t>
      </w:r>
      <w:r>
        <w:rPr>
          <w:rFonts w:ascii="Arial" w:cs="Arial" w:eastAsia="Arial" w:hAnsi="Arial"/>
          <w:sz w:val="21"/>
          <w:szCs w:val="21"/>
          <w:i w:val="1"/>
          <w:iCs w:val="1"/>
          <w:color w:val="auto"/>
        </w:rPr>
        <w:t>Conduct of a Meeting</w:t>
      </w:r>
      <w:r>
        <w:rPr>
          <w:rFonts w:ascii="Arial" w:cs="Arial" w:eastAsia="Arial" w:hAnsi="Arial"/>
          <w:sz w:val="21"/>
          <w:szCs w:val="21"/>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21"/>
          <w:szCs w:val="21"/>
          <w:u w:val="single" w:color="auto"/>
          <w:color w:val="auto"/>
        </w:rPr>
        <w:t>Section 13.4</w:t>
      </w:r>
      <w:r>
        <w:rPr>
          <w:rFonts w:ascii="Arial" w:cs="Arial" w:eastAsia="Arial" w:hAnsi="Arial"/>
          <w:sz w:val="21"/>
          <w:szCs w:val="21"/>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90"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i w:val="1"/>
          <w:iCs w:val="1"/>
          <w:color w:val="auto"/>
        </w:rPr>
        <w:t>Action Without a Meeting</w:t>
      </w:r>
      <w:r>
        <w:rPr>
          <w:rFonts w:ascii="Arial" w:cs="Arial" w:eastAsia="Arial" w:hAnsi="Arial"/>
          <w:sz w:val="22"/>
          <w:szCs w:val="22"/>
          <w:color w:val="auto"/>
        </w:rPr>
        <w:t>. If authorized by the Board of Directors, any action that may be taken at a meeting of the Limited Partners may be taken without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5" w:name="page86"/>
    <w:bookmarkEnd w:id="85"/>
    <w:p>
      <w:pPr>
        <w:spacing w:after="0" w:line="270" w:lineRule="auto"/>
        <w:rPr>
          <w:sz w:val="20"/>
          <w:szCs w:val="20"/>
          <w:color w:val="auto"/>
        </w:rPr>
      </w:pPr>
      <w:r>
        <w:rPr>
          <w:rFonts w:ascii="Arial" w:cs="Arial" w:eastAsia="Arial" w:hAnsi="Arial"/>
          <w:sz w:val="19"/>
          <w:szCs w:val="19"/>
          <w:color w:val="auto"/>
        </w:rPr>
        <w:t>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200" w:lineRule="exact"/>
        <w:rPr>
          <w:sz w:val="20"/>
          <w:szCs w:val="20"/>
          <w:color w:val="auto"/>
        </w:rPr>
      </w:pPr>
    </w:p>
    <w:p>
      <w:pPr>
        <w:spacing w:after="0" w:line="213"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i w:val="1"/>
          <w:iCs w:val="1"/>
          <w:color w:val="auto"/>
        </w:rPr>
        <w:t>Right to Vote and Related Matters</w:t>
      </w:r>
      <w:r>
        <w:rPr>
          <w:rFonts w:ascii="Arial" w:cs="Arial" w:eastAsia="Arial" w:hAnsi="Arial"/>
          <w:sz w:val="19"/>
          <w:szCs w:val="19"/>
          <w:color w:val="auto"/>
        </w:rPr>
        <w:t xml:space="preserve">. (a) Only those Record Holders of the Units on the Record Date set pursuant to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48" w:lineRule="exact"/>
        <w:rPr>
          <w:sz w:val="20"/>
          <w:szCs w:val="20"/>
          <w:color w:val="auto"/>
        </w:rPr>
      </w:pPr>
    </w:p>
    <w:p>
      <w:pPr>
        <w:ind w:right="80" w:firstLine="1305"/>
        <w:spacing w:after="0" w:line="279" w:lineRule="auto"/>
        <w:tabs>
          <w:tab w:leader="none" w:pos="195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13.12(b)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MERGER, CONSOLIDATION OR CONVERSION</w:t>
      </w:r>
    </w:p>
    <w:p>
      <w:pPr>
        <w:spacing w:after="0" w:line="188"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i w:val="1"/>
          <w:iCs w:val="1"/>
          <w:color w:val="auto"/>
        </w:rPr>
        <w:t>Authority</w:t>
      </w:r>
      <w:r>
        <w:rPr>
          <w:rFonts w:ascii="Arial" w:cs="Arial" w:eastAsia="Arial" w:hAnsi="Arial"/>
          <w:sz w:val="22"/>
          <w:szCs w:val="22"/>
          <w:color w:val="auto"/>
        </w:rPr>
        <w:t>. The Partnership may merge or consolidate with or into one or more corporations, limited liability companies, statutory trusts or associations, real estate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ind w:right="20"/>
        <w:spacing w:after="0" w:line="297" w:lineRule="auto"/>
        <w:rPr>
          <w:sz w:val="20"/>
          <w:szCs w:val="20"/>
          <w:color w:val="auto"/>
        </w:rPr>
      </w:pPr>
      <w:r>
        <w:rPr>
          <w:rFonts w:ascii="Arial" w:cs="Arial" w:eastAsia="Arial" w:hAnsi="Arial"/>
          <w:sz w:val="19"/>
          <w:szCs w:val="19"/>
          <w:color w:val="auto"/>
        </w:rPr>
        <w:t>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19"/>
          <w:szCs w:val="19"/>
          <w:b w:val="1"/>
          <w:bCs w:val="1"/>
          <w:i w:val="1"/>
          <w:iCs w:val="1"/>
          <w:color w:val="auto"/>
        </w:rPr>
        <w:t>Merger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or a written plan of conversion (“</w:t>
      </w:r>
      <w:r>
        <w:rPr>
          <w:rFonts w:ascii="Arial" w:cs="Arial" w:eastAsia="Arial" w:hAnsi="Arial"/>
          <w:sz w:val="19"/>
          <w:szCs w:val="19"/>
          <w:b w:val="1"/>
          <w:bCs w:val="1"/>
          <w:i w:val="1"/>
          <w:iCs w:val="1"/>
          <w:color w:val="auto"/>
        </w:rPr>
        <w:t>Plan of Conversion</w:t>
      </w:r>
      <w:r>
        <w:rPr>
          <w:rFonts w:ascii="Arial" w:cs="Arial" w:eastAsia="Arial" w:hAnsi="Arial"/>
          <w:sz w:val="19"/>
          <w:szCs w:val="19"/>
          <w:color w:val="auto"/>
        </w:rPr>
        <w:t>”), as the case may be, in accordance with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XIV</w:t>
      </w:r>
      <w:r>
        <w:rPr>
          <w:rFonts w:ascii="Arial" w:cs="Arial" w:eastAsia="Arial" w:hAnsi="Arial"/>
          <w:sz w:val="19"/>
          <w:szCs w:val="19"/>
          <w:color w:val="auto"/>
        </w:rPr>
        <w:t>.</w:t>
      </w:r>
    </w:p>
    <w:p>
      <w:pPr>
        <w:spacing w:after="0" w:line="134" w:lineRule="exact"/>
        <w:rPr>
          <w:sz w:val="20"/>
          <w:szCs w:val="20"/>
          <w:color w:val="auto"/>
        </w:rPr>
      </w:pPr>
    </w:p>
    <w:p>
      <w:pPr>
        <w:ind w:right="60" w:firstLine="1297"/>
        <w:spacing w:after="0" w:line="246"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i w:val="1"/>
          <w:iCs w:val="1"/>
          <w:color w:val="auto"/>
        </w:rPr>
        <w:t>Procedure for Merger, Consolidation or Conversion</w:t>
      </w:r>
      <w:r>
        <w:rPr>
          <w:rFonts w:ascii="Arial" w:cs="Arial" w:eastAsia="Arial" w:hAnsi="Arial"/>
          <w:sz w:val="21"/>
          <w:szCs w:val="21"/>
          <w:color w:val="auto"/>
        </w:rPr>
        <w:t xml:space="preserve">. (a) Merger, consolidation or conversion of the Partnership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requires the approval of the Board of Directors and the prior consent of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181" w:lineRule="exact"/>
        <w:rPr>
          <w:sz w:val="20"/>
          <w:szCs w:val="20"/>
          <w:color w:val="auto"/>
        </w:rPr>
      </w:pPr>
    </w:p>
    <w:p>
      <w:pPr>
        <w:ind w:right="200" w:firstLine="1305"/>
        <w:spacing w:after="0" w:line="328" w:lineRule="auto"/>
        <w:tabs>
          <w:tab w:leader="none" w:pos="195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05" w:lineRule="exact"/>
        <w:rPr>
          <w:sz w:val="20"/>
          <w:szCs w:val="20"/>
          <w:color w:val="auto"/>
        </w:rPr>
      </w:pPr>
    </w:p>
    <w:p>
      <w:pPr>
        <w:ind w:left="1960" w:hanging="655"/>
        <w:spacing w:after="0"/>
        <w:tabs>
          <w:tab w:leader="none" w:pos="19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names and jurisdictions of formation or organization of each of the business entities proposing to merge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consolidate;</w:t>
      </w:r>
    </w:p>
    <w:p>
      <w:pPr>
        <w:spacing w:after="0" w:line="188" w:lineRule="exact"/>
        <w:rPr>
          <w:rFonts w:ascii="Arial" w:cs="Arial" w:eastAsia="Arial" w:hAnsi="Arial"/>
          <w:sz w:val="19"/>
          <w:szCs w:val="19"/>
          <w:color w:val="auto"/>
        </w:rPr>
      </w:pPr>
    </w:p>
    <w:p>
      <w:pPr>
        <w:ind w:left="660" w:right="220" w:firstLine="645"/>
        <w:spacing w:after="0" w:line="251" w:lineRule="auto"/>
        <w:tabs>
          <w:tab w:leader="none" w:pos="197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i w:val="1"/>
          <w:iCs w:val="1"/>
          <w:color w:val="auto"/>
        </w:rPr>
        <w:t>Surviving Business Entity</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06" w:lineRule="exact"/>
        <w:rPr>
          <w:rFonts w:ascii="Arial" w:cs="Arial" w:eastAsia="Arial" w:hAnsi="Arial"/>
          <w:sz w:val="22"/>
          <w:szCs w:val="22"/>
          <w:color w:val="auto"/>
        </w:rPr>
      </w:pPr>
    </w:p>
    <w:p>
      <w:pPr>
        <w:ind w:left="660" w:firstLine="645"/>
        <w:spacing w:after="0" w:line="244" w:lineRule="auto"/>
        <w:tabs>
          <w:tab w:leader="none" w:pos="1971"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7" w:name="page88"/>
    <w:bookmarkEnd w:id="87"/>
    <w:p>
      <w:pPr>
        <w:ind w:left="620" w:right="60" w:firstLine="645"/>
        <w:spacing w:after="0" w:line="238" w:lineRule="auto"/>
        <w:tabs>
          <w:tab w:leader="none" w:pos="1925"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5" w:lineRule="exact"/>
        <w:rPr>
          <w:rFonts w:ascii="Arial" w:cs="Arial" w:eastAsia="Arial" w:hAnsi="Arial"/>
          <w:sz w:val="22"/>
          <w:szCs w:val="22"/>
          <w:color w:val="auto"/>
        </w:rPr>
      </w:pPr>
    </w:p>
    <w:p>
      <w:pPr>
        <w:ind w:left="620" w:right="160" w:firstLine="645"/>
        <w:spacing w:after="0" w:line="287" w:lineRule="auto"/>
        <w:tabs>
          <w:tab w:leader="none" w:pos="1931"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43" w:lineRule="exact"/>
        <w:rPr>
          <w:rFonts w:ascii="Arial" w:cs="Arial" w:eastAsia="Arial" w:hAnsi="Arial"/>
          <w:sz w:val="19"/>
          <w:szCs w:val="19"/>
          <w:color w:val="auto"/>
        </w:rPr>
      </w:pPr>
    </w:p>
    <w:p>
      <w:pPr>
        <w:ind w:left="620" w:right="240" w:firstLine="645"/>
        <w:spacing w:after="0" w:line="251" w:lineRule="auto"/>
        <w:tabs>
          <w:tab w:leader="none" w:pos="1937" w:val="left"/>
        </w:tabs>
        <w:numPr>
          <w:ilvl w:val="0"/>
          <w:numId w:val="95"/>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173" w:lineRule="exact"/>
        <w:rPr>
          <w:sz w:val="20"/>
          <w:szCs w:val="20"/>
          <w:color w:val="auto"/>
        </w:rPr>
      </w:pPr>
    </w:p>
    <w:p>
      <w:pPr>
        <w:ind w:left="-40" w:right="200" w:firstLine="1305"/>
        <w:spacing w:after="0" w:line="251" w:lineRule="auto"/>
        <w:tabs>
          <w:tab w:leader="none" w:pos="1915"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the Board of Directors and the General Partner shall determine to consent to the conversion the Board of Directors and the General Partner shall approve the Plan of Conversion, which shall set forth:</w:t>
      </w:r>
    </w:p>
    <w:p>
      <w:pPr>
        <w:spacing w:after="0" w:line="173" w:lineRule="exact"/>
        <w:rPr>
          <w:sz w:val="20"/>
          <w:szCs w:val="20"/>
          <w:color w:val="auto"/>
        </w:rPr>
      </w:pPr>
    </w:p>
    <w:p>
      <w:pPr>
        <w:ind w:left="1920" w:hanging="655"/>
        <w:spacing w:after="0"/>
        <w:tabs>
          <w:tab w:leader="none" w:pos="1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w:t>
      </w:r>
    </w:p>
    <w:p>
      <w:pPr>
        <w:spacing w:after="0" w:line="206" w:lineRule="exact"/>
        <w:rPr>
          <w:rFonts w:ascii="Arial" w:cs="Arial" w:eastAsia="Arial" w:hAnsi="Arial"/>
          <w:sz w:val="22"/>
          <w:szCs w:val="22"/>
          <w:color w:val="auto"/>
        </w:rPr>
      </w:pPr>
    </w:p>
    <w:p>
      <w:pPr>
        <w:ind w:left="1940" w:hanging="675"/>
        <w:spacing w:after="0"/>
        <w:tabs>
          <w:tab w:leader="none" w:pos="1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 entity;</w:t>
      </w:r>
    </w:p>
    <w:p>
      <w:pPr>
        <w:spacing w:after="0" w:line="240" w:lineRule="exact"/>
        <w:rPr>
          <w:rFonts w:ascii="Arial" w:cs="Arial" w:eastAsia="Arial" w:hAnsi="Arial"/>
          <w:sz w:val="19"/>
          <w:szCs w:val="19"/>
          <w:color w:val="auto"/>
        </w:rPr>
      </w:pPr>
    </w:p>
    <w:p>
      <w:pPr>
        <w:ind w:left="620" w:firstLine="645"/>
        <w:spacing w:after="0" w:line="251" w:lineRule="auto"/>
        <w:tabs>
          <w:tab w:leader="none" w:pos="1943"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173" w:lineRule="exact"/>
        <w:rPr>
          <w:rFonts w:ascii="Arial" w:cs="Arial" w:eastAsia="Arial" w:hAnsi="Arial"/>
          <w:sz w:val="22"/>
          <w:szCs w:val="22"/>
          <w:color w:val="auto"/>
        </w:rPr>
      </w:pPr>
    </w:p>
    <w:p>
      <w:pPr>
        <w:jc w:val="both"/>
        <w:ind w:left="620" w:right="320" w:firstLine="645"/>
        <w:spacing w:after="0"/>
        <w:tabs>
          <w:tab w:leader="none" w:pos="193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86" w:lineRule="exact"/>
        <w:rPr>
          <w:rFonts w:ascii="Arial" w:cs="Arial" w:eastAsia="Arial" w:hAnsi="Arial"/>
          <w:sz w:val="22"/>
          <w:szCs w:val="22"/>
          <w:color w:val="auto"/>
        </w:rPr>
      </w:pPr>
    </w:p>
    <w:p>
      <w:pPr>
        <w:ind w:left="1920" w:hanging="655"/>
        <w:spacing w:after="0"/>
        <w:tabs>
          <w:tab w:leader="none" w:pos="1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06" w:lineRule="exact"/>
        <w:rPr>
          <w:rFonts w:ascii="Arial" w:cs="Arial" w:eastAsia="Arial" w:hAnsi="Arial"/>
          <w:sz w:val="22"/>
          <w:szCs w:val="22"/>
          <w:color w:val="auto"/>
        </w:rPr>
      </w:pPr>
    </w:p>
    <w:p>
      <w:pPr>
        <w:ind w:left="620" w:right="820" w:firstLine="645"/>
        <w:spacing w:after="0" w:line="251" w:lineRule="auto"/>
        <w:tabs>
          <w:tab w:leader="none" w:pos="1931"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173" w:lineRule="exact"/>
        <w:rPr>
          <w:rFonts w:ascii="Arial" w:cs="Arial" w:eastAsia="Arial" w:hAnsi="Arial"/>
          <w:sz w:val="22"/>
          <w:szCs w:val="22"/>
          <w:color w:val="auto"/>
        </w:rPr>
      </w:pPr>
    </w:p>
    <w:p>
      <w:pPr>
        <w:ind w:left="620" w:firstLine="645"/>
        <w:spacing w:after="0" w:line="238" w:lineRule="auto"/>
        <w:tabs>
          <w:tab w:leader="none" w:pos="1937"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2"/>
          <w:szCs w:val="22"/>
          <w:i w:val="1"/>
          <w:iCs w:val="1"/>
          <w:color w:val="auto"/>
        </w:rPr>
        <w:t>provided</w:t>
      </w:r>
      <w:r>
        <w:rPr>
          <w:rFonts w:ascii="Arial" w:cs="Arial" w:eastAsia="Arial" w:hAnsi="Arial"/>
          <w:sz w:val="22"/>
          <w:szCs w:val="22"/>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4" w:right="259" w:bottom="1440" w:gutter="0" w:footer="0" w:header="0"/>
        </w:sectPr>
      </w:pPr>
    </w:p>
    <w:bookmarkStart w:id="88" w:name="page89"/>
    <w:bookmarkEnd w:id="88"/>
    <w:p>
      <w:pPr>
        <w:ind w:left="660" w:firstLine="645"/>
        <w:spacing w:after="0" w:line="251" w:lineRule="auto"/>
        <w:tabs>
          <w:tab w:leader="none" w:pos="1983"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173" w:lineRule="exact"/>
        <w:rPr>
          <w:sz w:val="20"/>
          <w:szCs w:val="20"/>
          <w:color w:val="auto"/>
        </w:rPr>
      </w:pPr>
    </w:p>
    <w:p>
      <w:pPr>
        <w:ind w:right="300" w:firstLine="1297"/>
        <w:spacing w:after="0" w:line="247" w:lineRule="auto"/>
        <w:rPr>
          <w:sz w:val="20"/>
          <w:szCs w:val="20"/>
          <w:color w:val="auto"/>
        </w:rPr>
      </w:pPr>
      <w:r>
        <w:rPr>
          <w:rFonts w:ascii="Arial" w:cs="Arial" w:eastAsia="Arial" w:hAnsi="Arial"/>
          <w:sz w:val="21"/>
          <w:szCs w:val="21"/>
          <w:color w:val="auto"/>
        </w:rPr>
        <w:t xml:space="preserve">Section 14.3. </w:t>
      </w:r>
      <w:r>
        <w:rPr>
          <w:rFonts w:ascii="Arial" w:cs="Arial" w:eastAsia="Arial" w:hAnsi="Arial"/>
          <w:sz w:val="21"/>
          <w:szCs w:val="21"/>
          <w:i w:val="1"/>
          <w:iCs w:val="1"/>
          <w:color w:val="auto"/>
        </w:rPr>
        <w:t>Approval by Limited Partners of Merger, Consolidation or Conversion</w:t>
      </w:r>
      <w:r>
        <w:rPr>
          <w:rFonts w:ascii="Arial" w:cs="Arial" w:eastAsia="Arial" w:hAnsi="Arial"/>
          <w:sz w:val="21"/>
          <w:szCs w:val="21"/>
          <w:color w:val="auto"/>
        </w:rPr>
        <w:t xml:space="preserve">. (a) 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1"/>
          <w:szCs w:val="21"/>
          <w:u w:val="single" w:color="auto"/>
          <w:color w:val="auto"/>
        </w:rPr>
        <w:t>Article XIII</w:t>
      </w:r>
      <w:r>
        <w:rPr>
          <w:rFonts w:ascii="Arial" w:cs="Arial" w:eastAsia="Arial" w:hAnsi="Arial"/>
          <w:sz w:val="21"/>
          <w:szCs w:val="21"/>
          <w:color w:val="auto"/>
        </w:rPr>
        <w:t>. A copy or a summary of the Merger Agreement or the Plan of Conversion, as the case may be, shall be included in or enclosed with the notice of a special meeting or the written consent.</w:t>
      </w:r>
    </w:p>
    <w:p>
      <w:pPr>
        <w:spacing w:after="0" w:line="178" w:lineRule="exact"/>
        <w:rPr>
          <w:sz w:val="20"/>
          <w:szCs w:val="20"/>
          <w:color w:val="auto"/>
        </w:rPr>
      </w:pPr>
    </w:p>
    <w:p>
      <w:pPr>
        <w:ind w:right="100" w:firstLine="1305"/>
        <w:spacing w:after="0" w:line="274" w:lineRule="auto"/>
        <w:tabs>
          <w:tab w:leader="none" w:pos="1954"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the Merger Agreement or Plan of Conversion, as the case may be, shall be approved upon receiving the affirmative vote or consent of the holders of a Unit Majority.</w:t>
      </w:r>
    </w:p>
    <w:p>
      <w:pPr>
        <w:spacing w:after="0" w:line="150" w:lineRule="exact"/>
        <w:rPr>
          <w:rFonts w:ascii="Arial" w:cs="Arial" w:eastAsia="Arial" w:hAnsi="Arial"/>
          <w:sz w:val="21"/>
          <w:szCs w:val="21"/>
          <w:color w:val="auto"/>
        </w:rPr>
      </w:pPr>
    </w:p>
    <w:p>
      <w:pPr>
        <w:jc w:val="both"/>
        <w:ind w:right="40" w:firstLine="1305"/>
        <w:spacing w:after="0" w:line="238" w:lineRule="auto"/>
        <w:tabs>
          <w:tab w:leader="none" w:pos="1955"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185" w:lineRule="exact"/>
        <w:rPr>
          <w:rFonts w:ascii="Arial" w:cs="Arial" w:eastAsia="Arial" w:hAnsi="Arial"/>
          <w:sz w:val="22"/>
          <w:szCs w:val="22"/>
          <w:color w:val="auto"/>
        </w:rPr>
      </w:pPr>
    </w:p>
    <w:p>
      <w:pPr>
        <w:ind w:right="60" w:firstLine="1305"/>
        <w:spacing w:after="0" w:line="274" w:lineRule="auto"/>
        <w:tabs>
          <w:tab w:leader="none" w:pos="1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85" w:lineRule="exact"/>
        <w:rPr>
          <w:rFonts w:ascii="Arial" w:cs="Arial" w:eastAsia="Arial" w:hAnsi="Arial"/>
          <w:sz w:val="19"/>
          <w:szCs w:val="19"/>
          <w:color w:val="auto"/>
        </w:rPr>
      </w:pPr>
    </w:p>
    <w:p>
      <w:pPr>
        <w:ind w:right="60" w:firstLine="1305"/>
        <w:spacing w:after="0" w:line="275" w:lineRule="auto"/>
        <w:tabs>
          <w:tab w:leader="none" w:pos="195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Additionally, 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9" w:name="page90"/>
    <w:bookmarkEnd w:id="89"/>
    <w:p>
      <w:pPr>
        <w:ind w:right="160"/>
        <w:spacing w:after="0" w:line="251" w:lineRule="auto"/>
        <w:rPr>
          <w:sz w:val="20"/>
          <w:szCs w:val="20"/>
          <w:color w:val="auto"/>
        </w:rPr>
      </w:pPr>
      <w:r>
        <w:rPr>
          <w:rFonts w:ascii="Arial" w:cs="Arial" w:eastAsia="Arial" w:hAnsi="Arial"/>
          <w:sz w:val="22"/>
          <w:szCs w:val="22"/>
          <w:color w:val="auto"/>
        </w:rPr>
        <w:t>consolidation does not exceed 20% of the Partnership Interests Outstanding immediately prior to the effective date of such merger or consolidation.</w:t>
      </w:r>
    </w:p>
    <w:p>
      <w:pPr>
        <w:spacing w:after="0" w:line="173" w:lineRule="exact"/>
        <w:rPr>
          <w:sz w:val="20"/>
          <w:szCs w:val="20"/>
          <w:color w:val="auto"/>
        </w:rPr>
      </w:pPr>
    </w:p>
    <w:p>
      <w:pPr>
        <w:ind w:right="280" w:firstLine="1297"/>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34" w:lineRule="exact"/>
        <w:rPr>
          <w:sz w:val="20"/>
          <w:szCs w:val="20"/>
          <w:color w:val="auto"/>
        </w:rPr>
      </w:pPr>
    </w:p>
    <w:p>
      <w:pPr>
        <w:ind w:right="180" w:firstLine="1297"/>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i w:val="1"/>
          <w:iCs w:val="1"/>
          <w:color w:val="auto"/>
        </w:rPr>
        <w:t>Effect of Merger, Consolidation or Conversion</w:t>
      </w:r>
      <w:r>
        <w:rPr>
          <w:rFonts w:ascii="Arial" w:cs="Arial" w:eastAsia="Arial" w:hAnsi="Arial"/>
          <w:sz w:val="19"/>
          <w:szCs w:val="19"/>
          <w:color w:val="auto"/>
        </w:rPr>
        <w:t>. (a) At the effective time of the certificate of merger:</w:t>
      </w:r>
    </w:p>
    <w:p>
      <w:pPr>
        <w:spacing w:after="0" w:line="241" w:lineRule="exact"/>
        <w:rPr>
          <w:sz w:val="20"/>
          <w:szCs w:val="20"/>
          <w:color w:val="auto"/>
        </w:rPr>
      </w:pPr>
    </w:p>
    <w:p>
      <w:pPr>
        <w:ind w:left="660" w:right="180" w:firstLine="645"/>
        <w:spacing w:after="0" w:line="236" w:lineRule="auto"/>
        <w:tabs>
          <w:tab w:leader="none" w:pos="197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7" w:lineRule="exact"/>
        <w:rPr>
          <w:rFonts w:ascii="Arial" w:cs="Arial" w:eastAsia="Arial" w:hAnsi="Arial"/>
          <w:sz w:val="22"/>
          <w:szCs w:val="22"/>
          <w:color w:val="auto"/>
        </w:rPr>
      </w:pPr>
    </w:p>
    <w:p>
      <w:pPr>
        <w:ind w:left="660" w:right="320" w:firstLine="645"/>
        <w:spacing w:after="0" w:line="251" w:lineRule="auto"/>
        <w:tabs>
          <w:tab w:leader="none" w:pos="19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Arial" w:cs="Arial" w:eastAsia="Arial" w:hAnsi="Arial"/>
          <w:sz w:val="22"/>
          <w:szCs w:val="22"/>
          <w:color w:val="auto"/>
        </w:rPr>
      </w:pPr>
    </w:p>
    <w:p>
      <w:pPr>
        <w:ind w:left="660" w:right="380" w:firstLine="645"/>
        <w:spacing w:after="0" w:line="251" w:lineRule="auto"/>
        <w:tabs>
          <w:tab w:leader="none" w:pos="198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173" w:lineRule="exact"/>
        <w:rPr>
          <w:rFonts w:ascii="Arial" w:cs="Arial" w:eastAsia="Arial" w:hAnsi="Arial"/>
          <w:sz w:val="22"/>
          <w:szCs w:val="22"/>
          <w:color w:val="auto"/>
        </w:rPr>
      </w:pPr>
    </w:p>
    <w:p>
      <w:pPr>
        <w:ind w:left="660" w:right="20" w:firstLine="645"/>
        <w:spacing w:after="0"/>
        <w:tabs>
          <w:tab w:leader="none" w:pos="197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86"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At the effective time of the certificate of conversion, for all purposes of the laws of the Marshall Islands:</w:t>
      </w:r>
    </w:p>
    <w:p>
      <w:pPr>
        <w:spacing w:after="0" w:line="241" w:lineRule="exact"/>
        <w:rPr>
          <w:sz w:val="20"/>
          <w:szCs w:val="20"/>
          <w:color w:val="auto"/>
        </w:rPr>
      </w:pPr>
    </w:p>
    <w:p>
      <w:pPr>
        <w:ind w:left="660" w:right="220" w:firstLine="645"/>
        <w:spacing w:after="0" w:line="251" w:lineRule="auto"/>
        <w:tabs>
          <w:tab w:leader="none" w:pos="197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173" w:lineRule="exact"/>
        <w:rPr>
          <w:rFonts w:ascii="Arial" w:cs="Arial" w:eastAsia="Arial" w:hAnsi="Arial"/>
          <w:sz w:val="22"/>
          <w:szCs w:val="22"/>
          <w:color w:val="auto"/>
        </w:rPr>
      </w:pPr>
    </w:p>
    <w:p>
      <w:pPr>
        <w:ind w:left="660" w:firstLine="645"/>
        <w:spacing w:after="0" w:line="297" w:lineRule="auto"/>
        <w:tabs>
          <w:tab w:leader="none" w:pos="197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0" w:name="page91"/>
    <w:bookmarkEnd w:id="90"/>
    <w:p>
      <w:pPr>
        <w:ind w:left="660" w:right="840" w:firstLine="645"/>
        <w:spacing w:after="0" w:line="328" w:lineRule="auto"/>
        <w:tabs>
          <w:tab w:leader="none" w:pos="198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liabilities and obligations of the Partnership shall continue to be liabilities and obligations of the converted entity in its new organizational form without impairment or diminution by reason of the conversion;</w:t>
      </w:r>
    </w:p>
    <w:p>
      <w:pPr>
        <w:spacing w:after="0" w:line="105" w:lineRule="exact"/>
        <w:rPr>
          <w:rFonts w:ascii="Arial" w:cs="Arial" w:eastAsia="Arial" w:hAnsi="Arial"/>
          <w:sz w:val="19"/>
          <w:szCs w:val="19"/>
          <w:color w:val="auto"/>
        </w:rPr>
      </w:pPr>
    </w:p>
    <w:p>
      <w:pPr>
        <w:ind w:left="660" w:right="20" w:firstLine="645"/>
        <w:spacing w:after="0" w:line="287" w:lineRule="auto"/>
        <w:tabs>
          <w:tab w:leader="none" w:pos="197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143" w:lineRule="exact"/>
        <w:rPr>
          <w:rFonts w:ascii="Arial" w:cs="Arial" w:eastAsia="Arial" w:hAnsi="Arial"/>
          <w:sz w:val="19"/>
          <w:szCs w:val="19"/>
          <w:color w:val="auto"/>
        </w:rPr>
      </w:pPr>
    </w:p>
    <w:p>
      <w:pPr>
        <w:ind w:left="660" w:firstLine="645"/>
        <w:spacing w:after="0"/>
        <w:tabs>
          <w:tab w:leader="none" w:pos="196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 TO ACQUIRE LIMITED PARTNER INTERESTS</w:t>
      </w:r>
    </w:p>
    <w:p>
      <w:pPr>
        <w:spacing w:after="0" w:line="188"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 xml:space="preserve">Section 15.1. </w:t>
      </w:r>
      <w:r>
        <w:rPr>
          <w:rFonts w:ascii="Arial" w:cs="Arial" w:eastAsia="Arial" w:hAnsi="Arial"/>
          <w:sz w:val="19"/>
          <w:szCs w:val="19"/>
          <w:i w:val="1"/>
          <w:iCs w:val="1"/>
          <w:color w:val="auto"/>
        </w:rPr>
        <w:t>Right to Acquire Limited Partner Interests</w:t>
      </w:r>
      <w:r>
        <w:rPr>
          <w:rFonts w:ascii="Arial" w:cs="Arial" w:eastAsia="Arial" w:hAnsi="Arial"/>
          <w:sz w:val="19"/>
          <w:szCs w:val="19"/>
          <w:color w:val="auto"/>
        </w:rPr>
        <w:t xml:space="preserve">. (a) Notwithstanding any other provision of this Agreement, if at any time from and after the Closing Date the General Partner and its Affiliates hold more than 80% of the total Limited Partner Interests of any class or series then Outstanding, except for the Series A Preference Units, the Series B Preference Units and the Series C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 (x) the Current Market Price as of the date three days prior to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and (y) the highest price paid by the General Partner or any of its Affiliates for any such Limited Partner Interest of such class or series purchased during the 90-day period preceding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Notwithstanding the foregoing, the repurchase right described in this </w:t>
      </w:r>
      <w:r>
        <w:rPr>
          <w:rFonts w:ascii="Arial" w:cs="Arial" w:eastAsia="Arial" w:hAnsi="Arial"/>
          <w:sz w:val="19"/>
          <w:szCs w:val="19"/>
          <w:u w:val="single" w:color="auto"/>
          <w:color w:val="auto"/>
        </w:rPr>
        <w:t>Article XV</w:t>
      </w:r>
      <w:r>
        <w:rPr>
          <w:rFonts w:ascii="Arial" w:cs="Arial" w:eastAsia="Arial" w:hAnsi="Arial"/>
          <w:sz w:val="19"/>
          <w:szCs w:val="19"/>
          <w:color w:val="auto"/>
        </w:rPr>
        <w:t xml:space="preserve"> shall not apply to Preference Units.</w:t>
      </w:r>
    </w:p>
    <w:p>
      <w:pPr>
        <w:spacing w:after="0" w:line="162" w:lineRule="exact"/>
        <w:rPr>
          <w:sz w:val="20"/>
          <w:szCs w:val="20"/>
          <w:color w:val="auto"/>
        </w:rPr>
      </w:pPr>
    </w:p>
    <w:p>
      <w:pPr>
        <w:ind w:right="120" w:firstLine="1305"/>
        <w:spacing w:after="0" w:line="273" w:lineRule="auto"/>
        <w:tabs>
          <w:tab w:leader="none" w:pos="195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19"/>
          <w:szCs w:val="19"/>
          <w:u w:val="single" w:color="auto"/>
          <w:color w:val="auto"/>
        </w:rPr>
        <w:t>Section 15.1(a)</w:t>
      </w:r>
      <w:r>
        <w:rPr>
          <w:rFonts w:ascii="Arial" w:cs="Arial" w:eastAsia="Arial" w:hAnsi="Arial"/>
          <w:sz w:val="19"/>
          <w:szCs w:val="19"/>
          <w:color w:val="auto"/>
        </w:rPr>
        <w:t>, the General Partner shall deliver to the Transfer Agent notice of such election to purchase (the “</w:t>
      </w:r>
      <w:r>
        <w:rPr>
          <w:rFonts w:ascii="Arial" w:cs="Arial" w:eastAsia="Arial" w:hAnsi="Arial"/>
          <w:sz w:val="19"/>
          <w:szCs w:val="19"/>
          <w:b w:val="1"/>
          <w:bCs w:val="1"/>
          <w:i w:val="1"/>
          <w:iCs w:val="1"/>
          <w:color w:val="auto"/>
        </w:rPr>
        <w:t>Notice of Election to Purchase</w:t>
      </w:r>
      <w:r>
        <w:rPr>
          <w:rFonts w:ascii="Arial" w:cs="Arial" w:eastAsia="Arial" w:hAnsi="Arial"/>
          <w:sz w:val="19"/>
          <w:szCs w:val="19"/>
          <w:color w:val="auto"/>
        </w:rPr>
        <w:t xml:space="preserve">”) and shall cause the Transfer Agent to mail a copy of such Notice of Election to Purchase to the Record Holders of Limited Partner 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at which Limited Partner Interests will be purchased and state that the General Partner, its Affiliate or the Partnership, as the case may be, elects to purchase such Limited Partner Interests, upon surrender of Certificates representing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9"/>
          <w:szCs w:val="19"/>
          <w:color w:val="auto"/>
        </w:rPr>
        <w:t xml:space="preserve">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9"/>
          <w:szCs w:val="19"/>
          <w:u w:val="single" w:color="auto"/>
          <w:color w:val="auto"/>
        </w:rPr>
        <w:t>Articles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shall thereupon cease, except the right to receive the applicable purchase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167" w:lineRule="exact"/>
        <w:rPr>
          <w:sz w:val="20"/>
          <w:szCs w:val="20"/>
          <w:color w:val="auto"/>
        </w:rPr>
      </w:pPr>
    </w:p>
    <w:p>
      <w:pPr>
        <w:ind w:right="120" w:firstLine="1305"/>
        <w:spacing w:after="0" w:line="297" w:lineRule="auto"/>
        <w:tabs>
          <w:tab w:leader="none" w:pos="195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At any time from and after the Purchase Date, a holder of an Outstanding Limited Partner Interest subject to purchase as provided in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may surrender his Certificate evidencing such Limited Partner Interest to the Transfer Agent in exchange for payment of the amount described in </w:t>
      </w:r>
      <w:r>
        <w:rPr>
          <w:rFonts w:ascii="Arial" w:cs="Arial" w:eastAsia="Arial" w:hAnsi="Arial"/>
          <w:sz w:val="19"/>
          <w:szCs w:val="19"/>
          <w:u w:val="single" w:color="auto"/>
          <w:color w:val="auto"/>
        </w:rPr>
        <w:t>Section 15.1(a)</w:t>
      </w:r>
      <w:r>
        <w:rPr>
          <w:rFonts w:ascii="Arial" w:cs="Arial" w:eastAsia="Arial" w:hAnsi="Arial"/>
          <w:sz w:val="19"/>
          <w:szCs w:val="19"/>
          <w:color w:val="auto"/>
        </w:rPr>
        <w:t>, without interest thereon.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A CUMULATIVE REDEEMABLE PERPETUAL FIXED TO FLOATING RATE PREFERENCE UNITS</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2" w:name="page93"/>
    <w:bookmarkEnd w:id="92"/>
    <w:p>
      <w:pPr>
        <w:ind w:left="1260"/>
        <w:spacing w:after="0"/>
        <w:rPr>
          <w:sz w:val="20"/>
          <w:szCs w:val="20"/>
          <w:color w:val="auto"/>
        </w:rPr>
      </w:pPr>
      <w:r>
        <w:rPr>
          <w:rFonts w:ascii="Arial" w:cs="Arial" w:eastAsia="Arial" w:hAnsi="Arial"/>
          <w:sz w:val="22"/>
          <w:szCs w:val="22"/>
          <w:color w:val="auto"/>
        </w:rPr>
        <w:t xml:space="preserve">Section 16.2.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left="-40" w:right="200" w:firstLine="1305"/>
        <w:spacing w:after="0" w:line="251" w:lineRule="auto"/>
        <w:tabs>
          <w:tab w:leader="none" w:pos="191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left="-40" w:firstLine="1305"/>
        <w:spacing w:after="0" w:line="234" w:lineRule="auto"/>
        <w:tabs>
          <w:tab w:leader="none" w:pos="19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Series A Preference Units shall be represented by a single Certificate registered in the name of the Depository or its nominee, and no Series A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A Holders shall be made by making payments to, and communicating with, the Depository.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 xml:space="preserve">Section 16.3.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left="-40" w:right="140" w:firstLine="1305"/>
        <w:spacing w:after="0" w:line="270" w:lineRule="auto"/>
        <w:tabs>
          <w:tab w:leader="none" w:pos="191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19"/>
          <w:szCs w:val="19"/>
          <w:u w:val="single" w:color="auto"/>
          <w:color w:val="auto"/>
        </w:rPr>
        <w:t>Section 16.6</w:t>
      </w:r>
      <w:r>
        <w:rPr>
          <w:rFonts w:ascii="Arial" w:cs="Arial" w:eastAsia="Arial" w:hAnsi="Arial"/>
          <w:sz w:val="19"/>
          <w:szCs w:val="19"/>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9"/>
          <w:szCs w:val="19"/>
          <w:u w:val="single" w:color="auto"/>
          <w:color w:val="auto"/>
        </w:rPr>
        <w:t>Section 16.3</w:t>
      </w:r>
      <w:r>
        <w:rPr>
          <w:rFonts w:ascii="Arial" w:cs="Arial" w:eastAsia="Arial" w:hAnsi="Arial"/>
          <w:sz w:val="19"/>
          <w:szCs w:val="19"/>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62" w:lineRule="exact"/>
        <w:rPr>
          <w:rFonts w:ascii="Arial" w:cs="Arial" w:eastAsia="Arial" w:hAnsi="Arial"/>
          <w:sz w:val="19"/>
          <w:szCs w:val="19"/>
          <w:color w:val="auto"/>
        </w:rPr>
      </w:pPr>
    </w:p>
    <w:p>
      <w:pPr>
        <w:jc w:val="both"/>
        <w:ind w:left="-40" w:right="440" w:firstLine="1305"/>
        <w:spacing w:after="0"/>
        <w:tabs>
          <w:tab w:leader="none" w:pos="191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4" w:right="279" w:bottom="1440" w:gutter="0" w:footer="0" w:header="0"/>
        </w:sectPr>
      </w:pPr>
    </w:p>
    <w:bookmarkStart w:id="93" w:name="page94"/>
    <w:bookmarkEnd w:id="93"/>
    <w:p>
      <w:pPr>
        <w:ind w:right="240"/>
        <w:spacing w:after="0" w:line="328" w:lineRule="auto"/>
        <w:rPr>
          <w:sz w:val="20"/>
          <w:szCs w:val="20"/>
          <w:color w:val="auto"/>
        </w:rPr>
      </w:pPr>
      <w:r>
        <w:rPr>
          <w:rFonts w:ascii="Arial" w:cs="Arial" w:eastAsia="Arial" w:hAnsi="Arial"/>
          <w:sz w:val="19"/>
          <w:szCs w:val="19"/>
          <w:color w:val="auto"/>
        </w:rPr>
        <w:t>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105" w:lineRule="exact"/>
        <w:rPr>
          <w:sz w:val="20"/>
          <w:szCs w:val="20"/>
          <w:color w:val="auto"/>
        </w:rPr>
      </w:pPr>
    </w:p>
    <w:p>
      <w:pPr>
        <w:jc w:val="both"/>
        <w:ind w:left="660" w:right="220" w:firstLine="645"/>
        <w:spacing w:after="0" w:line="297" w:lineRule="auto"/>
        <w:tabs>
          <w:tab w:leader="none" w:pos="197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Series A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134" w:lineRule="exact"/>
        <w:rPr>
          <w:rFonts w:ascii="Arial" w:cs="Arial" w:eastAsia="Arial" w:hAnsi="Arial"/>
          <w:sz w:val="19"/>
          <w:szCs w:val="19"/>
          <w:color w:val="auto"/>
        </w:rPr>
      </w:pPr>
    </w:p>
    <w:p>
      <w:pPr>
        <w:ind w:left="660" w:firstLine="645"/>
        <w:spacing w:after="0" w:line="270" w:lineRule="auto"/>
        <w:tabs>
          <w:tab w:leader="none" w:pos="19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 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200" w:lineRule="exact"/>
        <w:rPr>
          <w:sz w:val="20"/>
          <w:szCs w:val="20"/>
          <w:color w:val="auto"/>
        </w:rPr>
      </w:pPr>
    </w:p>
    <w:p>
      <w:pPr>
        <w:spacing w:after="0" w:line="205" w:lineRule="exact"/>
        <w:rPr>
          <w:sz w:val="20"/>
          <w:szCs w:val="20"/>
          <w:color w:val="auto"/>
        </w:rPr>
      </w:pPr>
    </w:p>
    <w:p>
      <w:pPr>
        <w:ind w:right="180" w:firstLine="1305"/>
        <w:spacing w:after="0" w:line="235" w:lineRule="auto"/>
        <w:tabs>
          <w:tab w:leader="none" w:pos="195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Preference Distribution. The Record Date (the “</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for the payment of any Series A Distributions shall be the fifth Business Day immediately preceding the applicable Series A Distribution Payment Date, except that in the case of payments of Series A Distributions in arrears, the Series A Distribution Record Date with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4" w:name="page95"/>
    <w:bookmarkEnd w:id="94"/>
    <w:p>
      <w:pPr>
        <w:spacing w:after="0" w:line="270" w:lineRule="auto"/>
        <w:rPr>
          <w:sz w:val="20"/>
          <w:szCs w:val="20"/>
          <w:color w:val="auto"/>
        </w:rPr>
      </w:pPr>
      <w:r>
        <w:rPr>
          <w:rFonts w:ascii="Arial" w:cs="Arial" w:eastAsia="Arial" w:hAnsi="Arial"/>
          <w:sz w:val="19"/>
          <w:szCs w:val="19"/>
          <w:color w:val="auto"/>
        </w:rPr>
        <w:t xml:space="preserve">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 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 nominee of the Depository, declared Series A Distributions shall be paid to the Depository in same-day funds on each Series A Distribution Payment Date.</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firstLine="1305"/>
        <w:spacing w:after="0" w:line="272" w:lineRule="auto"/>
        <w:tabs>
          <w:tab w:leader="none" w:pos="195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95" w:name="page96"/>
    <w:bookmarkEnd w:id="95"/>
    <w:p>
      <w:pPr>
        <w:spacing w:after="0" w:line="235" w:lineRule="auto"/>
        <w:rPr>
          <w:sz w:val="20"/>
          <w:szCs w:val="20"/>
          <w:color w:val="auto"/>
        </w:rPr>
      </w:pPr>
      <w:r>
        <w:rPr>
          <w:rFonts w:ascii="Arial" w:cs="Arial" w:eastAsia="Arial" w:hAnsi="Arial"/>
          <w:sz w:val="22"/>
          <w:szCs w:val="22"/>
          <w:color w:val="auto"/>
        </w:rPr>
        <w:t>concurrently with any distribution made to the holders of any Parity Securities and before any distribution shall be made to the holders of Common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188" w:lineRule="exact"/>
        <w:rPr>
          <w:sz w:val="20"/>
          <w:szCs w:val="20"/>
          <w:color w:val="auto"/>
        </w:rPr>
      </w:pPr>
    </w:p>
    <w:p>
      <w:pPr>
        <w:ind w:right="40" w:firstLine="1305"/>
        <w:spacing w:after="0" w:line="246" w:lineRule="auto"/>
        <w:tabs>
          <w:tab w:leader="none" w:pos="195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16.4(a)</w:t>
      </w:r>
      <w:r>
        <w:rPr>
          <w:rFonts w:ascii="Arial" w:cs="Arial" w:eastAsia="Arial" w:hAnsi="Arial"/>
          <w:sz w:val="21"/>
          <w:szCs w:val="21"/>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 payment of their Series A Liquidation Preference, such partial payment shall reduce the Series A Liquidation Preference of their Series A Preference Units, but only to the extent of such amount paid.</w:t>
      </w:r>
    </w:p>
    <w:p>
      <w:pPr>
        <w:spacing w:after="0" w:line="180" w:lineRule="exact"/>
        <w:rPr>
          <w:rFonts w:ascii="Arial" w:cs="Arial" w:eastAsia="Arial" w:hAnsi="Arial"/>
          <w:sz w:val="21"/>
          <w:szCs w:val="21"/>
          <w:color w:val="auto"/>
        </w:rPr>
      </w:pPr>
    </w:p>
    <w:p>
      <w:pPr>
        <w:ind w:firstLine="1305"/>
        <w:spacing w:after="0" w:line="297" w:lineRule="auto"/>
        <w:tabs>
          <w:tab w:leader="none" w:pos="195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A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firstLine="1305"/>
        <w:spacing w:after="0" w:line="328" w:lineRule="auto"/>
        <w:tabs>
          <w:tab w:leader="none" w:pos="195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firstLine="1305"/>
        <w:spacing w:after="0" w:line="272" w:lineRule="auto"/>
        <w:tabs>
          <w:tab w:leader="none" w:pos="195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9"/>
          <w:szCs w:val="19"/>
          <w:u w:val="single" w:color="auto"/>
          <w:color w:val="auto"/>
        </w:rPr>
        <w:t>16.5(b)</w:t>
      </w:r>
      <w:r>
        <w:rPr>
          <w:rFonts w:ascii="Arial" w:cs="Arial" w:eastAsia="Arial" w:hAnsi="Arial"/>
          <w:sz w:val="19"/>
          <w:szCs w:val="19"/>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153" w:lineRule="exact"/>
        <w:rPr>
          <w:sz w:val="20"/>
          <w:szCs w:val="20"/>
          <w:color w:val="auto"/>
        </w:rPr>
      </w:pPr>
    </w:p>
    <w:p>
      <w:pPr>
        <w:ind w:right="60" w:firstLine="1305"/>
        <w:spacing w:after="0" w:line="238" w:lineRule="auto"/>
        <w:tabs>
          <w:tab w:leader="none" w:pos="195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 Agreement that would have a material adverse effect on the existing terms of the Series A Preference Units.</w:t>
      </w:r>
    </w:p>
    <w:p>
      <w:pPr>
        <w:spacing w:after="0" w:line="185" w:lineRule="exact"/>
        <w:rPr>
          <w:sz w:val="20"/>
          <w:szCs w:val="20"/>
          <w:color w:val="auto"/>
        </w:rPr>
      </w:pPr>
    </w:p>
    <w:p>
      <w:pPr>
        <w:ind w:left="660" w:right="20" w:firstLine="645"/>
        <w:spacing w:after="0" w:line="236" w:lineRule="auto"/>
        <w:tabs>
          <w:tab w:leader="none" w:pos="19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188" w:lineRule="exact"/>
        <w:rPr>
          <w:sz w:val="20"/>
          <w:szCs w:val="20"/>
          <w:color w:val="auto"/>
        </w:rPr>
      </w:pPr>
    </w:p>
    <w:p>
      <w:pPr>
        <w:ind w:right="60" w:firstLine="1305"/>
        <w:spacing w:after="0" w:line="238" w:lineRule="auto"/>
        <w:tabs>
          <w:tab w:leader="none" w:pos="19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18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67" w:lineRule="exact"/>
        <w:rPr>
          <w:sz w:val="20"/>
          <w:szCs w:val="20"/>
          <w:color w:val="auto"/>
        </w:rPr>
      </w:pPr>
    </w:p>
    <w:p>
      <w:pPr>
        <w:ind w:right="160" w:firstLine="1305"/>
        <w:spacing w:after="0" w:line="287" w:lineRule="auto"/>
        <w:tabs>
          <w:tab w:leader="none" w:pos="19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Depository, the Series A Redemption Price shall be paid by the Paying Agent to the Depository on the Series A Redemption Date.</w:t>
      </w:r>
    </w:p>
    <w:p>
      <w:pPr>
        <w:spacing w:after="0" w:line="143" w:lineRule="exact"/>
        <w:rPr>
          <w:rFonts w:ascii="Arial" w:cs="Arial" w:eastAsia="Arial" w:hAnsi="Arial"/>
          <w:sz w:val="19"/>
          <w:szCs w:val="19"/>
          <w:color w:val="auto"/>
        </w:rPr>
      </w:pPr>
    </w:p>
    <w:p>
      <w:pPr>
        <w:ind w:right="60" w:firstLine="1305"/>
        <w:spacing w:after="0"/>
        <w:tabs>
          <w:tab w:leader="none" w:pos="195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Partnership shall give notice of any redemption by mail, postage prepaid, not less than 30 days and not more than 60 days before the scheduled Series A Redemption Date to the Series A Holders (as of 5:00 p.m. New York City time on the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Day next preceding the day on which notice is given) of any Series A Preference Units to be redeemed as such Series A Holders’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names appear on the books of the Transfer Agent and at the address of such Series A Holders shown therein. Such notice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Redemption Notice</w:t>
      </w:r>
      <w:r>
        <w:rPr>
          <w:rFonts w:ascii="Arial" w:cs="Arial" w:eastAsia="Arial" w:hAnsi="Arial"/>
          <w:sz w:val="19"/>
          <w:szCs w:val="19"/>
          <w:color w:val="auto"/>
        </w:rPr>
        <w:t>”) shall state, as applicable: (1) the Series A Redemption Date, (2) the number of Series A Preference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Units to be redeemed and, if less than all Outstanding Series A Preference Units are to be redeemed, the number (and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identification) of Units to be redeemed from such Series A Holder, (3) the Series A Redemption Price, (4) the place where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Series A Preference Units are to be redeemed and shall be presented and surrendered for payment of the Series A Redemption Price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therefor and (5) that distributions on the Units to be redeemed shall cease to accumulate from and after such Series A Redemption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right="80" w:firstLine="1305"/>
        <w:spacing w:after="0" w:line="234" w:lineRule="auto"/>
        <w:tabs>
          <w:tab w:leader="none" w:pos="19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Depository shall determine either Pro Rata or by lot, with adjustments to avoid redemption of fractional Series A Preference Units. The aggregate Series A 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firstLine="1305"/>
        <w:spacing w:after="0" w:line="270" w:lineRule="auto"/>
        <w:tabs>
          <w:tab w:leader="none" w:pos="1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Depository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98" w:name="page99"/>
    <w:bookmarkEnd w:id="98"/>
    <w:p>
      <w:pPr>
        <w:ind w:right="140"/>
        <w:spacing w:after="0"/>
        <w:rPr>
          <w:sz w:val="20"/>
          <w:szCs w:val="20"/>
          <w:color w:val="auto"/>
        </w:rPr>
      </w:pPr>
      <w:r>
        <w:rPr>
          <w:rFonts w:ascii="Arial" w:cs="Arial" w:eastAsia="Arial" w:hAnsi="Arial"/>
          <w:sz w:val="22"/>
          <w:szCs w:val="22"/>
          <w:color w:val="auto"/>
        </w:rPr>
        <w:t>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186" w:lineRule="exact"/>
        <w:rPr>
          <w:sz w:val="20"/>
          <w:szCs w:val="20"/>
          <w:color w:val="auto"/>
        </w:rPr>
      </w:pPr>
    </w:p>
    <w:p>
      <w:pPr>
        <w:ind w:firstLine="1305"/>
        <w:spacing w:after="0" w:line="248" w:lineRule="auto"/>
        <w:tabs>
          <w:tab w:leader="none" w:pos="195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Depository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77" w:lineRule="exact"/>
        <w:rPr>
          <w:rFonts w:ascii="Arial" w:cs="Arial" w:eastAsia="Arial" w:hAnsi="Arial"/>
          <w:sz w:val="21"/>
          <w:szCs w:val="21"/>
          <w:color w:val="auto"/>
        </w:rPr>
      </w:pPr>
    </w:p>
    <w:p>
      <w:pPr>
        <w:ind w:right="40" w:firstLine="1305"/>
        <w:spacing w:after="0" w:line="245" w:lineRule="auto"/>
        <w:tabs>
          <w:tab w:leader="none" w:pos="194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w:t>
      </w:r>
      <w:r>
        <w:rPr>
          <w:rFonts w:ascii="Arial" w:cs="Arial" w:eastAsia="Arial" w:hAnsi="Arial"/>
          <w:sz w:val="21"/>
          <w:szCs w:val="21"/>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16.7.  </w:t>
      </w:r>
      <w:r>
        <w:rPr>
          <w:rFonts w:ascii="Arial" w:cs="Arial" w:eastAsia="Arial" w:hAnsi="Arial"/>
          <w:sz w:val="22"/>
          <w:szCs w:val="22"/>
          <w:i w:val="1"/>
          <w:iCs w:val="1"/>
          <w:color w:val="auto"/>
        </w:rPr>
        <w:t>Rank</w:t>
      </w:r>
      <w:r>
        <w:rPr>
          <w:rFonts w:ascii="Arial" w:cs="Arial" w:eastAsia="Arial" w:hAnsi="Arial"/>
          <w:sz w:val="22"/>
          <w:szCs w:val="22"/>
          <w:color w:val="auto"/>
        </w:rPr>
        <w:t>. The Series A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16.8.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41"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 xml:space="preserve">Section 16.9.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9" w:name="page100"/>
    <w:bookmarkEnd w:id="99"/>
    <w:p>
      <w:pPr>
        <w:ind w:right="40"/>
        <w:spacing w:after="0" w:line="328" w:lineRule="auto"/>
        <w:rPr>
          <w:sz w:val="20"/>
          <w:szCs w:val="20"/>
          <w:color w:val="auto"/>
        </w:rPr>
      </w:pPr>
      <w:r>
        <w:rPr>
          <w:rFonts w:ascii="Arial" w:cs="Arial" w:eastAsia="Arial" w:hAnsi="Arial"/>
          <w:sz w:val="19"/>
          <w:szCs w:val="19"/>
          <w:color w:val="auto"/>
        </w:rPr>
        <w:t>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10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this Agreement or by applicable law.</w:t>
      </w:r>
    </w:p>
    <w:p>
      <w:pPr>
        <w:spacing w:after="0" w:line="18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A Holders, other than the implied duty of good faith and fair dealing.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B CUMULATIVE REDEEMABLE PERPETUAL FIXED TO FLOATING RATE PREFERENCE UNITS</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17.1.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January 17, 2018, the Board of Directors designated and created a series of Preference Units designated as “8.200% Series B Cumulative Redeemable Perpetual Fixed to Floating Rate Preference Units,” and fixed the preferences, rights, powers and duties of the holders of the Series B Preference Units as set forth in this </w:t>
      </w:r>
      <w:r>
        <w:rPr>
          <w:rFonts w:ascii="Arial" w:cs="Arial" w:eastAsia="Arial" w:hAnsi="Arial"/>
          <w:sz w:val="19"/>
          <w:szCs w:val="19"/>
          <w:u w:val="single" w:color="auto"/>
          <w:color w:val="auto"/>
        </w:rPr>
        <w:t>Article XVII</w:t>
      </w:r>
      <w:r>
        <w:rPr>
          <w:rFonts w:ascii="Arial" w:cs="Arial" w:eastAsia="Arial" w:hAnsi="Arial"/>
          <w:sz w:val="19"/>
          <w:szCs w:val="19"/>
          <w:color w:val="auto"/>
        </w:rPr>
        <w:t>. Each Series B Preference Unit shall be identical in all respects to every other Series B Preference Unit, except as to the respective dates from which the Series B Liquidation Preference shall increase or from which Series B Distributions may begin accruing, to the extent such dates may differ. The Series B Preference Units represent perpetual equity interests in the Partnership and shall not give rise to a claim by the holder for redemption thereof at a particular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200" w:firstLine="1305"/>
        <w:spacing w:after="0" w:line="251" w:lineRule="auto"/>
        <w:tabs>
          <w:tab w:leader="none" w:pos="19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authorized number of Series B Preference Units shall be unlimited. Series B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firstLine="1305"/>
        <w:spacing w:after="0" w:line="234" w:lineRule="auto"/>
        <w:tabs>
          <w:tab w:leader="none" w:pos="1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Series B Preference Units shall be represented by a single Certificate registered in the name of the Depository or its nominee, and no Series B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B Holders shall be made by making payments to, and communicating with, the Depository.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0" w:name="page101"/>
    <w:bookmarkEnd w:id="100"/>
    <w:p>
      <w:pPr>
        <w:ind w:left="1200"/>
        <w:spacing w:after="0"/>
        <w:rPr>
          <w:sz w:val="20"/>
          <w:szCs w:val="20"/>
          <w:color w:val="auto"/>
        </w:rPr>
      </w:pPr>
      <w:r>
        <w:rPr>
          <w:rFonts w:ascii="Arial" w:cs="Arial" w:eastAsia="Arial" w:hAnsi="Arial"/>
          <w:sz w:val="22"/>
          <w:szCs w:val="22"/>
          <w:color w:val="auto"/>
        </w:rPr>
        <w:t xml:space="preserve">Section 17.3.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left="-100" w:right="100" w:firstLine="1305"/>
        <w:spacing w:after="0" w:line="270" w:lineRule="auto"/>
        <w:tabs>
          <w:tab w:leader="none" w:pos="185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19"/>
          <w:szCs w:val="19"/>
          <w:u w:val="single" w:color="auto"/>
          <w:color w:val="auto"/>
        </w:rPr>
        <w:t>Section 17.6</w:t>
      </w:r>
      <w:r>
        <w:rPr>
          <w:rFonts w:ascii="Arial" w:cs="Arial" w:eastAsia="Arial" w:hAnsi="Arial"/>
          <w:sz w:val="19"/>
          <w:szCs w:val="19"/>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 paid by the Partnership in accordance with this </w:t>
      </w:r>
      <w:r>
        <w:rPr>
          <w:rFonts w:ascii="Arial" w:cs="Arial" w:eastAsia="Arial" w:hAnsi="Arial"/>
          <w:sz w:val="19"/>
          <w:szCs w:val="19"/>
          <w:u w:val="single" w:color="auto"/>
          <w:color w:val="auto"/>
        </w:rPr>
        <w:t>Section 17.3</w:t>
      </w:r>
      <w:r>
        <w:rPr>
          <w:rFonts w:ascii="Arial" w:cs="Arial" w:eastAsia="Arial" w:hAnsi="Arial"/>
          <w:sz w:val="19"/>
          <w:szCs w:val="19"/>
          <w:color w:val="auto"/>
        </w:rPr>
        <w:t>, shall be paid quarterly on each Series B Distribution Payment Date. Distributions shall accumulate in each Series B Distribution Period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 and distributions shall accrue on accumulated Series B Distributions at the Series B Distribution Rate. If any Series B Distribution Payment Date during the Series B Fixed Rate Period would otherwise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 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162" w:lineRule="exact"/>
        <w:rPr>
          <w:rFonts w:ascii="Arial" w:cs="Arial" w:eastAsia="Arial" w:hAnsi="Arial"/>
          <w:sz w:val="19"/>
          <w:szCs w:val="19"/>
          <w:color w:val="auto"/>
        </w:rPr>
      </w:pPr>
    </w:p>
    <w:p>
      <w:pPr>
        <w:ind w:left="-100" w:firstLine="1305"/>
        <w:spacing w:after="0" w:line="236" w:lineRule="auto"/>
        <w:tabs>
          <w:tab w:leader="none" w:pos="185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188" w:lineRule="exact"/>
        <w:rPr>
          <w:sz w:val="20"/>
          <w:szCs w:val="20"/>
          <w:color w:val="auto"/>
        </w:rPr>
      </w:pPr>
    </w:p>
    <w:p>
      <w:pPr>
        <w:jc w:val="both"/>
        <w:ind w:left="560" w:right="160" w:firstLine="645"/>
        <w:spacing w:after="0" w:line="297" w:lineRule="auto"/>
        <w:tabs>
          <w:tab w:leader="none" w:pos="187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Series B Three-Month LIBOR Rate will be the rate (expressed as a percentage per year) for deposits in U.S. dollars having an index maturity of three months, in amounts of at least $1,000,000, as such rate appears on Reuters Page LIBOR01 at approximately 11:00 a.m. (London time) on the relevant Series B Distribution Determination Date; or</w:t>
      </w:r>
    </w:p>
    <w:p>
      <w:pPr>
        <w:spacing w:after="0" w:line="134" w:lineRule="exact"/>
        <w:rPr>
          <w:rFonts w:ascii="Arial" w:cs="Arial" w:eastAsia="Arial" w:hAnsi="Arial"/>
          <w:sz w:val="19"/>
          <w:szCs w:val="19"/>
          <w:color w:val="auto"/>
        </w:rPr>
      </w:pPr>
    </w:p>
    <w:p>
      <w:pPr>
        <w:ind w:left="560" w:right="340" w:firstLine="645"/>
        <w:spacing w:after="0" w:line="297" w:lineRule="auto"/>
        <w:tabs>
          <w:tab w:leader="none" w:pos="187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B Distribution Determination Date, then the Calculation Agent, after consultation with the Partnership, will select four nationally-recognized banks in the London interbank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340" w:top="361" w:right="319" w:bottom="1440" w:gutter="0" w:footer="0" w:header="0"/>
        </w:sectPr>
      </w:pPr>
    </w:p>
    <w:bookmarkStart w:id="101" w:name="page102"/>
    <w:bookmarkEnd w:id="101"/>
    <w:p>
      <w:pPr>
        <w:ind w:right="60"/>
        <w:spacing w:after="0" w:line="270" w:lineRule="auto"/>
        <w:rPr>
          <w:sz w:val="20"/>
          <w:szCs w:val="20"/>
          <w:color w:val="auto"/>
        </w:rPr>
      </w:pPr>
      <w:r>
        <w:rPr>
          <w:rFonts w:ascii="Arial" w:cs="Arial" w:eastAsia="Arial" w:hAnsi="Arial"/>
          <w:sz w:val="19"/>
          <w:szCs w:val="19"/>
          <w:color w:val="auto"/>
        </w:rPr>
        <w:t>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 arithmetic mean (rounded upward if necessary, to the nearest 0.00001 of 1%) of the rates quoted at approximately 11:00 a.m. (New York City time) on that Series B Distribution Determination Date for such Series B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 LIBOR Rate for the applicable Distribution Period in its discretion, after consultation with the Partnership.</w:t>
      </w:r>
    </w:p>
    <w:p>
      <w:pPr>
        <w:spacing w:after="0" w:line="165" w:lineRule="exact"/>
        <w:rPr>
          <w:sz w:val="20"/>
          <w:szCs w:val="20"/>
          <w:color w:val="auto"/>
        </w:rPr>
      </w:pPr>
    </w:p>
    <w:p>
      <w:pPr>
        <w:ind w:firstLine="645"/>
        <w:spacing w:after="0" w:line="274" w:lineRule="auto"/>
        <w:tabs>
          <w:tab w:leader="none" w:pos="132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59" w:lineRule="exact"/>
        <w:rPr>
          <w:sz w:val="20"/>
          <w:szCs w:val="20"/>
          <w:color w:val="auto"/>
        </w:rPr>
      </w:pPr>
    </w:p>
    <w:p>
      <w:pPr>
        <w:ind w:right="200" w:firstLine="1297"/>
        <w:spacing w:after="0" w:line="258" w:lineRule="auto"/>
        <w:rPr>
          <w:sz w:val="20"/>
          <w:szCs w:val="20"/>
          <w:color w:val="auto"/>
        </w:rPr>
      </w:pPr>
      <w:r>
        <w:rPr>
          <w:rFonts w:ascii="Arial" w:cs="Arial" w:eastAsia="Arial" w:hAnsi="Arial"/>
          <w:sz w:val="21"/>
          <w:szCs w:val="21"/>
          <w:color w:val="auto"/>
        </w:rPr>
        <w:t>We will appoint a calculation agent for the Series B Preference Units prior to the commencement of the Series B Floating Rate Period and will be entitled to remove or replace the calculation agent in our discretion. In addition, we or an affiliate of ours may assume the duties of the calculation agent.</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34" w:right="259" w:bottom="1440" w:gutter="0" w:footer="0" w:header="0"/>
        </w:sectPr>
      </w:pPr>
    </w:p>
    <w:bookmarkStart w:id="102" w:name="page103"/>
    <w:bookmarkEnd w:id="102"/>
    <w:p>
      <w:pPr>
        <w:ind w:left="-40" w:firstLine="1305"/>
        <w:spacing w:after="0" w:line="269" w:lineRule="auto"/>
        <w:tabs>
          <w:tab w:leader="none" w:pos="191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Preference Distribution. The Record Date (the “</w:t>
      </w:r>
      <w:r>
        <w:rPr>
          <w:rFonts w:ascii="Arial" w:cs="Arial" w:eastAsia="Arial" w:hAnsi="Arial"/>
          <w:sz w:val="19"/>
          <w:szCs w:val="19"/>
          <w:b w:val="1"/>
          <w:bCs w:val="1"/>
          <w:i w:val="1"/>
          <w:iCs w:val="1"/>
          <w:color w:val="auto"/>
        </w:rPr>
        <w:t>Series B Distribution Record Date</w:t>
      </w:r>
      <w:r>
        <w:rPr>
          <w:rFonts w:ascii="Arial" w:cs="Arial" w:eastAsia="Arial" w:hAnsi="Arial"/>
          <w:sz w:val="19"/>
          <w:szCs w:val="19"/>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 Securities through the most recent respective Series B Distribution Payment Dates. 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 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 a distribution payment at such time in proportion to the aggregate distribution amounts remaining due in respect of such Series B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9"/>
          <w:szCs w:val="19"/>
          <w:u w:val="single" w:color="auto"/>
          <w:color w:val="auto"/>
        </w:rPr>
        <w:t>Section 17.3(a)</w:t>
      </w:r>
      <w:r>
        <w:rPr>
          <w:rFonts w:ascii="Arial" w:cs="Arial" w:eastAsia="Arial" w:hAnsi="Arial"/>
          <w:sz w:val="19"/>
          <w:szCs w:val="19"/>
          <w:color w:val="auto"/>
        </w:rPr>
        <w:t>, no interest or sum of money in lieu of interest shall be payable in respect of any distribution payment which may be in arrears on the Series B Preference Units. So long as the Series B Preference Units are held of record by the nominee of the Depository, declared Series B Distributions shall be paid to the Depository in same-day funds on each Series B Distribution Payment Date.</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 xml:space="preserve">Section 17.4.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left="-40" w:right="40" w:firstLine="1305"/>
        <w:spacing w:after="0" w:line="277" w:lineRule="auto"/>
        <w:tabs>
          <w:tab w:leader="none" w:pos="191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and any other classes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4" w:right="259" w:bottom="1440" w:gutter="0" w:footer="0" w:header="0"/>
        </w:sectPr>
      </w:pPr>
    </w:p>
    <w:bookmarkStart w:id="103" w:name="page104"/>
    <w:bookmarkEnd w:id="103"/>
    <w:p>
      <w:pPr>
        <w:spacing w:after="0" w:line="244" w:lineRule="auto"/>
        <w:rPr>
          <w:sz w:val="20"/>
          <w:szCs w:val="20"/>
          <w:color w:val="auto"/>
        </w:rPr>
      </w:pPr>
      <w:r>
        <w:rPr>
          <w:rFonts w:ascii="Arial" w:cs="Arial" w:eastAsia="Arial" w:hAnsi="Arial"/>
          <w:sz w:val="21"/>
          <w:szCs w:val="21"/>
          <w:color w:val="auto"/>
        </w:rPr>
        <w:t>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 Series B Preference Units such that, from and after payment of the full Series B Liquidation Preference, any such Series B Preference Unit shall thereafter be cancelled and no longer be Outstanding.</w:t>
      </w:r>
    </w:p>
    <w:p>
      <w:pPr>
        <w:spacing w:after="0" w:line="190" w:lineRule="exact"/>
        <w:rPr>
          <w:sz w:val="20"/>
          <w:szCs w:val="20"/>
          <w:color w:val="auto"/>
        </w:rPr>
      </w:pPr>
    </w:p>
    <w:p>
      <w:pPr>
        <w:ind w:right="60" w:firstLine="1305"/>
        <w:spacing w:after="0" w:line="246" w:lineRule="auto"/>
        <w:tabs>
          <w:tab w:leader="none" w:pos="195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17.4(a)</w:t>
      </w:r>
      <w:r>
        <w:rPr>
          <w:rFonts w:ascii="Arial" w:cs="Arial" w:eastAsia="Arial" w:hAnsi="Arial"/>
          <w:sz w:val="21"/>
          <w:szCs w:val="21"/>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 Liquidation Preference of their Series B Preference Units, but only to the extent of such amount paid.</w:t>
      </w:r>
    </w:p>
    <w:p>
      <w:pPr>
        <w:spacing w:after="0" w:line="180" w:lineRule="exact"/>
        <w:rPr>
          <w:rFonts w:ascii="Arial" w:cs="Arial" w:eastAsia="Arial" w:hAnsi="Arial"/>
          <w:sz w:val="21"/>
          <w:szCs w:val="21"/>
          <w:color w:val="auto"/>
        </w:rPr>
      </w:pPr>
    </w:p>
    <w:p>
      <w:pPr>
        <w:ind w:right="20" w:firstLine="1305"/>
        <w:spacing w:after="0" w:line="297" w:lineRule="auto"/>
        <w:tabs>
          <w:tab w:leader="none" w:pos="195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B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right="20" w:firstLine="1305"/>
        <w:spacing w:after="0" w:line="328" w:lineRule="auto"/>
        <w:tabs>
          <w:tab w:leader="none" w:pos="195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B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right="80" w:firstLine="1305"/>
        <w:spacing w:after="0" w:line="247" w:lineRule="auto"/>
        <w:tabs>
          <w:tab w:leader="none" w:pos="195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In the event that six quarterly Series B Distributions, whether consecutive or not, are in arrears, the Series B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B Holders holding a majority of the Outstanding Series B Preference Units, to elect one member of the Board of Directors, and the size of the Board of Directors shall be increased as needed to accommodate such change;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right of the Series B Holders shall not apply to the election of another director if (i) Series B Holders and holders of Parity Securities upon which like voting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4" w:name="page105"/>
    <w:bookmarkEnd w:id="104"/>
    <w:p>
      <w:pPr>
        <w:spacing w:after="0" w:line="272" w:lineRule="auto"/>
        <w:rPr>
          <w:sz w:val="20"/>
          <w:szCs w:val="20"/>
          <w:color w:val="auto"/>
        </w:rPr>
      </w:pPr>
      <w:r>
        <w:rPr>
          <w:rFonts w:ascii="Arial" w:cs="Arial" w:eastAsia="Arial" w:hAnsi="Arial"/>
          <w:sz w:val="19"/>
          <w:szCs w:val="19"/>
          <w:color w:val="auto"/>
        </w:rPr>
        <w:t xml:space="preserve">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Upon any termination of the right of the Series B Holders and holders of any other Parity Securities to vote as a class for such director, the term of office of the director then in office elected by such Series B Holders and holders voting as a class shall terminate immediately. Any director elected by the Series B Holders and holders of any other Parity Securities shall be entitled to one vote on any matter before the Board of Directors. Upon each election of a member of the Board of Directors by Series B Holders pursuant to this </w:t>
      </w:r>
      <w:r>
        <w:rPr>
          <w:rFonts w:ascii="Arial" w:cs="Arial" w:eastAsia="Arial" w:hAnsi="Arial"/>
          <w:sz w:val="19"/>
          <w:szCs w:val="19"/>
          <w:u w:val="single" w:color="auto"/>
          <w:color w:val="auto"/>
        </w:rPr>
        <w:t>Section 17.5(b)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B Holders.</w:t>
      </w:r>
    </w:p>
    <w:p>
      <w:pPr>
        <w:spacing w:after="0" w:line="162" w:lineRule="exact"/>
        <w:rPr>
          <w:sz w:val="20"/>
          <w:szCs w:val="20"/>
          <w:color w:val="auto"/>
        </w:rPr>
      </w:pPr>
    </w:p>
    <w:p>
      <w:pPr>
        <w:ind w:right="80" w:firstLine="1305"/>
        <w:spacing w:after="0" w:line="238" w:lineRule="auto"/>
        <w:tabs>
          <w:tab w:leader="none" w:pos="195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185" w:lineRule="exact"/>
        <w:rPr>
          <w:sz w:val="20"/>
          <w:szCs w:val="20"/>
          <w:color w:val="auto"/>
        </w:rPr>
      </w:pPr>
    </w:p>
    <w:p>
      <w:pPr>
        <w:ind w:left="660" w:right="60" w:firstLine="645"/>
        <w:spacing w:after="0" w:line="236" w:lineRule="auto"/>
        <w:tabs>
          <w:tab w:leader="none" w:pos="197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pacing w:after="0" w:line="188" w:lineRule="exact"/>
        <w:rPr>
          <w:sz w:val="20"/>
          <w:szCs w:val="20"/>
          <w:color w:val="auto"/>
        </w:rPr>
      </w:pPr>
    </w:p>
    <w:p>
      <w:pPr>
        <w:ind w:right="80" w:firstLine="1305"/>
        <w:spacing w:after="0" w:line="238" w:lineRule="auto"/>
        <w:tabs>
          <w:tab w:leader="none" w:pos="19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20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March 15, 2023 to redeem the Series B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B Redemption Date</w:t>
      </w:r>
      <w:r>
        <w:rPr>
          <w:rFonts w:ascii="Arial" w:cs="Arial" w:eastAsia="Arial" w:hAnsi="Arial"/>
          <w:sz w:val="21"/>
          <w:szCs w:val="21"/>
          <w:color w:val="auto"/>
        </w:rPr>
        <w:t>”).</w:t>
      </w:r>
    </w:p>
    <w:p>
      <w:pPr>
        <w:spacing w:after="0" w:line="167" w:lineRule="exact"/>
        <w:rPr>
          <w:sz w:val="20"/>
          <w:szCs w:val="20"/>
          <w:color w:val="auto"/>
        </w:rPr>
      </w:pPr>
    </w:p>
    <w:p>
      <w:pPr>
        <w:ind w:right="280" w:firstLine="1305"/>
        <w:spacing w:after="0"/>
        <w:tabs>
          <w:tab w:leader="none" w:pos="195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ind w:right="780"/>
        <w:spacing w:after="0" w:line="328" w:lineRule="auto"/>
        <w:rPr>
          <w:sz w:val="20"/>
          <w:szCs w:val="20"/>
          <w:color w:val="auto"/>
        </w:rPr>
      </w:pPr>
      <w:r>
        <w:rPr>
          <w:rFonts w:ascii="Arial" w:cs="Arial" w:eastAsia="Arial" w:hAnsi="Arial"/>
          <w:sz w:val="19"/>
          <w:szCs w:val="19"/>
          <w:color w:val="auto"/>
        </w:rPr>
        <w:t>So long as the Series B Preference Units to be redeemed are held of record by the nominee of the Depository, the Series B Redemption Price shall be paid by the Paying Agent to the Depository on the Series B Redemption Date.</w:t>
      </w:r>
    </w:p>
    <w:p>
      <w:pPr>
        <w:spacing w:after="0" w:line="105" w:lineRule="exact"/>
        <w:rPr>
          <w:sz w:val="20"/>
          <w:szCs w:val="20"/>
          <w:color w:val="auto"/>
        </w:rPr>
      </w:pPr>
    </w:p>
    <w:p>
      <w:pPr>
        <w:ind w:firstLine="1305"/>
        <w:spacing w:after="0" w:line="245" w:lineRule="auto"/>
        <w:tabs>
          <w:tab w:leader="none" w:pos="195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21"/>
          <w:szCs w:val="21"/>
          <w:b w:val="1"/>
          <w:bCs w:val="1"/>
          <w:i w:val="1"/>
          <w:iCs w:val="1"/>
          <w:color w:val="auto"/>
        </w:rPr>
        <w:t>Series B Redemption Notice</w:t>
      </w:r>
      <w:r>
        <w:rPr>
          <w:rFonts w:ascii="Arial" w:cs="Arial" w:eastAsia="Arial" w:hAnsi="Arial"/>
          <w:sz w:val="21"/>
          <w:szCs w:val="21"/>
          <w:color w:val="auto"/>
        </w:rPr>
        <w:t>”) shall state, as applicable: (1) the Series B Redemption Date, (2) the number of Series B Preference Units to be redeemed 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 Price therefor and (5) that distributions on the Units to be redeemed shall cease to accumulate from and after such Series B Redemption Date.</w:t>
      </w:r>
    </w:p>
    <w:p>
      <w:pPr>
        <w:spacing w:after="0" w:line="181" w:lineRule="exact"/>
        <w:rPr>
          <w:rFonts w:ascii="Arial" w:cs="Arial" w:eastAsia="Arial" w:hAnsi="Arial"/>
          <w:sz w:val="21"/>
          <w:szCs w:val="21"/>
          <w:color w:val="auto"/>
        </w:rPr>
      </w:pPr>
    </w:p>
    <w:p>
      <w:pPr>
        <w:ind w:right="40" w:firstLine="1305"/>
        <w:spacing w:after="0" w:line="234" w:lineRule="auto"/>
        <w:tabs>
          <w:tab w:leader="none" w:pos="195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Depository shall determine either Pro Rata or by lot, with adjustments to avoid redemption of fractional Series B Preference Units. The aggregate Series B Redemption Price for any such partial redemption of the Outstanding Series B Preference Units shall be allocated correspondingly among the redeemed Series B Preference Units. The Series B Preference Units not redeemed shall remain Outstanding and entitled to all the rights and preferences provided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firstLine="1305"/>
        <w:spacing w:after="0" w:line="271" w:lineRule="auto"/>
        <w:tabs>
          <w:tab w:leader="none" w:pos="19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Depository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06" w:name="page107"/>
    <w:bookmarkEnd w:id="106"/>
    <w:p>
      <w:pPr>
        <w:ind w:right="80"/>
        <w:spacing w:after="0" w:line="275" w:lineRule="auto"/>
        <w:rPr>
          <w:sz w:val="20"/>
          <w:szCs w:val="20"/>
          <w:color w:val="auto"/>
        </w:rPr>
      </w:pPr>
      <w:r>
        <w:rPr>
          <w:rFonts w:ascii="Arial" w:cs="Arial" w:eastAsia="Arial" w:hAnsi="Arial"/>
          <w:sz w:val="19"/>
          <w:szCs w:val="19"/>
          <w:color w:val="auto"/>
        </w:rPr>
        <w:t>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 Redemption Price of such Series B Preference Units shall have been deposited by the Partnership with the Paying Agent.</w:t>
      </w:r>
    </w:p>
    <w:p>
      <w:pPr>
        <w:spacing w:after="0" w:line="158" w:lineRule="exact"/>
        <w:rPr>
          <w:sz w:val="20"/>
          <w:szCs w:val="20"/>
          <w:color w:val="auto"/>
        </w:rPr>
      </w:pPr>
    </w:p>
    <w:p>
      <w:pPr>
        <w:ind w:firstLine="1305"/>
        <w:spacing w:after="0" w:line="248" w:lineRule="auto"/>
        <w:tabs>
          <w:tab w:leader="none" w:pos="195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 Paying Agent (which shall occur automatically if the Certificate representing such Series B Preference Units is registered in the name of the Depository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177" w:lineRule="exact"/>
        <w:rPr>
          <w:rFonts w:ascii="Arial" w:cs="Arial" w:eastAsia="Arial" w:hAnsi="Arial"/>
          <w:sz w:val="21"/>
          <w:szCs w:val="21"/>
          <w:color w:val="auto"/>
        </w:rPr>
      </w:pPr>
    </w:p>
    <w:p>
      <w:pPr>
        <w:ind w:right="40" w:firstLine="1305"/>
        <w:spacing w:after="0" w:line="245" w:lineRule="auto"/>
        <w:tabs>
          <w:tab w:leader="none" w:pos="194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in the event that full cumulative distributions on the Series B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17.7.  </w:t>
      </w:r>
      <w:r>
        <w:rPr>
          <w:rFonts w:ascii="Arial" w:cs="Arial" w:eastAsia="Arial" w:hAnsi="Arial"/>
          <w:sz w:val="22"/>
          <w:szCs w:val="22"/>
          <w:i w:val="1"/>
          <w:iCs w:val="1"/>
          <w:color w:val="auto"/>
        </w:rPr>
        <w:t>Rank</w:t>
      </w:r>
      <w:r>
        <w:rPr>
          <w:rFonts w:ascii="Arial" w:cs="Arial" w:eastAsia="Arial" w:hAnsi="Arial"/>
          <w:sz w:val="22"/>
          <w:szCs w:val="22"/>
          <w:color w:val="auto"/>
        </w:rPr>
        <w:t>. The Series B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1"/>
          <w:szCs w:val="21"/>
          <w:color w:val="auto"/>
        </w:rPr>
        <w:t xml:space="preserve">The Partnership may issue Junior Securities and, subject to any approvals required by Series A Holders pursuant to </w:t>
      </w:r>
      <w:r>
        <w:rPr>
          <w:rFonts w:ascii="Arial" w:cs="Arial" w:eastAsia="Arial" w:hAnsi="Arial"/>
          <w:sz w:val="21"/>
          <w:szCs w:val="21"/>
          <w:u w:val="single" w:color="auto"/>
          <w:color w:val="auto"/>
        </w:rPr>
        <w:t>Section 16.5(c)(ii)</w:t>
      </w:r>
      <w:r>
        <w:rPr>
          <w:rFonts w:ascii="Arial" w:cs="Arial" w:eastAsia="Arial" w:hAnsi="Arial"/>
          <w:sz w:val="21"/>
          <w:szCs w:val="21"/>
          <w:color w:val="auto"/>
        </w:rPr>
        <w:t xml:space="preserve">, Series B Holders pursuant to </w:t>
      </w:r>
      <w:r>
        <w:rPr>
          <w:rFonts w:ascii="Arial" w:cs="Arial" w:eastAsia="Arial" w:hAnsi="Arial"/>
          <w:sz w:val="21"/>
          <w:szCs w:val="21"/>
          <w:u w:val="single" w:color="auto"/>
          <w:color w:val="auto"/>
        </w:rPr>
        <w:t>Section 17.5(c)(ii)</w:t>
      </w:r>
      <w:r>
        <w:rPr>
          <w:rFonts w:ascii="Arial" w:cs="Arial" w:eastAsia="Arial" w:hAnsi="Arial"/>
          <w:sz w:val="21"/>
          <w:szCs w:val="21"/>
          <w:color w:val="auto"/>
        </w:rPr>
        <w:t xml:space="preserve"> and Series C Holders pursuant to </w:t>
      </w:r>
      <w:r>
        <w:rPr>
          <w:rFonts w:ascii="Arial" w:cs="Arial" w:eastAsia="Arial" w:hAnsi="Arial"/>
          <w:sz w:val="21"/>
          <w:szCs w:val="21"/>
          <w:u w:val="single" w:color="auto"/>
          <w:color w:val="auto"/>
        </w:rPr>
        <w:t>Section 18.5(c)(ii)</w:t>
      </w:r>
      <w:r>
        <w:rPr>
          <w:rFonts w:ascii="Arial" w:cs="Arial" w:eastAsia="Arial" w:hAnsi="Arial"/>
          <w:sz w:val="21"/>
          <w:szCs w:val="21"/>
          <w:color w:val="auto"/>
        </w:rPr>
        <w:t>, Parity Securities from time to time in one or more classes or series without the consent of the Series B Holders. The Board of Directors has the authority to determine the preferences, powers, qualifications, limitations,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7" w:name="page108"/>
    <w:bookmarkEnd w:id="107"/>
    <w:p>
      <w:pPr>
        <w:ind w:right="480"/>
        <w:spacing w:after="0" w:line="251" w:lineRule="auto"/>
        <w:rPr>
          <w:sz w:val="20"/>
          <w:szCs w:val="20"/>
          <w:color w:val="auto"/>
        </w:rPr>
      </w:pPr>
      <w:r>
        <w:rPr>
          <w:rFonts w:ascii="Arial" w:cs="Arial" w:eastAsia="Arial" w:hAnsi="Arial"/>
          <w:sz w:val="22"/>
          <w:szCs w:val="22"/>
          <w:color w:val="auto"/>
        </w:rPr>
        <w:t>restrictions and special or relative rights or privileges, if any, of any such class or series before the issuance of any Partnership Interests of such class or series.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17.8.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B Preference Units shall not have the benefit of any sinking fund.</w:t>
      </w:r>
    </w:p>
    <w:p>
      <w:pPr>
        <w:spacing w:after="0" w:line="241"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17.9.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B Holder as the true, lawful and absolute owner of the applicable Series B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B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this Agreement or by applicable law.</w:t>
      </w:r>
    </w:p>
    <w:p>
      <w:pPr>
        <w:spacing w:after="0" w:line="18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17.11.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B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B Holders, other than the implied duty of good faith and fair dealing.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C CUMULATIVE REDEEMABLE PERPETUAL FIXED TO FLOATING RATE PREFERENCE UNITS</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18.1.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November 15, 2018, the Board of Directors designated and created a series of Preference Units designated as “8.500% Series C Cumulative Redeemable Perpetual Fixed to Floating Rate Preference Units,” and fixed the preferences, rights, powers and duties of the holders of the Series C Preference Units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Each Series C Preference Unit shall be identical in all respects to every other Series C Preference Unit, except as to the respective dates from which the Series C Liquidation Preference shall increase or from which Series C Distributions may begin accruing, to the extent such dates may differ. The Series C Preference Units represent perpetual equity interests in the Partnership and shall not give rise to a claim by the holder for redemption thereof at a particular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200" w:firstLine="1305"/>
        <w:spacing w:after="0" w:line="251" w:lineRule="auto"/>
        <w:tabs>
          <w:tab w:leader="none" w:pos="195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authorized number of Series C Preference Units shall be unlimited. Series C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right="560" w:firstLine="1305"/>
        <w:spacing w:after="0" w:line="251" w:lineRule="auto"/>
        <w:tabs>
          <w:tab w:leader="none" w:pos="195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Series C Preference Units shall be represented by a single Certificate registered in the name of the Depository or its nominee, and no Series C Holder shall be entitled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8" w:name="page109"/>
    <w:bookmarkEnd w:id="108"/>
    <w:p>
      <w:pPr>
        <w:ind w:right="120"/>
        <w:spacing w:after="0" w:line="282" w:lineRule="auto"/>
        <w:rPr>
          <w:sz w:val="20"/>
          <w:szCs w:val="20"/>
          <w:color w:val="auto"/>
        </w:rPr>
      </w:pPr>
      <w:r>
        <w:rPr>
          <w:rFonts w:ascii="Arial" w:cs="Arial" w:eastAsia="Arial" w:hAnsi="Arial"/>
          <w:sz w:val="19"/>
          <w:szCs w:val="19"/>
          <w:color w:val="auto"/>
        </w:rPr>
        <w:t>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C Holders shall be made by making payments to, and communicating with, the Depository.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right="100" w:firstLine="1305"/>
        <w:spacing w:after="0" w:line="270" w:lineRule="auto"/>
        <w:tabs>
          <w:tab w:leader="none" w:pos="195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Distributions on each Series C Preference Unit shall be cumulative and shall accrue at the Series C Distribution Rate from the Series C Original Issue Date (or, for any subsequently issued and newly Outstanding Series C Preference Units, from the Series C Distribution Payment Date immediately preceding the issuance date of such Units) until such time as the Partnership pays the Series C Distribution or redeems the Series C Preference Units in full in accordance with </w:t>
      </w:r>
      <w:r>
        <w:rPr>
          <w:rFonts w:ascii="Arial" w:cs="Arial" w:eastAsia="Arial" w:hAnsi="Arial"/>
          <w:sz w:val="19"/>
          <w:szCs w:val="19"/>
          <w:u w:val="single" w:color="auto"/>
          <w:color w:val="auto"/>
        </w:rPr>
        <w:t>Section 18.6</w:t>
      </w:r>
      <w:r>
        <w:rPr>
          <w:rFonts w:ascii="Arial" w:cs="Arial" w:eastAsia="Arial" w:hAnsi="Arial"/>
          <w:sz w:val="19"/>
          <w:szCs w:val="19"/>
          <w:color w:val="auto"/>
        </w:rPr>
        <w:t xml:space="preserve"> below,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Preference Unit when, as, and if declared by the Board of Directors. Series C Distributions, to the extent declared by the Board of Directors to be paid by the Partnership in accordance with this </w:t>
      </w:r>
      <w:r>
        <w:rPr>
          <w:rFonts w:ascii="Arial" w:cs="Arial" w:eastAsia="Arial" w:hAnsi="Arial"/>
          <w:sz w:val="19"/>
          <w:szCs w:val="19"/>
          <w:u w:val="single" w:color="auto"/>
          <w:color w:val="auto"/>
        </w:rPr>
        <w:t>Section 18.3</w:t>
      </w:r>
      <w:r>
        <w:rPr>
          <w:rFonts w:ascii="Arial" w:cs="Arial" w:eastAsia="Arial" w:hAnsi="Arial"/>
          <w:sz w:val="19"/>
          <w:szCs w:val="19"/>
          <w:color w:val="auto"/>
        </w:rPr>
        <w:t>, shall be paid quarterly on each Series C Distribution Payment Date. Distributions shall accumulate in each Series C Distribution Period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 and distributions shall accrue on accumulated Series C Distributions at the Series C Distribution Rate. If any Series C Distribution Payment Date during the Series C Fixed Rate Period would otherwise occur on a date that is not a Business Day, declared Series C Distributions shall be paid on the immediately succeeding Business Day without the accumulation of additional distributions. If any Series C Distribution Payment Date during the Series C Floating Rate Period would otherwise occur on a date that is not a Business Day, then the Series C Distribution Payment Date will be the next day that is a Business Day. Series C Distributions payable for any Series C Distribution Period during the Series C Fixed Rate Period will be calculated based on a 360-day year consisting of twelve 30-day months. Series C Distributions payable for any Series C Distribution Period during the Series C Floating Rate Period will be calculated based on a 360-day year and the number of days actually elapsed during such Series C Distribution Period.</w:t>
      </w:r>
    </w:p>
    <w:p>
      <w:pPr>
        <w:spacing w:after="0" w:line="162" w:lineRule="exact"/>
        <w:rPr>
          <w:rFonts w:ascii="Arial" w:cs="Arial" w:eastAsia="Arial" w:hAnsi="Arial"/>
          <w:sz w:val="19"/>
          <w:szCs w:val="19"/>
          <w:color w:val="auto"/>
        </w:rPr>
      </w:pPr>
    </w:p>
    <w:p>
      <w:pPr>
        <w:ind w:firstLine="1305"/>
        <w:spacing w:after="0" w:line="236" w:lineRule="auto"/>
        <w:tabs>
          <w:tab w:leader="none" w:pos="195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For each Series C Distribution Period during the Series C Floating Rate Period, the applicable Series C Distribution Rate will be determined by the Calculation Agent as of the applicable Series C Distribution Determination Date for such Series C Distribution Period. For purposes of determining the applicable Series C Distribution Rate, the Series C Three-Month LIBOR Rate will be determined by the Calculation Agent, as of the applicable Series C Distribution Determination Date, in accordance with the following provisions:</w:t>
      </w:r>
    </w:p>
    <w:p>
      <w:pPr>
        <w:spacing w:after="0" w:line="188" w:lineRule="exact"/>
        <w:rPr>
          <w:sz w:val="20"/>
          <w:szCs w:val="20"/>
          <w:color w:val="auto"/>
        </w:rPr>
      </w:pPr>
    </w:p>
    <w:p>
      <w:pPr>
        <w:ind w:left="660" w:right="160" w:firstLine="645"/>
        <w:spacing w:after="0" w:line="251" w:lineRule="auto"/>
        <w:tabs>
          <w:tab w:leader="none" w:pos="197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Series C Three-Month LIBOR Rate will be the rate (expressed as a percentage per year) for deposits in U.S. dollars having an index maturity of three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09" w:name="page110"/>
    <w:bookmarkEnd w:id="109"/>
    <w:p>
      <w:pPr>
        <w:ind w:right="880"/>
        <w:spacing w:after="0" w:line="251" w:lineRule="auto"/>
        <w:rPr>
          <w:sz w:val="20"/>
          <w:szCs w:val="20"/>
          <w:color w:val="auto"/>
        </w:rPr>
      </w:pPr>
      <w:r>
        <w:rPr>
          <w:rFonts w:ascii="Arial" w:cs="Arial" w:eastAsia="Arial" w:hAnsi="Arial"/>
          <w:sz w:val="22"/>
          <w:szCs w:val="22"/>
          <w:color w:val="auto"/>
        </w:rPr>
        <w:t>months, in amounts of at least $1,000,000, as such rate appears on Reuters Page LIBOR01 at approximately 11:00 a.m. (London time) on the relevant Series C Distribution Determination Date; or</w:t>
      </w:r>
    </w:p>
    <w:p>
      <w:pPr>
        <w:spacing w:after="0" w:line="173" w:lineRule="exact"/>
        <w:rPr>
          <w:sz w:val="20"/>
          <w:szCs w:val="20"/>
          <w:color w:val="auto"/>
        </w:rPr>
      </w:pPr>
    </w:p>
    <w:p>
      <w:pPr>
        <w:ind w:firstLine="645"/>
        <w:spacing w:after="0" w:line="269" w:lineRule="auto"/>
        <w:tabs>
          <w:tab w:leader="none" w:pos="131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C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C Distribution Period, to prime banks in the London interbank market at approximately 11:00 a.m. (London time) on that Series C Distribution Determination Date for the applicable Series C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C Three-Month LIBOR Rate for such Series C Distribution Period will be the arithmetic mean (rounded upward if necessary, to the nearest 0.00001 of 1%) of those quotations. If fewer than two quotations are provided, the Series C Three-Month LIBOR Rate for such Series C Distribution Period will be the arithmetic mean (rounded upward if necessary, to the nearest 0.00001 of 1%) of the rates quoted at approximately 11:00 a.m. (New York City time) on that Series C Distribution Determination Date for such Series C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C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C Three-Month LIBOR Rate or any of the foregoing lending rates, shall determine Series C Three-Month LIBOR Rate for the applicable Distribution Period in its discretion, after consultation with the Partnership.</w:t>
      </w:r>
    </w:p>
    <w:p>
      <w:pPr>
        <w:spacing w:after="0" w:line="176" w:lineRule="exact"/>
        <w:rPr>
          <w:rFonts w:ascii="Arial" w:cs="Arial" w:eastAsia="Arial" w:hAnsi="Arial"/>
          <w:sz w:val="19"/>
          <w:szCs w:val="19"/>
          <w:color w:val="auto"/>
        </w:rPr>
      </w:pPr>
    </w:p>
    <w:p>
      <w:pPr>
        <w:ind w:right="20" w:firstLine="645"/>
        <w:spacing w:after="0" w:line="275" w:lineRule="auto"/>
        <w:tabs>
          <w:tab w:leader="none" w:pos="132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C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C Distribution Determination Date and any other relevant methodology for calculating such substitute or successor base</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4" w:right="239" w:bottom="1440" w:gutter="0" w:footer="0" w:header="0"/>
        </w:sectPr>
      </w:pPr>
    </w:p>
    <w:bookmarkStart w:id="110" w:name="page111"/>
    <w:bookmarkEnd w:id="110"/>
    <w:p>
      <w:pPr>
        <w:ind w:left="620"/>
        <w:spacing w:after="0"/>
        <w:rPr>
          <w:sz w:val="20"/>
          <w:szCs w:val="20"/>
          <w:color w:val="auto"/>
        </w:rPr>
      </w:pPr>
      <w:r>
        <w:rPr>
          <w:rFonts w:ascii="Arial" w:cs="Arial" w:eastAsia="Arial" w:hAnsi="Arial"/>
          <w:sz w:val="22"/>
          <w:szCs w:val="22"/>
          <w:color w:val="auto"/>
        </w:rPr>
        <w:t>rate in a manner that is consistent with industry-accepted practices for such substitute or successor base rate.</w:t>
      </w:r>
    </w:p>
    <w:p>
      <w:pPr>
        <w:spacing w:after="0" w:line="206" w:lineRule="exact"/>
        <w:rPr>
          <w:sz w:val="20"/>
          <w:szCs w:val="20"/>
          <w:color w:val="auto"/>
        </w:rPr>
      </w:pPr>
    </w:p>
    <w:p>
      <w:pPr>
        <w:ind w:left="620" w:right="200" w:firstLine="1297"/>
        <w:spacing w:after="0" w:line="258" w:lineRule="auto"/>
        <w:rPr>
          <w:sz w:val="20"/>
          <w:szCs w:val="20"/>
          <w:color w:val="auto"/>
        </w:rPr>
      </w:pPr>
      <w:r>
        <w:rPr>
          <w:rFonts w:ascii="Arial" w:cs="Arial" w:eastAsia="Arial" w:hAnsi="Arial"/>
          <w:sz w:val="21"/>
          <w:szCs w:val="21"/>
          <w:color w:val="auto"/>
        </w:rPr>
        <w:t>We will appoint a calculation agent for the Series C Preference Units prior to the commencement of the Series C Floating Rate Period and will be entitled to remove or replace the calculation agent in our discretion. In addition, we or an affiliate of ours may assume the duties of the calculation agent.</w:t>
      </w:r>
    </w:p>
    <w:p>
      <w:pPr>
        <w:spacing w:after="0" w:line="167" w:lineRule="exact"/>
        <w:rPr>
          <w:sz w:val="20"/>
          <w:szCs w:val="20"/>
          <w:color w:val="auto"/>
        </w:rPr>
      </w:pPr>
    </w:p>
    <w:p>
      <w:pPr>
        <w:ind w:left="-40" w:firstLine="1305"/>
        <w:spacing w:after="0" w:line="269" w:lineRule="auto"/>
        <w:tabs>
          <w:tab w:leader="none" w:pos="191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C Distribution Payment Date, the Partnership shall pay those Series C Distributions, if any, that shall have been declared by the Board of Directors to Series C Holders on the Record Date for the applicable Series C Preference Distribution. The Record Date (the “</w:t>
      </w:r>
      <w:r>
        <w:rPr>
          <w:rFonts w:ascii="Arial" w:cs="Arial" w:eastAsia="Arial" w:hAnsi="Arial"/>
          <w:sz w:val="19"/>
          <w:szCs w:val="19"/>
          <w:b w:val="1"/>
          <w:bCs w:val="1"/>
          <w:i w:val="1"/>
          <w:iCs w:val="1"/>
          <w:color w:val="auto"/>
        </w:rPr>
        <w:t>Series C Distribution Record Date</w:t>
      </w:r>
      <w:r>
        <w:rPr>
          <w:rFonts w:ascii="Arial" w:cs="Arial" w:eastAsia="Arial" w:hAnsi="Arial"/>
          <w:sz w:val="19"/>
          <w:szCs w:val="19"/>
          <w:color w:val="auto"/>
        </w:rPr>
        <w:t xml:space="preserve">”) for the payment of any Series C Distributions shall be the fifth Business Day immediately preceding the applicable Series C Distribution Payment Date, except that in the case of payments of Series C Distributions in arrears, the Series C Distribution Record Date with respect to a Series C Distribution Payment Date shall be such date as may be designated by the Board of Directors in accordance with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C Distributions have been or contemporaneously are being paid or provided for on all Outstanding Series C Preference Units and any other Parity Securities through the most recent respective Series C Distribution Payment Dates. Accumulated Series C Distributions in arrears for any past Series C Distribution Period may be declared by the Board of Directors and paid on any date fixed by the Board of Directors, whether or not a Series C Distribution Payment Date, to Series C Holders on the record date for such payment, which may not be more than 60 days, nor less than 15 days, before such payment date. Subject to the next succeeding sentence, if all accumulated Series C Distributions in arrears on all Outstanding Series C Preference Units and any other Parity Securities shall not have been declared and paid, or if sufficient funds for the payment thereof shall not have been set apart, payment of accumulated distributions in arrears on the Series C Preference Units and any such Parity Securities shall be made in order of their respective distribution payment dates, commencing with the earliest. If less than all distributions payable with respect to all Series C Preference Units and any other Parity Securities are paid, any partial payment shall be made pro rata with respect to the Series C Preference Units and any such other Parity Securities entitled to a distribution payment at such time in proportion to the aggregate distribution amounts remaining due in respect of such Series C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Series C Holders shall not be entitled to any distribution, whether payable in cash, property or stock, in excess of full cumulative Series C Distributions. Except insofar as distributions accrue on the amount of any accumulated and unpaid Series C Distributions as described in </w:t>
      </w:r>
      <w:r>
        <w:rPr>
          <w:rFonts w:ascii="Arial" w:cs="Arial" w:eastAsia="Arial" w:hAnsi="Arial"/>
          <w:sz w:val="19"/>
          <w:szCs w:val="19"/>
          <w:u w:val="single" w:color="auto"/>
          <w:color w:val="auto"/>
        </w:rPr>
        <w:t>Section 18.3(a)</w:t>
      </w:r>
      <w:r>
        <w:rPr>
          <w:rFonts w:ascii="Arial" w:cs="Arial" w:eastAsia="Arial" w:hAnsi="Arial"/>
          <w:sz w:val="19"/>
          <w:szCs w:val="19"/>
          <w:color w:val="auto"/>
        </w:rPr>
        <w:t>, no interest or sum of money in lieu of interest shall be payable in respect of any distribution payment which may be in arrears on the Series C Preference Units. So long as the Series C Preference Units are held of record by the nominee of the Depository, declared Series C Distributions shall be paid to the Depository in same-day funds on each Series C Distribution Payment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4" w:right="259" w:bottom="1440" w:gutter="0" w:footer="0" w:header="0"/>
        </w:sectPr>
      </w:pPr>
    </w:p>
    <w:bookmarkStart w:id="111" w:name="page112"/>
    <w:bookmarkEnd w:id="111"/>
    <w:p>
      <w:pPr>
        <w:ind w:left="1280"/>
        <w:spacing w:after="0"/>
        <w:rPr>
          <w:sz w:val="20"/>
          <w:szCs w:val="20"/>
          <w:color w:val="auto"/>
        </w:rPr>
      </w:pPr>
      <w:r>
        <w:rPr>
          <w:rFonts w:ascii="Arial" w:cs="Arial" w:eastAsia="Arial" w:hAnsi="Arial"/>
          <w:sz w:val="22"/>
          <w:szCs w:val="22"/>
          <w:color w:val="auto"/>
        </w:rPr>
        <w:t xml:space="preserve">Section 18.4.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33" w:lineRule="exact"/>
        <w:rPr>
          <w:sz w:val="20"/>
          <w:szCs w:val="20"/>
          <w:color w:val="auto"/>
        </w:rPr>
      </w:pPr>
    </w:p>
    <w:p>
      <w:pPr>
        <w:ind w:left="-20" w:firstLine="1305"/>
        <w:spacing w:after="0" w:line="270" w:lineRule="auto"/>
        <w:tabs>
          <w:tab w:leader="none" w:pos="193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C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C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C Preference Units in an amount equal to the Series C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C Preference Units or any Parity Securities and (y) the Series C Holders shall be entitled to the Series C Liquidation Preference per Series C Preference Unit in cash, concurrently with any distribution made to the holders of any Parity Securities and before any distribution shall be made to the holders of Common Units or any other Junior Securities. Series C Holders shall not be entitled to any other amounts from the Partnership, in their capacity as Series C Holders, after they have received the Series C Liquidation Preference. The payment of the Series C Liquidation Preference shall be a payment in redemption of the Series C Preference Units such that, from and after payment of the full Series C Liquidation Preference, any such Series C Preference Unit shall thereafter be cancelled and no longer be Outstanding.</w:t>
      </w:r>
    </w:p>
    <w:p>
      <w:pPr>
        <w:spacing w:after="0" w:line="170" w:lineRule="exact"/>
        <w:rPr>
          <w:rFonts w:ascii="Arial" w:cs="Arial" w:eastAsia="Arial" w:hAnsi="Arial"/>
          <w:sz w:val="19"/>
          <w:szCs w:val="19"/>
          <w:color w:val="auto"/>
        </w:rPr>
      </w:pPr>
    </w:p>
    <w:p>
      <w:pPr>
        <w:ind w:left="-20" w:right="40" w:firstLine="1305"/>
        <w:spacing w:after="0" w:line="246" w:lineRule="auto"/>
        <w:tabs>
          <w:tab w:leader="none" w:pos="193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18.4(a)</w:t>
      </w:r>
      <w:r>
        <w:rPr>
          <w:rFonts w:ascii="Arial" w:cs="Arial" w:eastAsia="Arial" w:hAnsi="Arial"/>
          <w:sz w:val="21"/>
          <w:szCs w:val="21"/>
          <w:color w:val="auto"/>
        </w:rPr>
        <w:t xml:space="preserve"> above where the Partnership’s assets available for distribution to holders of the Outstanding Series C Preference Units and any other Parity Securities are insufficient to satisfy the applicable Liquidation Preference for such Series C Preference Units and Parity Securities, the Partnership’s then remaining assets or proceeds thereof legally available for distribution to unitholders of the Partnership shall be distributed among the holders of Outstanding Series C Preference Units and such Parity Securities, as applicable, ratably on the basis of their relative aggregate Liquidation Preferences. To the extent that the Series C Holders receive a partial payment of their Series C Liquidation Preference, such partial payment shall reduce the Series C Liquidation Preference of their Series C Preference Units, but only to the extent of such amount paid.</w:t>
      </w:r>
    </w:p>
    <w:p>
      <w:pPr>
        <w:spacing w:after="0" w:line="180" w:lineRule="exact"/>
        <w:rPr>
          <w:rFonts w:ascii="Arial" w:cs="Arial" w:eastAsia="Arial" w:hAnsi="Arial"/>
          <w:sz w:val="21"/>
          <w:szCs w:val="21"/>
          <w:color w:val="auto"/>
        </w:rPr>
      </w:pPr>
    </w:p>
    <w:p>
      <w:pPr>
        <w:ind w:left="-20" w:firstLine="1305"/>
        <w:spacing w:after="0" w:line="297" w:lineRule="auto"/>
        <w:tabs>
          <w:tab w:leader="none" w:pos="193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C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61" w:right="259" w:bottom="1440" w:gutter="0" w:footer="0" w:header="0"/>
        </w:sectPr>
      </w:pPr>
    </w:p>
    <w:bookmarkStart w:id="112" w:name="page113"/>
    <w:bookmarkEnd w:id="112"/>
    <w:p>
      <w:pPr>
        <w:ind w:left="1280"/>
        <w:spacing w:after="0"/>
        <w:rPr>
          <w:sz w:val="20"/>
          <w:szCs w:val="20"/>
          <w:color w:val="auto"/>
        </w:rPr>
      </w:pPr>
      <w:r>
        <w:rPr>
          <w:rFonts w:ascii="Arial" w:cs="Arial" w:eastAsia="Arial" w:hAnsi="Arial"/>
          <w:sz w:val="22"/>
          <w:szCs w:val="22"/>
          <w:color w:val="auto"/>
        </w:rPr>
        <w:t xml:space="preserve">Section 18.5.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left="-20" w:firstLine="1305"/>
        <w:spacing w:after="0" w:line="328" w:lineRule="auto"/>
        <w:tabs>
          <w:tab w:leader="none" w:pos="193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C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left="-20" w:firstLine="1305"/>
        <w:spacing w:after="0" w:line="270" w:lineRule="auto"/>
        <w:tabs>
          <w:tab w:leader="none" w:pos="19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C Distributions, whether consecutive or not, are in arrears, the Series C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C Holders holding a majority of the Outstanding Series C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C Holders shall not apply to the election of another director if (i) Series C Holders and holders of Parity Securities upon which like voting rights have been conferred, voting as a class, have previously elected a member of the Board of Directors and (ii) such director continues then to serve on the Board of Directors. Such right of such Series C Holders to elect a member of the Board of Directors shall continue until the Partnership pays in full, or declares and sets aside funds for the payment of, all Series C Distributions accumulated and in arrears on the Series C Preference Units, at which time such right shall terminate, subject to the revesting of such right in the event of each and every subsequent failure to pay six quarterly Series C Distributions as described above in this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Upon any termination of the right of the Series C Holders and holders of any other Parity Securities to vote as a class for such director, the term of office of the director then in office elected by such Series C Holders and holders voting as a class shall terminate immediately. Any director elected by the Series C Holders and holders of any other Parity Securities shall be entitled to one vote on any matter before the Board of Directors. Upon each election of a member of the Board of Directors by Series C Holders pursuant to this </w:t>
      </w:r>
      <w:r>
        <w:rPr>
          <w:rFonts w:ascii="Arial" w:cs="Arial" w:eastAsia="Arial" w:hAnsi="Arial"/>
          <w:sz w:val="19"/>
          <w:szCs w:val="19"/>
          <w:u w:val="single" w:color="auto"/>
          <w:color w:val="auto"/>
        </w:rPr>
        <w:t>Section 18.5(b)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C Holders.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20" w:right="60" w:firstLine="1305"/>
        <w:spacing w:after="0" w:line="238" w:lineRule="auto"/>
        <w:tabs>
          <w:tab w:leader="none" w:pos="193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C Preference Units, voting as a separate class, neither the General Partner nor the Board of Directors shall adopt any amendment to this Agreement that would have a material adverse effect on the existing terms of the Series C Preference Units.</w:t>
      </w:r>
    </w:p>
    <w:p>
      <w:pPr>
        <w:spacing w:after="0" w:line="185" w:lineRule="exact"/>
        <w:rPr>
          <w:sz w:val="20"/>
          <w:szCs w:val="20"/>
          <w:color w:val="auto"/>
        </w:rPr>
      </w:pPr>
    </w:p>
    <w:p>
      <w:pPr>
        <w:ind w:left="640" w:right="40" w:firstLine="645"/>
        <w:spacing w:after="0" w:line="236" w:lineRule="auto"/>
        <w:tabs>
          <w:tab w:leader="none" w:pos="195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C Preference Units voting as a class together with holders of any other Parity Securities upon which like voting rights have been conferred and are exercisable, the Partnership shall not (x) issue any Parity Securities if the cumulative dividends payable on Outstanding Series C Preference Units are in arrears or (y) create or issue any Senior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113" w:name="page114"/>
    <w:bookmarkEnd w:id="113"/>
    <w:p>
      <w:pPr>
        <w:ind w:firstLine="1305"/>
        <w:spacing w:after="0" w:line="238" w:lineRule="auto"/>
        <w:tabs>
          <w:tab w:leader="none" w:pos="19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in which the Series C Holders are entitled to vote as a class (whether separately or together with the holders of any Parity Securities), such Series C Holders shall be entitled to one vote per Series C Preference Unit. Any Series C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12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March 15, 2024 to redeem the Series C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C Redemption Date</w:t>
      </w:r>
      <w:r>
        <w:rPr>
          <w:rFonts w:ascii="Arial" w:cs="Arial" w:eastAsia="Arial" w:hAnsi="Arial"/>
          <w:sz w:val="21"/>
          <w:szCs w:val="21"/>
          <w:color w:val="auto"/>
        </w:rPr>
        <w:t>”).</w:t>
      </w:r>
    </w:p>
    <w:p>
      <w:pPr>
        <w:spacing w:after="0" w:line="167" w:lineRule="exact"/>
        <w:rPr>
          <w:sz w:val="20"/>
          <w:szCs w:val="20"/>
          <w:color w:val="auto"/>
        </w:rPr>
      </w:pPr>
    </w:p>
    <w:p>
      <w:pPr>
        <w:ind w:right="100" w:firstLine="1305"/>
        <w:spacing w:after="0" w:line="287" w:lineRule="auto"/>
        <w:tabs>
          <w:tab w:leader="none" w:pos="195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C Preference Unit to be redeemed equal to the Series C Liquidation Preference for such Series C Preference Unit on such Series C Redemption Date (the “</w:t>
      </w:r>
      <w:r>
        <w:rPr>
          <w:rFonts w:ascii="Arial" w:cs="Arial" w:eastAsia="Arial" w:hAnsi="Arial"/>
          <w:sz w:val="19"/>
          <w:szCs w:val="19"/>
          <w:b w:val="1"/>
          <w:bCs w:val="1"/>
          <w:i w:val="1"/>
          <w:iCs w:val="1"/>
          <w:color w:val="auto"/>
        </w:rPr>
        <w:t>Series C Redemption Price</w:t>
      </w:r>
      <w:r>
        <w:rPr>
          <w:rFonts w:ascii="Arial" w:cs="Arial" w:eastAsia="Arial" w:hAnsi="Arial"/>
          <w:sz w:val="19"/>
          <w:szCs w:val="19"/>
          <w:color w:val="auto"/>
        </w:rPr>
        <w:t>”). So long as the Series C Preference Units to be redeemed are held of record by the nominee of the Depository, the Series C Redemption Price shall be paid by the Paying Agent to the Depository on the Series C Redemption Date.</w:t>
      </w:r>
    </w:p>
    <w:p>
      <w:pPr>
        <w:spacing w:after="0" w:line="143" w:lineRule="exact"/>
        <w:rPr>
          <w:rFonts w:ascii="Arial" w:cs="Arial" w:eastAsia="Arial" w:hAnsi="Arial"/>
          <w:sz w:val="19"/>
          <w:szCs w:val="19"/>
          <w:color w:val="auto"/>
        </w:rPr>
      </w:pPr>
    </w:p>
    <w:p>
      <w:pPr>
        <w:ind w:firstLine="1305"/>
        <w:spacing w:after="0" w:line="245" w:lineRule="auto"/>
        <w:tabs>
          <w:tab w:leader="none" w:pos="195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Preference Units to be redeemed as such Series C Holders’ names appear on the books of the Transfer Agent and at the address of such Series C Holders shown therein. Such notice (the “</w:t>
      </w:r>
      <w:r>
        <w:rPr>
          <w:rFonts w:ascii="Arial" w:cs="Arial" w:eastAsia="Arial" w:hAnsi="Arial"/>
          <w:sz w:val="21"/>
          <w:szCs w:val="21"/>
          <w:b w:val="1"/>
          <w:bCs w:val="1"/>
          <w:i w:val="1"/>
          <w:iCs w:val="1"/>
          <w:color w:val="auto"/>
        </w:rPr>
        <w:t>Series C Redemption Notice</w:t>
      </w:r>
      <w:r>
        <w:rPr>
          <w:rFonts w:ascii="Arial" w:cs="Arial" w:eastAsia="Arial" w:hAnsi="Arial"/>
          <w:sz w:val="21"/>
          <w:szCs w:val="21"/>
          <w:color w:val="auto"/>
        </w:rPr>
        <w:t>”) shall state, as applicable: (1) the Series C Redemption Date, (2) the number of Series C Preference Units to be redeemed and, if less than all Outstanding Series C Preference Units are to be redeemed, the number (and the identification) of Units to be redeemed from such Series C Holder, (3) the Series C Redemption Price, (4) the place where the Series C Preference Units are to be redeemed and shall be presented and surrendered for payment of the Series C Redemption Price therefor and (5) that distributions on the Units to be redeemed shall cease to accumulate from and after such Series C Redemption Date.</w:t>
      </w:r>
    </w:p>
    <w:p>
      <w:pPr>
        <w:spacing w:after="0" w:line="181" w:lineRule="exact"/>
        <w:rPr>
          <w:rFonts w:ascii="Arial" w:cs="Arial" w:eastAsia="Arial" w:hAnsi="Arial"/>
          <w:sz w:val="21"/>
          <w:szCs w:val="21"/>
          <w:color w:val="auto"/>
        </w:rPr>
      </w:pPr>
    </w:p>
    <w:p>
      <w:pPr>
        <w:ind w:right="40" w:firstLine="1305"/>
        <w:spacing w:after="0" w:line="234" w:lineRule="auto"/>
        <w:tabs>
          <w:tab w:leader="none" w:pos="195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C Preference Units, the number of Series C Preference Units to be redeemed shall be determined by the Board of Directors, and such Series C Preference Units shall be redeemed by such method of selection as the Depository shall determine either Pro Rata or by lot, with adjustments to avoid redemption of fractional Series C Preference Units. The aggregate Series C Redemption Price for any such partial redemption of the Outstanding Series C Preference Units shall be allocated correspondingly among the redeemed Series C Preference Units. The Series C Preference Units not redeemed shall remain Outstanding and entitled to all the rights and preferences provided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right="300" w:firstLine="1305"/>
        <w:spacing w:after="0"/>
        <w:tabs>
          <w:tab w:leader="none" w:pos="19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the Partnership gives or causes to be given a Series C Redemption Notice, the Partnership shall deposit with the Paying Agent funds, sufficient to redeem the Series C Preference Units, as to which such Series C Redemption Notice shall have been given, no later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14" w:name="page115"/>
    <w:bookmarkEnd w:id="114"/>
    <w:p>
      <w:pPr>
        <w:ind w:right="60"/>
        <w:spacing w:after="0" w:line="270" w:lineRule="auto"/>
        <w:rPr>
          <w:sz w:val="20"/>
          <w:szCs w:val="20"/>
          <w:color w:val="auto"/>
        </w:rPr>
      </w:pPr>
      <w:r>
        <w:rPr>
          <w:rFonts w:ascii="Arial" w:cs="Arial" w:eastAsia="Arial" w:hAnsi="Arial"/>
          <w:sz w:val="19"/>
          <w:szCs w:val="19"/>
          <w:color w:val="auto"/>
        </w:rPr>
        <w:t>than 5:00 p.m. New York City time on the Business Day immediately preceding the Series C Redemption Date, and shall give the Paying Agent irrevocable instructions and authority to pay the Series C Redemption Price to the Series C Holders to be redeemed upon surrender or deemed surrender (which shall occur automatically if the Certificate representing such Series C Preference Units is issued in the name of the Depository or its nominee) of the Certificates therefor as set forth in the Series C Redemption Notice. If the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Preference Units to be redeemed shall cease to accumulate and all rights of holders of such Series C Preference Units as Limited Partners with respect to such Series C Preference Units to be redeemed shall cease, except the right to receive the Series C Redemption Price, and such Series C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C Redemption Price of the Series C Preference Units to be redeemed), and the holders of any Series C Preference Units so redeemed shall have no claim to any such interest income. Any funds deposited with the Paying Agent hereunder by the Partnership for any reason, including redemption of Series C Preference Units, that remain unclaimed or unpaid after two years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Preference Units called for redemption until funds sufficient to pay the full Series C Redemption Price of such Series C Preference Units shall have been deposited by the Partnership with the Paying Agent.</w:t>
      </w:r>
    </w:p>
    <w:p>
      <w:pPr>
        <w:spacing w:after="0" w:line="200" w:lineRule="exact"/>
        <w:rPr>
          <w:sz w:val="20"/>
          <w:szCs w:val="20"/>
          <w:color w:val="auto"/>
        </w:rPr>
      </w:pPr>
    </w:p>
    <w:p>
      <w:pPr>
        <w:spacing w:after="0" w:line="208" w:lineRule="exact"/>
        <w:rPr>
          <w:sz w:val="20"/>
          <w:szCs w:val="20"/>
          <w:color w:val="auto"/>
        </w:rPr>
      </w:pPr>
    </w:p>
    <w:p>
      <w:pPr>
        <w:ind w:firstLine="1305"/>
        <w:spacing w:after="0" w:line="248" w:lineRule="auto"/>
        <w:tabs>
          <w:tab w:leader="none" w:pos="195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Any Series C Preference Units that are redeemed or otherwise acquired by the Partnership shall be canceled. If only a portion of the Series C Preference Units represented by a Certificate shall have been called for redemption, upon surrender of the Certificate to the Paying Agent (which shall occur automatically if the Certificate representing such Series C Preference Units is registered in the name of the Depository or its nominee), the Paying Agent shall issue to the Series C Holders a new Certificate (or adjust the applicable book-entry account) representing the number of Series C Preference Units represented by the surrendered Certificate that have not been called for redemption.</w:t>
      </w:r>
    </w:p>
    <w:p>
      <w:pPr>
        <w:spacing w:after="0" w:line="177" w:lineRule="exact"/>
        <w:rPr>
          <w:rFonts w:ascii="Arial" w:cs="Arial" w:eastAsia="Arial" w:hAnsi="Arial"/>
          <w:sz w:val="21"/>
          <w:szCs w:val="21"/>
          <w:color w:val="auto"/>
        </w:rPr>
      </w:pPr>
    </w:p>
    <w:p>
      <w:pPr>
        <w:ind w:right="40" w:firstLine="1305"/>
        <w:spacing w:after="0" w:line="246" w:lineRule="auto"/>
        <w:tabs>
          <w:tab w:leader="none" w:pos="194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in the event that full cumulative distributions on the Series C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C Preference Units or other Parity Securities except pursuant to a purchase or exchange offer made on the same terms to all Series C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C Preference Units and any other Parity Securities for all prior and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then-ending Series C Distribution Periods shall have been paid or declared and set apart for payment.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18.7.  </w:t>
      </w:r>
      <w:r>
        <w:rPr>
          <w:rFonts w:ascii="Arial" w:cs="Arial" w:eastAsia="Arial" w:hAnsi="Arial"/>
          <w:sz w:val="22"/>
          <w:szCs w:val="22"/>
          <w:i w:val="1"/>
          <w:iCs w:val="1"/>
          <w:color w:val="auto"/>
        </w:rPr>
        <w:t>Rank</w:t>
      </w:r>
      <w:r>
        <w:rPr>
          <w:rFonts w:ascii="Arial" w:cs="Arial" w:eastAsia="Arial" w:hAnsi="Arial"/>
          <w:sz w:val="22"/>
          <w:szCs w:val="22"/>
          <w:color w:val="auto"/>
        </w:rPr>
        <w:t>. The Series C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C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18.8.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C Preference Units shall not have the benefit of any sinking fund.</w:t>
      </w:r>
    </w:p>
    <w:p>
      <w:pPr>
        <w:spacing w:after="0" w:line="241"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C Holder as the true, lawful and absolute owner of the applicable Series C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18.10.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C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this Agreement or by applicable law.</w:t>
      </w:r>
    </w:p>
    <w:p>
      <w:pPr>
        <w:spacing w:after="0" w:line="18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18.11.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C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C Holders, other than the implied duty of good faith and fair dealing.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jc w:val="both"/>
        <w:ind w:right="560" w:firstLine="1297"/>
        <w:spacing w:after="0"/>
        <w:rPr>
          <w:sz w:val="20"/>
          <w:szCs w:val="20"/>
          <w:color w:val="auto"/>
        </w:rPr>
      </w:pPr>
      <w:r>
        <w:rPr>
          <w:rFonts w:ascii="Arial" w:cs="Arial" w:eastAsia="Arial" w:hAnsi="Arial"/>
          <w:sz w:val="22"/>
          <w:szCs w:val="22"/>
          <w:color w:val="auto"/>
        </w:rPr>
        <w:t xml:space="preserve">Section 19.1. </w:t>
      </w:r>
      <w:r>
        <w:rPr>
          <w:rFonts w:ascii="Arial" w:cs="Arial" w:eastAsia="Arial" w:hAnsi="Arial"/>
          <w:sz w:val="22"/>
          <w:szCs w:val="22"/>
          <w:i w:val="1"/>
          <w:iCs w:val="1"/>
          <w:color w:val="auto"/>
        </w:rPr>
        <w:t>Addresses and Notices</w:t>
      </w:r>
      <w:r>
        <w:rPr>
          <w:rFonts w:ascii="Arial" w:cs="Arial" w:eastAsia="Arial" w:hAnsi="Arial"/>
          <w:sz w:val="22"/>
          <w:szCs w:val="22"/>
          <w:color w:val="auto"/>
        </w:rPr>
        <w:t>. (a) Any notice, demand, request, report or proxy materials required or permitted to be given or made to a Partner under this Agreement shall be in writing and shall be deemed given or made when delivered in person or when sent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16" w:name="page117"/>
    <w:bookmarkEnd w:id="116"/>
    <w:p>
      <w:pPr>
        <w:spacing w:after="0" w:line="270" w:lineRule="auto"/>
        <w:rPr>
          <w:sz w:val="20"/>
          <w:szCs w:val="20"/>
          <w:color w:val="auto"/>
        </w:rPr>
      </w:pPr>
      <w:r>
        <w:rPr>
          <w:rFonts w:ascii="Arial" w:cs="Arial" w:eastAsia="Arial" w:hAnsi="Arial"/>
          <w:sz w:val="19"/>
          <w:szCs w:val="19"/>
          <w:color w:val="auto"/>
        </w:rPr>
        <w:t xml:space="preserve">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19.1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The General Partner and the Board of Directors may rely and shall be protected in relying on any notice or other document from a Partner or other Person if believed by it to be genuine.</w:t>
      </w:r>
    </w:p>
    <w:p>
      <w:pPr>
        <w:spacing w:after="0" w:line="200" w:lineRule="exact"/>
        <w:rPr>
          <w:sz w:val="20"/>
          <w:szCs w:val="20"/>
          <w:color w:val="auto"/>
        </w:rPr>
      </w:pPr>
    </w:p>
    <w:p>
      <w:pPr>
        <w:spacing w:after="0" w:line="213" w:lineRule="exact"/>
        <w:rPr>
          <w:sz w:val="20"/>
          <w:szCs w:val="20"/>
          <w:color w:val="auto"/>
        </w:rPr>
      </w:pPr>
    </w:p>
    <w:p>
      <w:pPr>
        <w:ind w:right="380" w:firstLine="1305"/>
        <w:spacing w:after="0" w:line="251" w:lineRule="auto"/>
        <w:tabs>
          <w:tab w:leader="none" w:pos="195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173" w:lineRule="exact"/>
        <w:rPr>
          <w:sz w:val="20"/>
          <w:szCs w:val="20"/>
          <w:color w:val="auto"/>
        </w:rPr>
      </w:pPr>
    </w:p>
    <w:p>
      <w:pPr>
        <w:jc w:val="both"/>
        <w:ind w:right="20" w:firstLine="1297"/>
        <w:spacing w:after="0" w:line="274" w:lineRule="auto"/>
        <w:rPr>
          <w:sz w:val="20"/>
          <w:szCs w:val="20"/>
          <w:color w:val="auto"/>
        </w:rPr>
      </w:pPr>
      <w:r>
        <w:rPr>
          <w:rFonts w:ascii="Arial" w:cs="Arial" w:eastAsia="Arial" w:hAnsi="Arial"/>
          <w:sz w:val="21"/>
          <w:szCs w:val="21"/>
          <w:color w:val="auto"/>
        </w:rPr>
        <w:t xml:space="preserve">Section 19.2. </w:t>
      </w:r>
      <w:r>
        <w:rPr>
          <w:rFonts w:ascii="Arial" w:cs="Arial" w:eastAsia="Arial" w:hAnsi="Arial"/>
          <w:sz w:val="21"/>
          <w:szCs w:val="21"/>
          <w:i w:val="1"/>
          <w:iCs w:val="1"/>
          <w:color w:val="auto"/>
        </w:rPr>
        <w:t>Further Action</w:t>
      </w:r>
      <w:r>
        <w:rPr>
          <w:rFonts w:ascii="Arial" w:cs="Arial" w:eastAsia="Arial" w:hAnsi="Arial"/>
          <w:sz w:val="21"/>
          <w:szCs w:val="21"/>
          <w:color w:val="auto"/>
        </w:rPr>
        <w:t>. The parties shall execute and deliver all documents, provide all information and take or refrain from taking action as may be necessary or appropriate to achieve the purposes of this Agreement.</w:t>
      </w:r>
    </w:p>
    <w:p>
      <w:pPr>
        <w:spacing w:after="0" w:line="151" w:lineRule="exact"/>
        <w:rPr>
          <w:sz w:val="20"/>
          <w:szCs w:val="20"/>
          <w:color w:val="auto"/>
        </w:rPr>
      </w:pPr>
    </w:p>
    <w:p>
      <w:pPr>
        <w:ind w:right="220" w:firstLine="1297"/>
        <w:spacing w:after="0" w:line="274" w:lineRule="auto"/>
        <w:rPr>
          <w:sz w:val="20"/>
          <w:szCs w:val="20"/>
          <w:color w:val="auto"/>
        </w:rPr>
      </w:pPr>
      <w:r>
        <w:rPr>
          <w:rFonts w:ascii="Arial" w:cs="Arial" w:eastAsia="Arial" w:hAnsi="Arial"/>
          <w:sz w:val="21"/>
          <w:szCs w:val="21"/>
          <w:color w:val="auto"/>
        </w:rPr>
        <w:t xml:space="preserve">Section 19.3.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 binding upon and inure to the benefit of the parties hereto and their respective heirs, executors, administrators, successors, legal representatives and permitted assigns.</w:t>
      </w:r>
    </w:p>
    <w:p>
      <w:pPr>
        <w:spacing w:after="0" w:line="151"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 xml:space="preserve">Section 19.4.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Fourth Amended Agreement.</w:t>
      </w:r>
    </w:p>
    <w:p>
      <w:pPr>
        <w:spacing w:after="0" w:line="186" w:lineRule="exact"/>
        <w:rPr>
          <w:sz w:val="20"/>
          <w:szCs w:val="20"/>
          <w:color w:val="auto"/>
        </w:rPr>
      </w:pPr>
    </w:p>
    <w:p>
      <w:pPr>
        <w:ind w:right="960" w:firstLine="1297"/>
        <w:spacing w:after="0" w:line="251" w:lineRule="auto"/>
        <w:rPr>
          <w:sz w:val="20"/>
          <w:szCs w:val="20"/>
          <w:color w:val="auto"/>
        </w:rPr>
      </w:pPr>
      <w:r>
        <w:rPr>
          <w:rFonts w:ascii="Arial" w:cs="Arial" w:eastAsia="Arial" w:hAnsi="Arial"/>
          <w:sz w:val="22"/>
          <w:szCs w:val="22"/>
          <w:color w:val="auto"/>
        </w:rPr>
        <w:t xml:space="preserve">Section 19.5.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173" w:lineRule="exact"/>
        <w:rPr>
          <w:sz w:val="20"/>
          <w:szCs w:val="20"/>
          <w:color w:val="auto"/>
        </w:rPr>
      </w:pPr>
    </w:p>
    <w:p>
      <w:pPr>
        <w:ind w:right="860" w:firstLine="1297"/>
        <w:spacing w:after="0" w:line="251" w:lineRule="auto"/>
        <w:rPr>
          <w:sz w:val="20"/>
          <w:szCs w:val="20"/>
          <w:color w:val="auto"/>
        </w:rPr>
      </w:pPr>
      <w:r>
        <w:rPr>
          <w:rFonts w:ascii="Arial" w:cs="Arial" w:eastAsia="Arial" w:hAnsi="Arial"/>
          <w:sz w:val="22"/>
          <w:szCs w:val="22"/>
          <w:color w:val="auto"/>
        </w:rPr>
        <w:t xml:space="preserve">Section 19.6.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17" w:name="page118"/>
    <w:bookmarkEnd w:id="117"/>
    <w:p>
      <w:pPr>
        <w:ind w:right="20"/>
        <w:spacing w:after="0" w:line="251" w:lineRule="auto"/>
        <w:rPr>
          <w:sz w:val="20"/>
          <w:szCs w:val="20"/>
          <w:color w:val="auto"/>
        </w:rPr>
      </w:pPr>
      <w:r>
        <w:rPr>
          <w:rFonts w:ascii="Arial" w:cs="Arial" w:eastAsia="Arial" w:hAnsi="Arial"/>
          <w:sz w:val="22"/>
          <w:szCs w:val="22"/>
          <w:color w:val="auto"/>
        </w:rPr>
        <w:t>right or remedy consequent upon a breach thereof shall constitute waiver of any such breach of any other covenant, duty, agreement or condition.</w:t>
      </w:r>
    </w:p>
    <w:p>
      <w:pPr>
        <w:spacing w:after="0" w:line="173"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Section 19.7.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188"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Section 19.8.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186" w:lineRule="exact"/>
        <w:rPr>
          <w:sz w:val="20"/>
          <w:szCs w:val="20"/>
          <w:color w:val="auto"/>
        </w:rPr>
      </w:pPr>
    </w:p>
    <w:p>
      <w:pPr>
        <w:ind w:right="300" w:firstLine="1305"/>
        <w:spacing w:after="0" w:line="274" w:lineRule="auto"/>
        <w:tabs>
          <w:tab w:leader="none" w:pos="195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Each of the Partners and each Person holding any beneficial interest in the Partnership (whether through a broker, dealer, bank, trust company or clearing corporation or an agent of any of the foregoing or otherwise):</w:t>
      </w:r>
    </w:p>
    <w:p>
      <w:pPr>
        <w:spacing w:after="0" w:line="151" w:lineRule="exact"/>
        <w:rPr>
          <w:sz w:val="20"/>
          <w:szCs w:val="20"/>
          <w:color w:val="auto"/>
        </w:rPr>
      </w:pPr>
    </w:p>
    <w:p>
      <w:pPr>
        <w:ind w:left="660" w:right="20" w:firstLine="645"/>
        <w:spacing w:after="0" w:line="273" w:lineRule="auto"/>
        <w:tabs>
          <w:tab w:leader="none" w:pos="197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156" w:lineRule="exact"/>
        <w:rPr>
          <w:rFonts w:ascii="Arial" w:cs="Arial" w:eastAsia="Arial" w:hAnsi="Arial"/>
          <w:sz w:val="19"/>
          <w:szCs w:val="19"/>
          <w:color w:val="auto"/>
        </w:rPr>
      </w:pPr>
    </w:p>
    <w:p>
      <w:pPr>
        <w:jc w:val="both"/>
        <w:ind w:left="660" w:right="200" w:firstLine="645"/>
        <w:spacing w:after="0" w:line="238" w:lineRule="auto"/>
        <w:tabs>
          <w:tab w:leader="none" w:pos="197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185" w:lineRule="exact"/>
        <w:rPr>
          <w:rFonts w:ascii="Arial" w:cs="Arial" w:eastAsia="Arial" w:hAnsi="Arial"/>
          <w:sz w:val="22"/>
          <w:szCs w:val="22"/>
          <w:color w:val="auto"/>
        </w:rPr>
      </w:pPr>
    </w:p>
    <w:p>
      <w:pPr>
        <w:ind w:left="660" w:right="180" w:firstLine="645"/>
        <w:spacing w:after="0" w:line="287" w:lineRule="auto"/>
        <w:tabs>
          <w:tab w:leader="none" w:pos="198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8" w:name="page119"/>
    <w:bookmarkEnd w:id="118"/>
    <w:p>
      <w:pPr>
        <w:ind w:left="660" w:right="300" w:firstLine="645"/>
        <w:spacing w:after="0" w:line="251" w:lineRule="auto"/>
        <w:tabs>
          <w:tab w:leader="none" w:pos="1971"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173" w:lineRule="exact"/>
        <w:rPr>
          <w:rFonts w:ascii="Arial" w:cs="Arial" w:eastAsia="Arial" w:hAnsi="Arial"/>
          <w:sz w:val="22"/>
          <w:szCs w:val="22"/>
          <w:color w:val="auto"/>
        </w:rPr>
      </w:pPr>
    </w:p>
    <w:p>
      <w:pPr>
        <w:jc w:val="both"/>
        <w:ind w:left="660" w:right="400" w:firstLine="645"/>
        <w:spacing w:after="0" w:line="273" w:lineRule="auto"/>
        <w:tabs>
          <w:tab w:leader="none" w:pos="196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nothing in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151"/>
        </w:numPr>
        <w:rPr>
          <w:rFonts w:ascii="Arial" w:cs="Arial" w:eastAsia="Arial" w:hAnsi="Arial"/>
          <w:sz w:val="22"/>
          <w:szCs w:val="22"/>
          <w:u w:val="single" w:color="auto"/>
          <w:color w:val="auto"/>
        </w:rPr>
      </w:pPr>
      <w:r>
        <w:rPr>
          <w:rFonts w:ascii="Arial" w:cs="Arial" w:eastAsia="Arial" w:hAnsi="Arial"/>
          <w:sz w:val="22"/>
          <w:szCs w:val="22"/>
          <w:color w:val="auto"/>
        </w:rPr>
        <w:t>hereof shall affect or limit any right to serve process in any other manner permitted by law.</w:t>
      </w:r>
    </w:p>
    <w:p>
      <w:pPr>
        <w:spacing w:after="0" w:line="188"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19.9. </w:t>
      </w:r>
      <w:r>
        <w:rPr>
          <w:rFonts w:ascii="Arial" w:cs="Arial" w:eastAsia="Arial" w:hAnsi="Arial"/>
          <w:sz w:val="19"/>
          <w:szCs w:val="19"/>
          <w:i w:val="1"/>
          <w:iCs w:val="1"/>
          <w:color w:val="auto"/>
        </w:rPr>
        <w:t>Invalidity of Provisions</w:t>
      </w:r>
      <w:r>
        <w:rPr>
          <w:rFonts w:ascii="Arial" w:cs="Arial" w:eastAsia="Arial" w:hAnsi="Arial"/>
          <w:sz w:val="19"/>
          <w:szCs w:val="19"/>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48"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Section 19.10.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143" w:lineRule="exact"/>
        <w:rPr>
          <w:sz w:val="20"/>
          <w:szCs w:val="20"/>
          <w:color w:val="auto"/>
        </w:rPr>
      </w:pPr>
    </w:p>
    <w:p>
      <w:pPr>
        <w:ind w:right="580" w:firstLine="1297"/>
        <w:spacing w:after="0"/>
        <w:rPr>
          <w:sz w:val="20"/>
          <w:szCs w:val="20"/>
          <w:color w:val="auto"/>
        </w:rPr>
      </w:pPr>
      <w:r>
        <w:rPr>
          <w:rFonts w:ascii="Arial" w:cs="Arial" w:eastAsia="Arial" w:hAnsi="Arial"/>
          <w:sz w:val="22"/>
          <w:szCs w:val="22"/>
          <w:color w:val="auto"/>
        </w:rPr>
        <w:t xml:space="preserve">Section 19.11.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and Preference Units is expressly permitted by this Agreement.</w:t>
      </w:r>
    </w:p>
    <w:p>
      <w:pPr>
        <w:spacing w:after="0" w:line="186"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Section 19.12.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[REMAINDER OF THIS PAGE INTENTIONALLY LEFT BLANK]</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19" w:name="page120"/>
    <w:bookmarkEnd w:id="119"/>
    <w:p>
      <w:pPr>
        <w:ind w:right="60" w:firstLine="1297"/>
        <w:spacing w:after="0" w:line="251" w:lineRule="auto"/>
        <w:rPr>
          <w:sz w:val="20"/>
          <w:szCs w:val="20"/>
          <w:color w:val="auto"/>
        </w:rPr>
      </w:pPr>
      <w:r>
        <w:rPr>
          <w:rFonts w:ascii="Arial" w:cs="Arial" w:eastAsia="Arial" w:hAnsi="Arial"/>
          <w:sz w:val="22"/>
          <w:szCs w:val="22"/>
          <w:color w:val="auto"/>
        </w:rPr>
        <w:t>IN WITNESS WHEREOF, the parties hereto have executed this Fifth Amended and Restated Agreement of Limited Partnership as a Deed as of the date first written above.</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GENERAL PARTNER:</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GP LLC</w:t>
      </w:r>
    </w:p>
    <w:p>
      <w:pPr>
        <w:ind w:left="5720"/>
        <w:spacing w:after="0" w:line="238" w:lineRule="auto"/>
        <w:rPr>
          <w:sz w:val="20"/>
          <w:szCs w:val="20"/>
          <w:color w:val="auto"/>
        </w:rPr>
      </w:pPr>
      <w:r>
        <w:rPr>
          <w:rFonts w:ascii="Arial" w:cs="Arial" w:eastAsia="Arial" w:hAnsi="Arial"/>
          <w:sz w:val="22"/>
          <w:szCs w:val="22"/>
          <w:color w:val="auto"/>
        </w:rPr>
        <w:t>By: GasLog Ltd.,</w:t>
      </w:r>
    </w:p>
    <w:p>
      <w:pPr>
        <w:ind w:left="572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Paul Wogan</w:t>
      </w:r>
    </w:p>
    <w:p>
      <w:pPr>
        <w:spacing w:after="0" w:line="12" w:lineRule="exact"/>
        <w:rPr>
          <w:sz w:val="20"/>
          <w:szCs w:val="20"/>
          <w:color w:val="auto"/>
        </w:rPr>
      </w:pPr>
    </w:p>
    <w:tbl>
      <w:tblPr>
        <w:tblLayout w:type="fixed"/>
        <w:tblInd w:w="6400" w:type="dxa"/>
        <w:tblCellMar>
          <w:top w:w="0" w:type="dxa"/>
          <w:left w:w="0" w:type="dxa"/>
          <w:bottom w:w="0" w:type="dxa"/>
          <w:right w:w="0" w:type="dxa"/>
        </w:tblCellMar>
      </w:tblPr>
      <w:tr>
        <w:trPr>
          <w:trHeight w:val="215"/>
        </w:trPr>
        <w:tc>
          <w:tcPr>
            <w:tcW w:w="80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2"/>
                <w:szCs w:val="22"/>
                <w:color w:val="auto"/>
              </w:rPr>
              <w:t>Name:</w:t>
            </w:r>
          </w:p>
        </w:tc>
        <w:tc>
          <w:tcPr>
            <w:tcW w:w="4220" w:type="dxa"/>
            <w:vAlign w:val="bottom"/>
            <w:tcBorders>
              <w:top w:val="single" w:sz="8" w:color="auto"/>
            </w:tcBorders>
          </w:tcPr>
          <w:p>
            <w:pPr>
              <w:ind w:left="140"/>
              <w:spacing w:after="0" w:line="216" w:lineRule="exact"/>
              <w:rPr>
                <w:sz w:val="20"/>
                <w:szCs w:val="20"/>
                <w:color w:val="auto"/>
              </w:rPr>
            </w:pPr>
            <w:r>
              <w:rPr>
                <w:rFonts w:ascii="Arial" w:cs="Arial" w:eastAsia="Arial" w:hAnsi="Arial"/>
                <w:sz w:val="22"/>
                <w:szCs w:val="22"/>
                <w:color w:val="auto"/>
              </w:rPr>
              <w:t>Paul Wogan</w:t>
            </w:r>
          </w:p>
        </w:tc>
      </w:tr>
      <w:tr>
        <w:trPr>
          <w:trHeight w:val="275"/>
        </w:trPr>
        <w:tc>
          <w:tcPr>
            <w:tcW w:w="800" w:type="dxa"/>
            <w:vAlign w:val="bottom"/>
          </w:tcPr>
          <w:p>
            <w:pPr>
              <w:ind w:left="100"/>
              <w:spacing w:after="0"/>
              <w:rPr>
                <w:sz w:val="20"/>
                <w:szCs w:val="20"/>
                <w:color w:val="auto"/>
              </w:rPr>
            </w:pPr>
            <w:r>
              <w:rPr>
                <w:rFonts w:ascii="Arial" w:cs="Arial" w:eastAsia="Arial" w:hAnsi="Arial"/>
                <w:sz w:val="22"/>
                <w:szCs w:val="22"/>
                <w:color w:val="auto"/>
              </w:rPr>
              <w:t>Title:</w:t>
            </w:r>
          </w:p>
        </w:tc>
        <w:tc>
          <w:tcPr>
            <w:tcW w:w="422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LIMITED PARTNERS:</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All Limited Partners now and hereafter admitted as Limited</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Partners of the Partnership, pursuant to authority now and</w:t>
      </w:r>
    </w:p>
    <w:p>
      <w:pPr>
        <w:ind w:left="5720"/>
        <w:spacing w:after="0"/>
        <w:rPr>
          <w:sz w:val="20"/>
          <w:szCs w:val="20"/>
          <w:color w:val="auto"/>
        </w:rPr>
      </w:pPr>
      <w:r>
        <w:rPr>
          <w:rFonts w:ascii="Arial" w:cs="Arial" w:eastAsia="Arial" w:hAnsi="Arial"/>
          <w:sz w:val="19"/>
          <w:szCs w:val="19"/>
          <w:color w:val="auto"/>
        </w:rPr>
        <w:t>hereafter executed in favor of, and granted and delivered to, the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Board of Directors pursuant to Section 13.1 of this Partnership</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5200" w:type="dxa"/>
            <w:vAlign w:val="bottom"/>
            <w:gridSpan w:val="3"/>
          </w:tcPr>
          <w:p>
            <w:pPr>
              <w:ind w:left="180"/>
              <w:spacing w:after="0"/>
              <w:rPr>
                <w:sz w:val="20"/>
                <w:szCs w:val="20"/>
                <w:color w:val="auto"/>
              </w:rPr>
            </w:pPr>
            <w:r>
              <w:rPr>
                <w:rFonts w:ascii="Arial" w:cs="Arial" w:eastAsia="Arial" w:hAnsi="Arial"/>
                <w:sz w:val="22"/>
                <w:szCs w:val="22"/>
                <w:color w:val="auto"/>
              </w:rPr>
              <w:t>/s/ Andrew J. Orekar</w:t>
            </w:r>
          </w:p>
        </w:tc>
      </w:tr>
      <w:tr>
        <w:trPr>
          <w:trHeight w:val="215"/>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2"/>
                <w:szCs w:val="22"/>
                <w:color w:val="auto"/>
              </w:rPr>
              <w:t>Name:</w:t>
            </w:r>
          </w:p>
        </w:tc>
        <w:tc>
          <w:tcPr>
            <w:tcW w:w="4220" w:type="dxa"/>
            <w:vAlign w:val="bottom"/>
            <w:tcBorders>
              <w:top w:val="single" w:sz="8" w:color="auto"/>
            </w:tcBorders>
          </w:tcPr>
          <w:p>
            <w:pPr>
              <w:ind w:left="140"/>
              <w:spacing w:after="0" w:line="216" w:lineRule="exact"/>
              <w:rPr>
                <w:sz w:val="20"/>
                <w:szCs w:val="20"/>
                <w:color w:val="auto"/>
              </w:rPr>
            </w:pPr>
            <w:r>
              <w:rPr>
                <w:rFonts w:ascii="Arial" w:cs="Arial" w:eastAsia="Arial" w:hAnsi="Arial"/>
                <w:sz w:val="22"/>
                <w:szCs w:val="22"/>
                <w:color w:val="auto"/>
              </w:rPr>
              <w:t>Andrew J. Orekar</w:t>
            </w:r>
          </w:p>
        </w:tc>
      </w:tr>
      <w:tr>
        <w:trPr>
          <w:trHeight w:val="275"/>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22"/>
                <w:szCs w:val="22"/>
                <w:color w:val="auto"/>
              </w:rPr>
              <w:t>Title:</w:t>
            </w:r>
          </w:p>
        </w:tc>
        <w:tc>
          <w:tcPr>
            <w:tcW w:w="4220" w:type="dxa"/>
            <w:vAlign w:val="bottom"/>
          </w:tcPr>
          <w:p>
            <w:pPr>
              <w:ind w:left="140"/>
              <w:spacing w:after="0"/>
              <w:rPr>
                <w:sz w:val="20"/>
                <w:szCs w:val="20"/>
                <w:color w:val="auto"/>
              </w:rPr>
            </w:pPr>
            <w:r>
              <w:rPr>
                <w:rFonts w:ascii="Arial" w:cs="Arial" w:eastAsia="Arial" w:hAnsi="Arial"/>
                <w:sz w:val="22"/>
                <w:szCs w:val="22"/>
                <w:color w:val="auto"/>
              </w:rPr>
              <w:t>Chief Executive Officer and Director</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4"/>
          <w:szCs w:val="14"/>
          <w:b w:val="1"/>
          <w:bCs w:val="1"/>
          <w:color w:val="auto"/>
        </w:rPr>
        <w:t>IGNATURE</w:t>
      </w:r>
      <w:r>
        <w:rPr>
          <w:rFonts w:ascii="Arial" w:cs="Arial" w:eastAsia="Arial" w:hAnsi="Arial"/>
          <w:sz w:val="20"/>
          <w:szCs w:val="20"/>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0"/>
          <w:szCs w:val="20"/>
          <w:b w:val="1"/>
          <w:bCs w:val="1"/>
          <w:color w:val="auto"/>
        </w:rPr>
        <w:t xml:space="preserve"> T</w:t>
      </w:r>
      <w:r>
        <w:rPr>
          <w:rFonts w:ascii="Arial" w:cs="Arial" w:eastAsia="Arial" w:hAnsi="Arial"/>
          <w:sz w:val="14"/>
          <w:szCs w:val="14"/>
          <w:b w:val="1"/>
          <w:bCs w:val="1"/>
          <w:color w:val="auto"/>
        </w:rPr>
        <w: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4"/>
          <w:szCs w:val="14"/>
          <w:b w:val="1"/>
          <w:bCs w:val="1"/>
          <w:color w:val="auto"/>
        </w:rPr>
        <w:t>IFTH</w:t>
      </w:r>
      <w:r>
        <w:rPr>
          <w:rFonts w:ascii="Arial" w:cs="Arial" w:eastAsia="Arial" w:hAnsi="Arial"/>
          <w:sz w:val="20"/>
          <w:szCs w:val="20"/>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0"/>
          <w:szCs w:val="20"/>
          <w:b w:val="1"/>
          <w:bCs w:val="1"/>
          <w:color w:val="auto"/>
        </w:rPr>
        <w:t xml:space="preserve"> R</w:t>
      </w:r>
      <w:r>
        <w:rPr>
          <w:rFonts w:ascii="Arial" w:cs="Arial" w:eastAsia="Arial" w:hAnsi="Arial"/>
          <w:sz w:val="14"/>
          <w:szCs w:val="14"/>
          <w:b w:val="1"/>
          <w:bCs w:val="1"/>
          <w:color w:val="auto"/>
        </w:rPr>
        <w:t>ESTATED</w:t>
      </w: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4"/>
          <w:szCs w:val="14"/>
          <w:b w:val="1"/>
          <w:bCs w:val="1"/>
          <w:color w:val="auto"/>
        </w:rPr>
        <w:t>GREEMENT OF</w:t>
      </w:r>
      <w:r>
        <w:rPr>
          <w:rFonts w:ascii="Arial" w:cs="Arial" w:eastAsia="Arial" w:hAnsi="Arial"/>
          <w:sz w:val="20"/>
          <w:szCs w:val="20"/>
          <w:b w:val="1"/>
          <w:bCs w:val="1"/>
          <w:color w:val="auto"/>
        </w:rPr>
        <w:t xml:space="preserve"> L</w:t>
      </w:r>
      <w:r>
        <w:rPr>
          <w:rFonts w:ascii="Arial" w:cs="Arial" w:eastAsia="Arial" w:hAnsi="Arial"/>
          <w:sz w:val="14"/>
          <w:szCs w:val="14"/>
          <w:b w:val="1"/>
          <w:bCs w:val="1"/>
          <w:color w:val="auto"/>
        </w:rPr>
        <w:t>IMITED</w:t>
      </w:r>
      <w:r>
        <w:rPr>
          <w:rFonts w:ascii="Arial" w:cs="Arial" w:eastAsia="Arial" w:hAnsi="Arial"/>
          <w:sz w:val="20"/>
          <w:szCs w:val="20"/>
          <w:b w:val="1"/>
          <w:bCs w:val="1"/>
          <w:color w:val="auto"/>
        </w:rPr>
        <w:t xml:space="preserve"> P</w:t>
      </w:r>
      <w:r>
        <w:rPr>
          <w:rFonts w:ascii="Arial" w:cs="Arial" w:eastAsia="Arial" w:hAnsi="Arial"/>
          <w:sz w:val="14"/>
          <w:szCs w:val="14"/>
          <w:b w:val="1"/>
          <w:bCs w:val="1"/>
          <w:color w:val="auto"/>
        </w:rPr>
        <w:t>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Fifth Amended and Restated</w:t>
      </w:r>
    </w:p>
    <w:p>
      <w:pPr>
        <w:jc w:val="center"/>
        <w:ind w:right="4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100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Common Units</w:t>
      </w:r>
    </w:p>
    <w:p>
      <w:pPr>
        <w:spacing w:after="0" w:line="241" w:lineRule="exact"/>
        <w:rPr>
          <w:sz w:val="20"/>
          <w:szCs w:val="20"/>
          <w:color w:val="auto"/>
        </w:rPr>
      </w:pPr>
    </w:p>
    <w:p>
      <w:pPr>
        <w:ind w:right="400" w:firstLine="1297"/>
        <w:spacing w:after="0" w:line="276" w:lineRule="auto"/>
        <w:rPr>
          <w:sz w:val="20"/>
          <w:szCs w:val="20"/>
          <w:color w:val="auto"/>
        </w:rPr>
      </w:pPr>
      <w:r>
        <w:rPr>
          <w:rFonts w:ascii="Arial" w:cs="Arial" w:eastAsia="Arial" w:hAnsi="Arial"/>
          <w:sz w:val="19"/>
          <w:szCs w:val="19"/>
          <w:color w:val="auto"/>
        </w:rPr>
        <w:t>In accordance with Section 4.1 of the Fifth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5"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3"/>
          </w:tcPr>
          <w:p>
            <w:pPr>
              <w:spacing w:after="0"/>
              <w:rPr>
                <w:sz w:val="20"/>
                <w:szCs w:val="20"/>
                <w:color w:val="auto"/>
              </w:rPr>
            </w:pPr>
            <w:r>
              <w:rPr>
                <w:rFonts w:ascii="Arial" w:cs="Arial" w:eastAsia="Arial" w:hAnsi="Arial"/>
                <w:sz w:val="22"/>
                <w:szCs w:val="22"/>
                <w:color w:val="auto"/>
              </w:rPr>
              <w:t>Dated:</w:t>
            </w:r>
          </w:p>
        </w:tc>
        <w:tc>
          <w:tcPr>
            <w:tcW w:w="120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86"/>
        </w:trPr>
        <w:tc>
          <w:tcPr>
            <w:tcW w:w="53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20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380" w:type="dxa"/>
            <w:vAlign w:val="bottom"/>
            <w:gridSpan w:val="3"/>
          </w:tcPr>
          <w:p>
            <w:pPr>
              <w:spacing w:after="0"/>
              <w:rPr>
                <w:sz w:val="20"/>
                <w:szCs w:val="20"/>
                <w:color w:val="auto"/>
              </w:rPr>
            </w:pPr>
            <w:r>
              <w:rPr>
                <w:rFonts w:ascii="Arial" w:cs="Arial" w:eastAsia="Arial" w:hAnsi="Arial"/>
                <w:sz w:val="22"/>
                <w:szCs w:val="22"/>
                <w:color w:val="auto"/>
              </w:rPr>
              <w:t>By:</w:t>
            </w: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20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40" w:type="dxa"/>
            <w:vAlign w:val="bottom"/>
            <w:gridSpan w:val="2"/>
          </w:tcPr>
          <w:p>
            <w:pPr>
              <w:ind w:left="160"/>
              <w:spacing w:after="0"/>
              <w:rPr>
                <w:sz w:val="20"/>
                <w:szCs w:val="20"/>
                <w:color w:val="auto"/>
              </w:rPr>
            </w:pPr>
            <w:r>
              <w:rPr>
                <w:rFonts w:ascii="Arial" w:cs="Arial" w:eastAsia="Arial" w:hAnsi="Arial"/>
                <w:sz w:val="22"/>
                <w:szCs w:val="22"/>
                <w:color w:val="auto"/>
              </w:rPr>
              <w:t>A-1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as tenants in common</w:t>
            </w: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16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0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100" w:type="dxa"/>
            <w:vAlign w:val="bottom"/>
          </w:tcPr>
          <w:p>
            <w:pPr>
              <w:ind w:left="2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   as joint tenants with right of survivorship and</w:t>
            </w: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Common Units representing limited partner interests evidenced by this Certificate, subject to the Partnership</w:t>
      </w:r>
    </w:p>
    <w:p>
      <w:pPr>
        <w:spacing w:after="0" w:line="20" w:lineRule="exact"/>
        <w:rPr>
          <w:sz w:val="20"/>
          <w:szCs w:val="20"/>
          <w:color w:val="auto"/>
        </w:rPr>
      </w:pPr>
    </w:p>
    <w:p>
      <w:pPr>
        <w:ind w:right="1020"/>
        <w:spacing w:after="0" w:line="237"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40" w:type="dxa"/>
            <w:vAlign w:val="bottom"/>
            <w:gridSpan w:val="2"/>
            <w:shd w:val="clear" w:color="auto" w:fill="CCEEFF"/>
          </w:tcPr>
          <w:p>
            <w:pPr>
              <w:ind w:left="100"/>
              <w:spacing w:after="0"/>
              <w:rPr>
                <w:sz w:val="20"/>
                <w:szCs w:val="20"/>
                <w:color w:val="auto"/>
              </w:rPr>
            </w:pPr>
            <w:r>
              <w:rPr>
                <w:rFonts w:ascii="Arial" w:cs="Arial" w:eastAsia="Arial" w:hAnsi="Arial"/>
                <w:sz w:val="22"/>
                <w:szCs w:val="22"/>
                <w:color w:val="auto"/>
              </w:rPr>
              <w:t>NOTE:   The signature to any endorsement hereon must</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3"/>
              </w:rPr>
              <w:t>correspond with the name as written upon the face of</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6"/>
              </w:rPr>
              <w:t>this Certificate in every particular, without alteration,</w:t>
            </w:r>
          </w:p>
        </w:tc>
        <w:tc>
          <w:tcPr>
            <w:tcW w:w="0" w:type="dxa"/>
            <w:vAlign w:val="bottom"/>
          </w:tcPr>
          <w:p>
            <w:pPr>
              <w:spacing w:after="0"/>
              <w:rPr>
                <w:sz w:val="1"/>
                <w:szCs w:val="1"/>
                <w:color w:val="auto"/>
              </w:rPr>
            </w:pPr>
          </w:p>
        </w:tc>
      </w:tr>
      <w:tr>
        <w:trPr>
          <w:trHeight w:val="265"/>
        </w:trPr>
        <w:tc>
          <w:tcPr>
            <w:tcW w:w="5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8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9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2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9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8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9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920" w:type="dxa"/>
            <w:vAlign w:val="bottom"/>
          </w:tcPr>
          <w:p>
            <w:pPr>
              <w:spacing w:after="0"/>
              <w:rPr>
                <w:sz w:val="24"/>
                <w:szCs w:val="24"/>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Fifth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A Preference Units</w:t>
      </w:r>
    </w:p>
    <w:p>
      <w:pPr>
        <w:spacing w:after="0" w:line="241" w:lineRule="exact"/>
        <w:rPr>
          <w:sz w:val="20"/>
          <w:szCs w:val="20"/>
          <w:color w:val="auto"/>
        </w:rPr>
      </w:pPr>
    </w:p>
    <w:p>
      <w:pPr>
        <w:ind w:right="400" w:firstLine="1297"/>
        <w:spacing w:after="0" w:line="276" w:lineRule="auto"/>
        <w:rPr>
          <w:sz w:val="20"/>
          <w:szCs w:val="20"/>
          <w:color w:val="auto"/>
        </w:rPr>
      </w:pPr>
      <w:r>
        <w:rPr>
          <w:rFonts w:ascii="Arial" w:cs="Arial" w:eastAsia="Arial" w:hAnsi="Arial"/>
          <w:sz w:val="19"/>
          <w:szCs w:val="19"/>
          <w:color w:val="auto"/>
        </w:rPr>
        <w:t>In accordance with Section 4.1 of the Fifth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3"/>
          </w:tcPr>
          <w:p>
            <w:pPr>
              <w:spacing w:after="0"/>
              <w:rPr>
                <w:sz w:val="20"/>
                <w:szCs w:val="20"/>
                <w:color w:val="auto"/>
              </w:rPr>
            </w:pPr>
            <w:r>
              <w:rPr>
                <w:rFonts w:ascii="Arial" w:cs="Arial" w:eastAsia="Arial" w:hAnsi="Arial"/>
                <w:sz w:val="22"/>
                <w:szCs w:val="22"/>
                <w:color w:val="auto"/>
              </w:rPr>
              <w:t>Dated:</w:t>
            </w:r>
          </w:p>
        </w:tc>
        <w:tc>
          <w:tcPr>
            <w:tcW w:w="120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86"/>
        </w:trPr>
        <w:tc>
          <w:tcPr>
            <w:tcW w:w="53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20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380" w:type="dxa"/>
            <w:vAlign w:val="bottom"/>
            <w:gridSpan w:val="3"/>
          </w:tcPr>
          <w:p>
            <w:pPr>
              <w:spacing w:after="0"/>
              <w:rPr>
                <w:sz w:val="20"/>
                <w:szCs w:val="20"/>
                <w:color w:val="auto"/>
              </w:rPr>
            </w:pPr>
            <w:r>
              <w:rPr>
                <w:rFonts w:ascii="Arial" w:cs="Arial" w:eastAsia="Arial" w:hAnsi="Arial"/>
                <w:sz w:val="22"/>
                <w:szCs w:val="22"/>
                <w:color w:val="auto"/>
              </w:rPr>
              <w:t>By:</w:t>
            </w:r>
          </w:p>
        </w:tc>
        <w:tc>
          <w:tcPr>
            <w:tcW w:w="6040" w:type="dxa"/>
            <w:vAlign w:val="bottom"/>
            <w:gridSpan w:val="2"/>
          </w:tcPr>
          <w:p>
            <w:pPr>
              <w:ind w:left="70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200" w:type="dxa"/>
            <w:vAlign w:val="bottom"/>
          </w:tcPr>
          <w:p>
            <w:pPr>
              <w:spacing w:after="0"/>
              <w:rPr>
                <w:sz w:val="23"/>
                <w:szCs w:val="23"/>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40" w:type="dxa"/>
            <w:vAlign w:val="bottom"/>
            <w:gridSpan w:val="2"/>
          </w:tcPr>
          <w:p>
            <w:pPr>
              <w:ind w:left="180"/>
              <w:spacing w:after="0"/>
              <w:rPr>
                <w:sz w:val="20"/>
                <w:szCs w:val="20"/>
                <w:color w:val="auto"/>
              </w:rPr>
            </w:pPr>
            <w:r>
              <w:rPr>
                <w:rFonts w:ascii="Arial" w:cs="Arial" w:eastAsia="Arial" w:hAnsi="Arial"/>
                <w:sz w:val="22"/>
                <w:szCs w:val="22"/>
                <w:color w:val="auto"/>
              </w:rPr>
              <w:t>B-1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as tenants in common</w:t>
            </w: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16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0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100" w:type="dxa"/>
            <w:vAlign w:val="bottom"/>
          </w:tcPr>
          <w:p>
            <w:pPr>
              <w:ind w:left="2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   as joint tenants with right of survivorship and</w:t>
            </w: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40" w:type="dxa"/>
            <w:vAlign w:val="bottom"/>
            <w:gridSpan w:val="2"/>
            <w:shd w:val="clear" w:color="auto" w:fill="CCEEFF"/>
          </w:tcPr>
          <w:p>
            <w:pPr>
              <w:ind w:left="100"/>
              <w:spacing w:after="0"/>
              <w:rPr>
                <w:sz w:val="20"/>
                <w:szCs w:val="20"/>
                <w:color w:val="auto"/>
              </w:rPr>
            </w:pPr>
            <w:r>
              <w:rPr>
                <w:rFonts w:ascii="Arial" w:cs="Arial" w:eastAsia="Arial" w:hAnsi="Arial"/>
                <w:sz w:val="22"/>
                <w:szCs w:val="22"/>
                <w:color w:val="auto"/>
              </w:rPr>
              <w:t>NOTE:   The signature to any endorsement hereon must</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3"/>
              </w:rPr>
              <w:t>correspond with the name as written upon the face of</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6"/>
              </w:rPr>
              <w:t>this Certificate in every particular, without alteration,</w:t>
            </w:r>
          </w:p>
        </w:tc>
        <w:tc>
          <w:tcPr>
            <w:tcW w:w="0" w:type="dxa"/>
            <w:vAlign w:val="bottom"/>
          </w:tcPr>
          <w:p>
            <w:pPr>
              <w:spacing w:after="0"/>
              <w:rPr>
                <w:sz w:val="1"/>
                <w:szCs w:val="1"/>
                <w:color w:val="auto"/>
              </w:rPr>
            </w:pPr>
          </w:p>
        </w:tc>
      </w:tr>
      <w:tr>
        <w:trPr>
          <w:trHeight w:val="265"/>
        </w:trPr>
        <w:tc>
          <w:tcPr>
            <w:tcW w:w="5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8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9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2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9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8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9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920" w:type="dxa"/>
            <w:vAlign w:val="bottom"/>
          </w:tcPr>
          <w:p>
            <w:pPr>
              <w:spacing w:after="0"/>
              <w:rPr>
                <w:sz w:val="24"/>
                <w:szCs w:val="24"/>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Fifth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B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B Preference Units</w:t>
      </w:r>
    </w:p>
    <w:p>
      <w:pPr>
        <w:spacing w:after="0" w:line="241" w:lineRule="exact"/>
        <w:rPr>
          <w:sz w:val="20"/>
          <w:szCs w:val="20"/>
          <w:color w:val="auto"/>
        </w:rPr>
      </w:pPr>
    </w:p>
    <w:p>
      <w:pPr>
        <w:ind w:right="400" w:firstLine="1297"/>
        <w:spacing w:after="0" w:line="276" w:lineRule="auto"/>
        <w:rPr>
          <w:sz w:val="20"/>
          <w:szCs w:val="20"/>
          <w:color w:val="auto"/>
        </w:rPr>
      </w:pPr>
      <w:r>
        <w:rPr>
          <w:rFonts w:ascii="Arial" w:cs="Arial" w:eastAsia="Arial" w:hAnsi="Arial"/>
          <w:sz w:val="19"/>
          <w:szCs w:val="19"/>
          <w:color w:val="auto"/>
        </w:rPr>
        <w:t>In accordance with Section 4.1 of the Fifth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B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Dated:</w:t>
            </w:r>
          </w:p>
        </w:tc>
        <w:tc>
          <w:tcPr>
            <w:tcW w:w="4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340" w:type="dxa"/>
            <w:vAlign w:val="bottom"/>
            <w:gridSpan w:val="2"/>
          </w:tcPr>
          <w:p>
            <w:pPr>
              <w:spacing w:after="0"/>
              <w:rPr>
                <w:sz w:val="20"/>
                <w:szCs w:val="20"/>
                <w:color w:val="auto"/>
              </w:rPr>
            </w:pPr>
            <w:r>
              <w:rPr>
                <w:rFonts w:ascii="Arial" w:cs="Arial" w:eastAsia="Arial" w:hAnsi="Arial"/>
                <w:sz w:val="22"/>
                <w:szCs w:val="22"/>
                <w:color w:val="auto"/>
              </w:rPr>
              <w:t>GASLOG PARTNERS LP</w:t>
            </w: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Pr>
          <w:p>
            <w:pPr>
              <w:spacing w:after="0"/>
              <w:rPr>
                <w:sz w:val="24"/>
                <w:szCs w:val="24"/>
                <w:color w:val="auto"/>
              </w:rPr>
            </w:pP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spacing w:after="0" w:line="20" w:lineRule="exact"/>
              <w:rPr>
                <w:sz w:val="1"/>
                <w:szCs w:val="1"/>
                <w:color w:val="auto"/>
              </w:rPr>
            </w:pPr>
          </w:p>
        </w:tc>
        <w:tc>
          <w:tcPr>
            <w:tcW w:w="6080" w:type="dxa"/>
            <w:vAlign w:val="bottom"/>
            <w:gridSpan w:val="2"/>
            <w:vMerge w:val="restart"/>
          </w:tcPr>
          <w:p>
            <w:pPr>
              <w:ind w:left="480"/>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4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Pr>
          <w:p>
            <w:pPr>
              <w:spacing w:after="0"/>
              <w:rPr>
                <w:sz w:val="24"/>
                <w:szCs w:val="24"/>
                <w:color w:val="auto"/>
              </w:rPr>
            </w:pP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860" w:type="dxa"/>
            <w:vAlign w:val="bottom"/>
          </w:tcPr>
          <w:p>
            <w:pPr>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spacing w:after="0"/>
              <w:rPr>
                <w:sz w:val="20"/>
                <w:szCs w:val="20"/>
                <w:color w:val="auto"/>
              </w:rPr>
            </w:pPr>
            <w:r>
              <w:rPr>
                <w:rFonts w:ascii="Arial" w:cs="Arial" w:eastAsia="Arial" w:hAnsi="Arial"/>
                <w:sz w:val="22"/>
                <w:szCs w:val="22"/>
                <w:color w:val="auto"/>
              </w:rPr>
              <w:t>Secretary</w:t>
            </w:r>
          </w:p>
        </w:tc>
        <w:tc>
          <w:tcPr>
            <w:tcW w:w="12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80" w:type="dxa"/>
            <w:vAlign w:val="bottom"/>
            <w:gridSpan w:val="2"/>
          </w:tcPr>
          <w:p>
            <w:pPr>
              <w:ind w:left="220"/>
              <w:spacing w:after="0"/>
              <w:rPr>
                <w:sz w:val="20"/>
                <w:szCs w:val="20"/>
                <w:color w:val="auto"/>
              </w:rPr>
            </w:pPr>
            <w:r>
              <w:rPr>
                <w:rFonts w:ascii="Arial" w:cs="Arial" w:eastAsia="Arial" w:hAnsi="Arial"/>
                <w:sz w:val="22"/>
                <w:szCs w:val="22"/>
                <w:color w:val="auto"/>
              </w:rPr>
              <w:t>C-1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as tenants in common</w:t>
            </w: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16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0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100" w:type="dxa"/>
            <w:vAlign w:val="bottom"/>
          </w:tcPr>
          <w:p>
            <w:pPr>
              <w:ind w:left="2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   as joint tenants with right of survivorship and</w:t>
            </w: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ASSIGNMENT OF SERIES B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B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40" w:type="dxa"/>
            <w:vAlign w:val="bottom"/>
            <w:gridSpan w:val="2"/>
            <w:shd w:val="clear" w:color="auto" w:fill="CCEEFF"/>
          </w:tcPr>
          <w:p>
            <w:pPr>
              <w:ind w:left="100"/>
              <w:spacing w:after="0"/>
              <w:rPr>
                <w:sz w:val="20"/>
                <w:szCs w:val="20"/>
                <w:color w:val="auto"/>
              </w:rPr>
            </w:pPr>
            <w:r>
              <w:rPr>
                <w:rFonts w:ascii="Arial" w:cs="Arial" w:eastAsia="Arial" w:hAnsi="Arial"/>
                <w:sz w:val="22"/>
                <w:szCs w:val="22"/>
                <w:color w:val="auto"/>
              </w:rPr>
              <w:t>NOTE:   The signature to any endorsement hereon must</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3"/>
              </w:rPr>
              <w:t>correspond with the name as written upon the face of</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6"/>
              </w:rPr>
              <w:t>this Certificate in every particular, without alteration,</w:t>
            </w:r>
          </w:p>
        </w:tc>
        <w:tc>
          <w:tcPr>
            <w:tcW w:w="0" w:type="dxa"/>
            <w:vAlign w:val="bottom"/>
          </w:tcPr>
          <w:p>
            <w:pPr>
              <w:spacing w:after="0"/>
              <w:rPr>
                <w:sz w:val="1"/>
                <w:szCs w:val="1"/>
                <w:color w:val="auto"/>
              </w:rPr>
            </w:pPr>
          </w:p>
        </w:tc>
      </w:tr>
      <w:tr>
        <w:trPr>
          <w:trHeight w:val="265"/>
        </w:trPr>
        <w:tc>
          <w:tcPr>
            <w:tcW w:w="5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8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9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2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9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8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9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920" w:type="dxa"/>
            <w:vAlign w:val="bottom"/>
          </w:tcPr>
          <w:p>
            <w:pPr>
              <w:spacing w:after="0"/>
              <w:rPr>
                <w:sz w:val="24"/>
                <w:szCs w:val="24"/>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Fifth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C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C Preference Units</w:t>
      </w:r>
    </w:p>
    <w:p>
      <w:pPr>
        <w:spacing w:after="0" w:line="241" w:lineRule="exact"/>
        <w:rPr>
          <w:sz w:val="20"/>
          <w:szCs w:val="20"/>
          <w:color w:val="auto"/>
        </w:rPr>
      </w:pPr>
    </w:p>
    <w:p>
      <w:pPr>
        <w:ind w:right="400" w:firstLine="1297"/>
        <w:spacing w:after="0" w:line="276" w:lineRule="auto"/>
        <w:rPr>
          <w:sz w:val="20"/>
          <w:szCs w:val="20"/>
          <w:color w:val="auto"/>
        </w:rPr>
      </w:pPr>
      <w:r>
        <w:rPr>
          <w:rFonts w:ascii="Arial" w:cs="Arial" w:eastAsia="Arial" w:hAnsi="Arial"/>
          <w:sz w:val="19"/>
          <w:szCs w:val="19"/>
          <w:color w:val="auto"/>
        </w:rPr>
        <w:t>In accordance with Section 4.1 of the Fifth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C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C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C Preference Units are set forth in, and this Certificate and the Series C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Dated:</w:t>
            </w:r>
          </w:p>
        </w:tc>
        <w:tc>
          <w:tcPr>
            <w:tcW w:w="4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340" w:type="dxa"/>
            <w:vAlign w:val="bottom"/>
            <w:gridSpan w:val="2"/>
          </w:tcPr>
          <w:p>
            <w:pPr>
              <w:spacing w:after="0"/>
              <w:rPr>
                <w:sz w:val="20"/>
                <w:szCs w:val="20"/>
                <w:color w:val="auto"/>
              </w:rPr>
            </w:pPr>
            <w:r>
              <w:rPr>
                <w:rFonts w:ascii="Arial" w:cs="Arial" w:eastAsia="Arial" w:hAnsi="Arial"/>
                <w:sz w:val="22"/>
                <w:szCs w:val="22"/>
                <w:color w:val="auto"/>
              </w:rPr>
              <w:t>GASLOG PARTNERS LP</w:t>
            </w: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Pr>
          <w:p>
            <w:pPr>
              <w:spacing w:after="0"/>
              <w:rPr>
                <w:sz w:val="24"/>
                <w:szCs w:val="24"/>
                <w:color w:val="auto"/>
              </w:rPr>
            </w:pP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spacing w:after="0" w:line="20" w:lineRule="exact"/>
              <w:rPr>
                <w:sz w:val="1"/>
                <w:szCs w:val="1"/>
                <w:color w:val="auto"/>
              </w:rPr>
            </w:pPr>
          </w:p>
        </w:tc>
        <w:tc>
          <w:tcPr>
            <w:tcW w:w="6080" w:type="dxa"/>
            <w:vAlign w:val="bottom"/>
            <w:gridSpan w:val="2"/>
            <w:vMerge w:val="restart"/>
          </w:tcPr>
          <w:p>
            <w:pPr>
              <w:ind w:left="480"/>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4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Pr>
          <w:p>
            <w:pPr>
              <w:spacing w:after="0"/>
              <w:rPr>
                <w:sz w:val="24"/>
                <w:szCs w:val="24"/>
                <w:color w:val="auto"/>
              </w:rPr>
            </w:pPr>
          </w:p>
        </w:tc>
        <w:tc>
          <w:tcPr>
            <w:tcW w:w="6080" w:type="dxa"/>
            <w:vAlign w:val="bottom"/>
            <w:gridSpan w:val="2"/>
          </w:tcPr>
          <w:p>
            <w:pPr>
              <w:ind w:left="48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860" w:type="dxa"/>
            <w:vAlign w:val="bottom"/>
          </w:tcPr>
          <w:p>
            <w:pPr>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spacing w:after="0"/>
              <w:rPr>
                <w:sz w:val="20"/>
                <w:szCs w:val="20"/>
                <w:color w:val="auto"/>
              </w:rPr>
            </w:pPr>
            <w:r>
              <w:rPr>
                <w:rFonts w:ascii="Arial" w:cs="Arial" w:eastAsia="Arial" w:hAnsi="Arial"/>
                <w:sz w:val="22"/>
                <w:szCs w:val="22"/>
                <w:color w:val="auto"/>
              </w:rPr>
              <w:t>Secretary</w:t>
            </w:r>
          </w:p>
        </w:tc>
        <w:tc>
          <w:tcPr>
            <w:tcW w:w="12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80" w:type="dxa"/>
            <w:vAlign w:val="bottom"/>
            <w:gridSpan w:val="2"/>
          </w:tcPr>
          <w:p>
            <w:pPr>
              <w:ind w:left="200"/>
              <w:spacing w:after="0"/>
              <w:rPr>
                <w:sz w:val="20"/>
                <w:szCs w:val="20"/>
                <w:color w:val="auto"/>
              </w:rPr>
            </w:pPr>
            <w:r>
              <w:rPr>
                <w:rFonts w:ascii="Arial" w:cs="Arial" w:eastAsia="Arial" w:hAnsi="Arial"/>
                <w:sz w:val="22"/>
                <w:szCs w:val="22"/>
                <w:color w:val="auto"/>
              </w:rPr>
              <w:t>D-1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as tenants in common</w:t>
            </w: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160" w:type="dxa"/>
            <w:vAlign w:val="bottom"/>
            <w:tcBorders>
              <w:bottom w:val="single" w:sz="8" w:color="auto"/>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0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100" w:type="dxa"/>
            <w:vAlign w:val="bottom"/>
          </w:tcPr>
          <w:p>
            <w:pPr>
              <w:ind w:left="260"/>
              <w:spacing w:after="0"/>
              <w:rPr>
                <w:sz w:val="20"/>
                <w:szCs w:val="20"/>
                <w:color w:val="auto"/>
              </w:rPr>
            </w:pPr>
            <w:r>
              <w:rPr>
                <w:rFonts w:ascii="Arial" w:cs="Arial" w:eastAsia="Arial" w:hAnsi="Arial"/>
                <w:sz w:val="18"/>
                <w:szCs w:val="18"/>
                <w:color w:val="auto"/>
              </w:rPr>
              <w:t>—   as tenants by the entireties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   as joint tenants with right of survivorship and</w:t>
            </w:r>
          </w:p>
        </w:tc>
        <w:tc>
          <w:tcPr>
            <w:tcW w:w="6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 as tenants in common</w:t>
            </w:r>
          </w:p>
        </w:tc>
        <w:tc>
          <w:tcPr>
            <w:tcW w:w="1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ASSIGNMENT OF SERIES C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C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40" w:type="dxa"/>
            <w:vAlign w:val="bottom"/>
            <w:gridSpan w:val="2"/>
            <w:shd w:val="clear" w:color="auto" w:fill="CCEEFF"/>
          </w:tcPr>
          <w:p>
            <w:pPr>
              <w:ind w:left="100"/>
              <w:spacing w:after="0"/>
              <w:rPr>
                <w:sz w:val="20"/>
                <w:szCs w:val="20"/>
                <w:color w:val="auto"/>
              </w:rPr>
            </w:pPr>
            <w:r>
              <w:rPr>
                <w:rFonts w:ascii="Arial" w:cs="Arial" w:eastAsia="Arial" w:hAnsi="Arial"/>
                <w:sz w:val="22"/>
                <w:szCs w:val="22"/>
                <w:color w:val="auto"/>
              </w:rPr>
              <w:t>NOTE:   The signature to any endorsement hereon must</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3"/>
              </w:rPr>
              <w:t>correspond with the name as written upon the face of</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2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6"/>
              </w:rPr>
              <w:t>this Certificate in every particular, without alteration,</w:t>
            </w:r>
          </w:p>
        </w:tc>
        <w:tc>
          <w:tcPr>
            <w:tcW w:w="0" w:type="dxa"/>
            <w:vAlign w:val="bottom"/>
          </w:tcPr>
          <w:p>
            <w:pPr>
              <w:spacing w:after="0"/>
              <w:rPr>
                <w:sz w:val="1"/>
                <w:szCs w:val="1"/>
                <w:color w:val="auto"/>
              </w:rPr>
            </w:pPr>
          </w:p>
        </w:tc>
      </w:tr>
      <w:tr>
        <w:trPr>
          <w:trHeight w:val="265"/>
        </w:trPr>
        <w:tc>
          <w:tcPr>
            <w:tcW w:w="5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80" w:type="dxa"/>
            <w:vAlign w:val="bottom"/>
          </w:tcPr>
          <w:p>
            <w:pPr>
              <w:spacing w:after="0" w:line="216" w:lineRule="exact"/>
              <w:rPr>
                <w:sz w:val="20"/>
                <w:szCs w:val="20"/>
                <w:color w:val="auto"/>
              </w:rPr>
            </w:pPr>
            <w:r>
              <w:rPr>
                <w:rFonts w:ascii="Arial" w:cs="Arial" w:eastAsia="Arial" w:hAnsi="Arial"/>
                <w:sz w:val="22"/>
                <w:szCs w:val="22"/>
                <w:b w:val="1"/>
                <w:bCs w:val="1"/>
                <w:color w:val="auto"/>
                <w:w w:val="99"/>
              </w:rPr>
              <w:t>THE SIGNATURE(S) MUST BE GUARANTEED BY AN</w:t>
            </w:r>
          </w:p>
        </w:tc>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8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9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2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9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8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9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9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920" w:type="dxa"/>
            <w:vAlign w:val="bottom"/>
          </w:tcPr>
          <w:p>
            <w:pPr>
              <w:spacing w:after="0"/>
              <w:rPr>
                <w:sz w:val="24"/>
                <w:szCs w:val="24"/>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C Preference Units evidenced hereby will be registered on the books of the Partnership, unless the Certificate evidencing the Series C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363855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EXCHANGE AGREEMENT</w:t>
      </w:r>
    </w:p>
    <w:p>
      <w:pPr>
        <w:spacing w:after="0" w:line="30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among</w:t>
      </w:r>
    </w:p>
    <w:p>
      <w:pPr>
        <w:spacing w:after="0" w:line="30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GASLOG PARTNERS LP,</w:t>
      </w:r>
    </w:p>
    <w:p>
      <w:pPr>
        <w:spacing w:after="0" w:line="301"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GASLOG PARTNERS GP LLC</w:t>
      </w:r>
    </w:p>
    <w:p>
      <w:pPr>
        <w:spacing w:after="0" w:line="33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30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GASLOG LTD.</w:t>
      </w:r>
    </w:p>
    <w:p>
      <w:pPr>
        <w:spacing w:after="0" w:line="301"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November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556260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598805</wp:posOffset>
            </wp:positionV>
            <wp:extent cx="72466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836930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2"/>
          <w:szCs w:val="22"/>
          <w:b w:val="1"/>
          <w:bCs w:val="1"/>
          <w:color w:val="auto"/>
        </w:rPr>
        <w:t>EXCHANGE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EXCHANGE AGREEMENT (this “</w:t>
      </w:r>
      <w:r>
        <w:rPr>
          <w:rFonts w:ascii="Arial" w:cs="Arial" w:eastAsia="Arial" w:hAnsi="Arial"/>
          <w:sz w:val="21"/>
          <w:szCs w:val="21"/>
          <w:u w:val="single" w:color="auto"/>
          <w:color w:val="auto"/>
        </w:rPr>
        <w:t>Agreemen</w:t>
      </w:r>
      <w:r>
        <w:rPr>
          <w:rFonts w:ascii="Arial" w:cs="Arial" w:eastAsia="Arial" w:hAnsi="Arial"/>
          <w:sz w:val="21"/>
          <w:szCs w:val="21"/>
          <w:color w:val="auto"/>
        </w:rPr>
        <w:t>t”), dated as of November 27, 2018, is entered into by and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among GasLog Partners LP, a limited partnership organized under the laws of the Republic of the Marshall Islands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w:t>
      </w:r>
      <w:r>
        <w:rPr>
          <w:rFonts w:ascii="Arial" w:cs="Arial" w:eastAsia="Arial" w:hAnsi="Arial"/>
          <w:sz w:val="19"/>
          <w:szCs w:val="19"/>
          <w:color w:val="auto"/>
        </w:rPr>
        <w:t>”), GasLog Partners GP LLC, a limited liability company organized under the laws of the Republic of the Marshall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Islands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and GasLog Ltd., a Bermuda exempted company (“</w:t>
      </w:r>
      <w:r>
        <w:rPr>
          <w:rFonts w:ascii="Arial" w:cs="Arial" w:eastAsia="Arial" w:hAnsi="Arial"/>
          <w:sz w:val="22"/>
          <w:szCs w:val="22"/>
          <w:u w:val="single" w:color="auto"/>
          <w:color w:val="auto"/>
        </w:rPr>
        <w:t>GasLog</w:t>
      </w:r>
      <w:r>
        <w:rPr>
          <w:rFonts w:ascii="Arial" w:cs="Arial" w:eastAsia="Arial" w:hAnsi="Arial"/>
          <w:sz w:val="22"/>
          <w:szCs w:val="22"/>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620" w:firstLine="1305"/>
        <w:spacing w:after="0" w:line="251" w:lineRule="auto"/>
        <w:tabs>
          <w:tab w:leader="none" w:pos="193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General Partner is the general partner of the Partnership and owns the General Partner Interest (as defined in the Current Partnership Agreement (as defined below)) in the Partnership.</w:t>
      </w:r>
    </w:p>
    <w:p>
      <w:pPr>
        <w:spacing w:after="0" w:line="173" w:lineRule="exact"/>
        <w:rPr>
          <w:rFonts w:ascii="Arial" w:cs="Arial" w:eastAsia="Arial" w:hAnsi="Arial"/>
          <w:sz w:val="22"/>
          <w:szCs w:val="22"/>
          <w:color w:val="auto"/>
        </w:rPr>
      </w:pPr>
    </w:p>
    <w:p>
      <w:pPr>
        <w:ind w:right="480" w:firstLine="1305"/>
        <w:spacing w:after="0" w:line="251" w:lineRule="auto"/>
        <w:tabs>
          <w:tab w:leader="none" w:pos="192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GasLog owns 100% of the limited partner interests in the Partnership defined in the Current Partnership Agreement as “Incentive Distribution Rights” (“</w:t>
      </w:r>
      <w:r>
        <w:rPr>
          <w:rFonts w:ascii="Arial" w:cs="Arial" w:eastAsia="Arial" w:hAnsi="Arial"/>
          <w:sz w:val="22"/>
          <w:szCs w:val="22"/>
          <w:u w:val="single" w:color="auto"/>
          <w:color w:val="auto"/>
        </w:rPr>
        <w:t>IDRs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right="40" w:firstLine="1305"/>
        <w:spacing w:after="0" w:line="251" w:lineRule="auto"/>
        <w:tabs>
          <w:tab w:leader="none" w:pos="192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class of IDRs described in the Current Partnership Agreement and currently held by GasLog are referred to herein as the “</w:t>
      </w:r>
      <w:r>
        <w:rPr>
          <w:rFonts w:ascii="Arial" w:cs="Arial" w:eastAsia="Arial" w:hAnsi="Arial"/>
          <w:sz w:val="22"/>
          <w:szCs w:val="22"/>
          <w:u w:val="single" w:color="auto"/>
          <w:color w:val="auto"/>
        </w:rPr>
        <w:t>Old IDRs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firstLine="1305"/>
        <w:spacing w:after="0" w:line="282" w:lineRule="auto"/>
        <w:tabs>
          <w:tab w:leader="none" w:pos="193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GasLog has agreed to contribute to the Partnership all of the Old IDRs held by it in exchange for (i) the issuance by the Partnership to GasLog of a new class of IDRs to be issued by the Partnership under the Revised Partnership Agreement, having the rights, preferences, privileges and restrictions set forth therein (the “</w:t>
      </w:r>
      <w:r>
        <w:rPr>
          <w:rFonts w:ascii="Arial" w:cs="Arial" w:eastAsia="Arial" w:hAnsi="Arial"/>
          <w:sz w:val="19"/>
          <w:szCs w:val="19"/>
          <w:u w:val="single" w:color="auto"/>
          <w:color w:val="auto"/>
        </w:rPr>
        <w:t>New IDRs</w:t>
      </w:r>
      <w:r>
        <w:rPr>
          <w:rFonts w:ascii="Arial" w:cs="Arial" w:eastAsia="Arial" w:hAnsi="Arial"/>
          <w:sz w:val="19"/>
          <w:szCs w:val="19"/>
          <w:color w:val="auto"/>
        </w:rPr>
        <w:t>”) and (ii) the payment by the Partnership of the amount of U.S. dollars $25 million in cash (the “</w:t>
      </w:r>
      <w:r>
        <w:rPr>
          <w:rFonts w:ascii="Arial" w:cs="Arial" w:eastAsia="Arial" w:hAnsi="Arial"/>
          <w:sz w:val="19"/>
          <w:szCs w:val="19"/>
          <w:u w:val="single" w:color="auto"/>
          <w:color w:val="auto"/>
        </w:rPr>
        <w:t>Cash Consideration</w:t>
      </w:r>
      <w:r>
        <w:rPr>
          <w:rFonts w:ascii="Arial" w:cs="Arial" w:eastAsia="Arial" w:hAnsi="Arial"/>
          <w:sz w:val="19"/>
          <w:szCs w:val="19"/>
          <w:color w:val="auto"/>
        </w:rPr>
        <w:t>”) and the Partnership has agreed to issue the New IDRs and pay the Cash Consideration to GasLog as consideration for the contribution of the Old IDRs to the Partnership.</w:t>
      </w:r>
    </w:p>
    <w:p>
      <w:pPr>
        <w:spacing w:after="0" w:line="147" w:lineRule="exact"/>
        <w:rPr>
          <w:rFonts w:ascii="Arial" w:cs="Arial" w:eastAsia="Arial" w:hAnsi="Arial"/>
          <w:sz w:val="19"/>
          <w:szCs w:val="19"/>
          <w:color w:val="auto"/>
        </w:rPr>
      </w:pPr>
    </w:p>
    <w:p>
      <w:pPr>
        <w:ind w:right="120" w:firstLine="1305"/>
        <w:spacing w:after="0" w:line="282" w:lineRule="auto"/>
        <w:tabs>
          <w:tab w:leader="none" w:pos="196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parties hereto have agreed that the Fourth Amended and Restated Agreement of Limited Partnership of the Partnership, dated as of November 15, 2018 (the “</w:t>
      </w:r>
      <w:r>
        <w:rPr>
          <w:rFonts w:ascii="Arial" w:cs="Arial" w:eastAsia="Arial" w:hAnsi="Arial"/>
          <w:sz w:val="19"/>
          <w:szCs w:val="19"/>
          <w:u w:val="single" w:color="auto"/>
          <w:color w:val="auto"/>
        </w:rPr>
        <w:t>Current Partnership Agreemen</w:t>
      </w:r>
      <w:r>
        <w:rPr>
          <w:rFonts w:ascii="Arial" w:cs="Arial" w:eastAsia="Arial" w:hAnsi="Arial"/>
          <w:sz w:val="19"/>
          <w:szCs w:val="19"/>
          <w:color w:val="auto"/>
        </w:rPr>
        <w:t>t”), shall be amended and restated so as to reflect the cancellation of the Old IDRs and the authorization of issuance of the New IDRs and to make certain other related changes to the Current Partnership Agreement, as permitted under Sections 13.1(d)(i) and 13.1(h)(iii) of the Current Partnership Agreement (such amended and restated agreement being referred to as the “</w:t>
      </w:r>
      <w:r>
        <w:rPr>
          <w:rFonts w:ascii="Arial" w:cs="Arial" w:eastAsia="Arial" w:hAnsi="Arial"/>
          <w:sz w:val="19"/>
          <w:szCs w:val="19"/>
          <w:u w:val="single" w:color="auto"/>
          <w:color w:val="auto"/>
        </w:rPr>
        <w:t>Revised Partnership Agreemen</w:t>
      </w:r>
      <w:r>
        <w:rPr>
          <w:rFonts w:ascii="Arial" w:cs="Arial" w:eastAsia="Arial" w:hAnsi="Arial"/>
          <w:sz w:val="19"/>
          <w:szCs w:val="19"/>
          <w:color w:val="auto"/>
        </w:rPr>
        <w:t>t”).</w:t>
      </w:r>
    </w:p>
    <w:p>
      <w:pPr>
        <w:spacing w:after="0" w:line="147" w:lineRule="exact"/>
        <w:rPr>
          <w:rFonts w:ascii="Arial" w:cs="Arial" w:eastAsia="Arial" w:hAnsi="Arial"/>
          <w:sz w:val="19"/>
          <w:szCs w:val="19"/>
          <w:color w:val="auto"/>
        </w:rPr>
      </w:pPr>
    </w:p>
    <w:p>
      <w:pPr>
        <w:ind w:right="20" w:firstLine="1305"/>
        <w:spacing w:after="0"/>
        <w:tabs>
          <w:tab w:leader="none" w:pos="188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effectiveness of the Revised Partnership Agreement, the contribution by GasLog to the Partnership of the Old IDRs, the issuance by the Partnership of the New IDRs and the payment by the Partnership of the Cash Consideration, are conditioned on each other and shall occur simultaneously.</w:t>
      </w:r>
    </w:p>
    <w:p>
      <w:pPr>
        <w:spacing w:after="0" w:line="186"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NOW, THEREFORE, in consideration of their mutual undertakings and agreements hereunder, the parties hereto undertake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34" w:name="page135"/>
    <w:bookmarkEnd w:id="134"/>
    <w:p>
      <w:pPr>
        <w:ind w:left="516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Agreement</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Consideration</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Current Partnership Agreement</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Time</w:t>
      </w:r>
      <w:r>
        <w:rPr>
          <w:rFonts w:ascii="Arial" w:cs="Arial" w:eastAsia="Arial" w:hAnsi="Arial"/>
          <w:sz w:val="22"/>
          <w:szCs w:val="22"/>
          <w:color w:val="auto"/>
        </w:rPr>
        <w:t>” means 5:00 P.M. Eastern time on November 27,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GasLog</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General Partner</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IDRs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IDRs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Old IDRs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Partnership</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right="6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Revised Partnership Agreement</w:t>
      </w:r>
      <w:r>
        <w:rPr>
          <w:rFonts w:ascii="Arial" w:cs="Arial" w:eastAsia="Arial" w:hAnsi="Arial"/>
          <w:sz w:val="22"/>
          <w:szCs w:val="22"/>
          <w:color w:val="auto"/>
        </w:rPr>
        <w:t xml:space="preserve">” has the meaning given such term in the Recitals. The Revised Partnership Agreement shall be in the form attached hereto as </w:t>
      </w:r>
      <w:r>
        <w:rPr>
          <w:rFonts w:ascii="Arial" w:cs="Arial" w:eastAsia="Arial" w:hAnsi="Arial"/>
          <w:sz w:val="22"/>
          <w:szCs w:val="22"/>
          <w:u w:val="single" w:color="auto"/>
          <w:color w:val="auto"/>
        </w:rPr>
        <w:t>Exhibit 1</w:t>
      </w:r>
      <w:r>
        <w:rPr>
          <w:rFonts w:ascii="Arial" w:cs="Arial" w:eastAsia="Arial" w:hAnsi="Arial"/>
          <w:sz w:val="22"/>
          <w:szCs w:val="22"/>
          <w:color w:val="auto"/>
        </w:rPr>
        <w: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THE TRANSACTIONS</w:t>
      </w:r>
    </w:p>
    <w:p>
      <w:pPr>
        <w:spacing w:after="0" w:line="212"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Contribution of Old IDRs</w:t>
      </w:r>
      <w:r>
        <w:rPr>
          <w:rFonts w:ascii="Arial" w:cs="Arial" w:eastAsia="Arial" w:hAnsi="Arial"/>
          <w:sz w:val="19"/>
          <w:szCs w:val="19"/>
          <w:color w:val="auto"/>
        </w:rPr>
        <w:t>. At the Effective Time, GasLog shall contribute to the Partnership all of its right, title and interest in the Old IDRs held by it immediately prior to the Effective Time, which Old IDRs represent all of the issued and outstanding IDRs under the Current Partnership Agreement, and the Old IDRs shall immediately thereupon be cancelled and shall cease to exist. The Partnership hereby confirms that it is bound by the Current Partnership Agreement and, upon the effectiveness of the Revised Partnership Agreement, it will be bound by the Revised Partnership Agreement.</w:t>
      </w:r>
    </w:p>
    <w:p>
      <w:pPr>
        <w:spacing w:after="0" w:line="148" w:lineRule="exact"/>
        <w:rPr>
          <w:sz w:val="20"/>
          <w:szCs w:val="20"/>
          <w:color w:val="auto"/>
        </w:rPr>
      </w:pPr>
    </w:p>
    <w:p>
      <w:pPr>
        <w:ind w:right="580" w:firstLine="1297"/>
        <w:spacing w:after="0" w:line="238"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Consideration</w:t>
      </w:r>
      <w:r>
        <w:rPr>
          <w:rFonts w:ascii="Arial" w:cs="Arial" w:eastAsia="Arial" w:hAnsi="Arial"/>
          <w:sz w:val="22"/>
          <w:szCs w:val="22"/>
          <w:color w:val="auto"/>
        </w:rPr>
        <w:t>. At the Effective Time, simultaneously with and as consideration for the contribution of the Old IDRs to the Partnership, the Partnership shall (i) issue the New IDRs to GasLog and (ii) pay the Cash Consideration to GasLog by wire transfer of immediately available funds to an account and beneficiary being GasLog or an affiliate thereof designated in writing by GasLog. The issuance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135" w:name="page136"/>
    <w:bookmarkEnd w:id="135"/>
    <w:p>
      <w:pPr>
        <w:ind w:right="20"/>
        <w:spacing w:after="0" w:line="251" w:lineRule="auto"/>
        <w:rPr>
          <w:sz w:val="20"/>
          <w:szCs w:val="20"/>
          <w:color w:val="auto"/>
        </w:rPr>
      </w:pPr>
      <w:r>
        <w:rPr>
          <w:rFonts w:ascii="Arial" w:cs="Arial" w:eastAsia="Arial" w:hAnsi="Arial"/>
          <w:sz w:val="22"/>
          <w:szCs w:val="22"/>
          <w:color w:val="auto"/>
        </w:rPr>
        <w:t>New IDRs and the payment of the Cash Consideration shall occur simultaneously with the contribution and cancellation of the Old IDRs.</w:t>
      </w:r>
    </w:p>
    <w:p>
      <w:pPr>
        <w:spacing w:after="0" w:line="173"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Fees on Future Transactions</w:t>
      </w:r>
      <w:r>
        <w:rPr>
          <w:rFonts w:ascii="Arial" w:cs="Arial" w:eastAsia="Arial" w:hAnsi="Arial"/>
          <w:sz w:val="22"/>
          <w:szCs w:val="22"/>
          <w:color w:val="auto"/>
        </w:rPr>
        <w:t>. To the extent that GasLog or any of its affiliates other than the Partnership Group brokers or advises upon any future acquisition by the Partnership Group (as defined in the Revised Partnership Agreement) of any vessels or other energy infrastructure assets not wholly owned by GasLog or such affiliates, the Partnership and GasLog hereby agree to negotiate in good faith an advisory or brokerage fee in respect of such brokerage or advisory services payable by the Partnership to GasLog, with the amount of such fee dependent on the scope of the services provided by GasLog or such affiliates.</w:t>
      </w:r>
    </w:p>
    <w:p>
      <w:pPr>
        <w:spacing w:after="0" w:line="188"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Certificates</w:t>
      </w:r>
      <w:r>
        <w:rPr>
          <w:rFonts w:ascii="Arial" w:cs="Arial" w:eastAsia="Arial" w:hAnsi="Arial"/>
          <w:sz w:val="22"/>
          <w:szCs w:val="22"/>
          <w:color w:val="auto"/>
        </w:rPr>
        <w:t>. The New IDRs issued in connection with the transactions contemplated by this Agreement shall not be evidenced by certificates.</w:t>
      </w:r>
    </w:p>
    <w:p>
      <w:pPr>
        <w:spacing w:after="0" w:line="173" w:lineRule="exact"/>
        <w:rPr>
          <w:sz w:val="20"/>
          <w:szCs w:val="20"/>
          <w:color w:val="auto"/>
        </w:rPr>
      </w:pPr>
    </w:p>
    <w:p>
      <w:pPr>
        <w:ind w:right="220" w:firstLine="1297"/>
        <w:spacing w:after="0" w:line="252"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Partnership Agreement</w:t>
      </w:r>
      <w:r>
        <w:rPr>
          <w:rFonts w:ascii="Arial" w:cs="Arial" w:eastAsia="Arial" w:hAnsi="Arial"/>
          <w:sz w:val="21"/>
          <w:szCs w:val="21"/>
          <w:color w:val="auto"/>
        </w:rPr>
        <w:t>. The parties hereto acknowledge and agree that at the Effective Time, in order to evidence (i) the contribution and cancellation of the Old IDRs, (ii) the issuance of the New IDRs and (iii) certain other related changes to the Current Partnership Agreement, as permitted under Sections 13.1(d)(i) and 13.1(h)(iii) of the Current Partnership Agreement, the Revised Partnership Agreement shall become effective.</w:t>
      </w:r>
    </w:p>
    <w:p>
      <w:pPr>
        <w:spacing w:after="0" w:line="174" w:lineRule="exact"/>
        <w:rPr>
          <w:sz w:val="20"/>
          <w:szCs w:val="20"/>
          <w:color w:val="auto"/>
        </w:rPr>
      </w:pPr>
    </w:p>
    <w:p>
      <w:pPr>
        <w:jc w:val="both"/>
        <w:ind w:right="180" w:firstLine="1297"/>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hereto agree to execute and deliver, or cause to be executed and delivered, such further instruments or documents or take such other action as may be reasonably necessary or convenient to carry out the transactions contemplated hereby.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Partnership</w:t>
      </w:r>
      <w:r>
        <w:rPr>
          <w:rFonts w:ascii="Arial" w:cs="Arial" w:eastAsia="Arial" w:hAnsi="Arial"/>
          <w:sz w:val="19"/>
          <w:szCs w:val="19"/>
          <w:color w:val="auto"/>
        </w:rPr>
        <w:t>. The Partnership represents and warrants to GasLog as of the date hereof and as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Effective Time as follows:</w:t>
      </w:r>
    </w:p>
    <w:p>
      <w:pPr>
        <w:spacing w:after="0" w:line="188" w:lineRule="exact"/>
        <w:rPr>
          <w:sz w:val="20"/>
          <w:szCs w:val="20"/>
          <w:color w:val="auto"/>
        </w:rPr>
      </w:pPr>
    </w:p>
    <w:p>
      <w:pPr>
        <w:jc w:val="both"/>
        <w:ind w:right="100" w:firstLine="1305"/>
        <w:spacing w:after="0"/>
        <w:tabs>
          <w:tab w:leader="none" w:pos="164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Partnership is a limited partnership duly formed and validly existing in good standing under the laws of the Republic of the Marshall Islands, and has the necessary partnership power and authority to execute and deliver, and, subject to the terms and conditions hereof, to perform its obligations under, this Agreement.</w:t>
      </w:r>
    </w:p>
    <w:p>
      <w:pPr>
        <w:spacing w:after="0" w:line="186" w:lineRule="exact"/>
        <w:rPr>
          <w:rFonts w:ascii="Arial" w:cs="Arial" w:eastAsia="Arial" w:hAnsi="Arial"/>
          <w:sz w:val="22"/>
          <w:szCs w:val="22"/>
          <w:color w:val="auto"/>
        </w:rPr>
      </w:pPr>
    </w:p>
    <w:p>
      <w:pPr>
        <w:ind w:firstLine="1305"/>
        <w:spacing w:after="0" w:line="277" w:lineRule="auto"/>
        <w:tabs>
          <w:tab w:leader="none" w:pos="165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Partnership has taken all action as may be necessary to authorize the Revised Partnership Agreement and for the authorization, execution and delivery of this Agreement and the Revised Partnership Agreement, the consummation of the transactions contemplated by this Agreement and the performance of its obligations under this Agreement and the Revised Partnership Agreement. This Agreement and the Revised Partnership Agreement constitute a legal, valid and binding obligation of the Partnership, and is enforceable against the Partnership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t>materiality, reasonableness, good faith and fair dealing), regardless of whether considered in a proceeding in equity or at law.</w:t>
      </w:r>
    </w:p>
    <w:p>
      <w:pPr>
        <w:spacing w:after="0" w:line="241" w:lineRule="exact"/>
        <w:rPr>
          <w:sz w:val="20"/>
          <w:szCs w:val="20"/>
          <w:color w:val="auto"/>
        </w:rPr>
      </w:pPr>
    </w:p>
    <w:p>
      <w:pPr>
        <w:ind w:right="260" w:firstLine="1305"/>
        <w:spacing w:after="0" w:line="328" w:lineRule="auto"/>
        <w:tabs>
          <w:tab w:leader="none" w:pos="164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Neither the execution and delivery hereof nor the performance of the Partnership’s obligations hereunder will violate or contravene any applicable law, the Current Partnership Agreement or any of the Partnership’s material agreements.</w:t>
      </w:r>
    </w:p>
    <w:p>
      <w:pPr>
        <w:spacing w:after="0" w:line="105" w:lineRule="exact"/>
        <w:rPr>
          <w:rFonts w:ascii="Arial" w:cs="Arial" w:eastAsia="Arial" w:hAnsi="Arial"/>
          <w:sz w:val="19"/>
          <w:szCs w:val="19"/>
          <w:color w:val="auto"/>
        </w:rPr>
      </w:pPr>
    </w:p>
    <w:p>
      <w:pPr>
        <w:jc w:val="both"/>
        <w:ind w:firstLine="1305"/>
        <w:spacing w:after="0" w:line="252" w:lineRule="auto"/>
        <w:tabs>
          <w:tab w:leader="none" w:pos="1657"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New IDRs and the limited partner interests represented thereby have been duly and validly authorized and, when issued and delivered in accordance with the terms and provisions of this Agreement, will be duly and validly issued and fully paid (to the extent required under the Revised Partnership Agreement) and non-assessable (except as such nonassessability may be affected by Section 41 of The Marshall Islands Limited Partnership Act).</w:t>
      </w:r>
    </w:p>
    <w:p>
      <w:pPr>
        <w:spacing w:after="0" w:line="174"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General Partner</w:t>
      </w:r>
      <w:r>
        <w:rPr>
          <w:rFonts w:ascii="Arial" w:cs="Arial" w:eastAsia="Arial" w:hAnsi="Arial"/>
          <w:sz w:val="22"/>
          <w:szCs w:val="22"/>
          <w:color w:val="auto"/>
        </w:rPr>
        <w:t>. The General Partner represents and warrants to the Partnership as of the date hereof and as of the Effective Time as follows:</w:t>
      </w:r>
    </w:p>
    <w:p>
      <w:pPr>
        <w:spacing w:after="0" w:line="173" w:lineRule="exact"/>
        <w:rPr>
          <w:sz w:val="20"/>
          <w:szCs w:val="20"/>
          <w:color w:val="auto"/>
        </w:rPr>
      </w:pPr>
    </w:p>
    <w:p>
      <w:pPr>
        <w:ind w:right="140" w:firstLine="1305"/>
        <w:spacing w:after="0"/>
        <w:tabs>
          <w:tab w:leader="none" w:pos="16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General Partner is a limited liability company duly formed and validly existing in good standing under the laws of the Republic of the Marshall Islands and has the necessary limited liability company power and authority to execute and deliver this Agreement and to perform its obligations hereunder.</w:t>
      </w:r>
    </w:p>
    <w:p>
      <w:pPr>
        <w:spacing w:after="0" w:line="186" w:lineRule="exact"/>
        <w:rPr>
          <w:rFonts w:ascii="Arial" w:cs="Arial" w:eastAsia="Arial" w:hAnsi="Arial"/>
          <w:sz w:val="22"/>
          <w:szCs w:val="22"/>
          <w:color w:val="auto"/>
        </w:rPr>
      </w:pPr>
    </w:p>
    <w:p>
      <w:pPr>
        <w:ind w:right="20" w:firstLine="1305"/>
        <w:spacing w:after="0" w:line="275" w:lineRule="auto"/>
        <w:tabs>
          <w:tab w:leader="none" w:pos="165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General Partner has taken all action as may be necessary to authorize the Revised Partnership Agreement and for the authorization, execution and delivery of this Agreement and the consummation of the transactions contemplated by this Agreement and the performance of its obligations under this Agreement and the Revised Partnership Agreement. This Agreement and the Revised Partnership Agreement constitute legal, valid and binding obligations of the General Partner, enforceable against the General Partner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GasLog</w:t>
      </w:r>
      <w:r>
        <w:rPr>
          <w:rFonts w:ascii="Arial" w:cs="Arial" w:eastAsia="Arial" w:hAnsi="Arial"/>
          <w:sz w:val="19"/>
          <w:szCs w:val="19"/>
          <w:color w:val="auto"/>
        </w:rPr>
        <w:t>. GasLog represents and warrants to the Partnership as of the date hereof and as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Effective Time as follows:</w:t>
      </w:r>
    </w:p>
    <w:p>
      <w:pPr>
        <w:spacing w:after="0" w:line="188" w:lineRule="exact"/>
        <w:rPr>
          <w:sz w:val="20"/>
          <w:szCs w:val="20"/>
          <w:color w:val="auto"/>
        </w:rPr>
      </w:pPr>
    </w:p>
    <w:p>
      <w:pPr>
        <w:ind w:right="60" w:firstLine="1305"/>
        <w:spacing w:after="0"/>
        <w:tabs>
          <w:tab w:leader="none" w:pos="1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GasLog is duly incorporated for an indefinite period and is validly existing and in good standing under the laws of Bermuda and has the necessary corporate power and authority to execute and deliver this Agreement and to perform its obligations hereunder.</w:t>
      </w:r>
    </w:p>
    <w:p>
      <w:pPr>
        <w:spacing w:after="0" w:line="186" w:lineRule="exact"/>
        <w:rPr>
          <w:rFonts w:ascii="Arial" w:cs="Arial" w:eastAsia="Arial" w:hAnsi="Arial"/>
          <w:sz w:val="22"/>
          <w:szCs w:val="22"/>
          <w:color w:val="auto"/>
        </w:rPr>
      </w:pPr>
    </w:p>
    <w:p>
      <w:pPr>
        <w:ind w:firstLine="1305"/>
        <w:spacing w:after="0" w:line="238" w:lineRule="auto"/>
        <w:tabs>
          <w:tab w:leader="none" w:pos="165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GasLog has taken all action as may be necessary to authorize the Revised Partnership Agreement and for the authorization, execution and delivery of this Agreement and the consummation of the transactions contemplated by this Agreement and the performance of its obligations under this Agreement and the Revised Partnership Agreement. This Agreement and the Revised Partnership Agreement constitute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7" w:name="page138"/>
    <w:bookmarkEnd w:id="137"/>
    <w:p>
      <w:pPr>
        <w:ind w:right="560"/>
        <w:spacing w:after="0" w:line="287" w:lineRule="auto"/>
        <w:rPr>
          <w:sz w:val="20"/>
          <w:szCs w:val="20"/>
          <w:color w:val="auto"/>
        </w:rPr>
      </w:pPr>
      <w:r>
        <w:rPr>
          <w:rFonts w:ascii="Arial" w:cs="Arial" w:eastAsia="Arial" w:hAnsi="Arial"/>
          <w:sz w:val="19"/>
          <w:szCs w:val="19"/>
          <w:color w:val="auto"/>
        </w:rPr>
        <w:t>valid and binding obligations of GasLog, enforceable against GasLog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43" w:lineRule="exact"/>
        <w:rPr>
          <w:sz w:val="20"/>
          <w:szCs w:val="20"/>
          <w:color w:val="auto"/>
        </w:rPr>
      </w:pPr>
    </w:p>
    <w:p>
      <w:pPr>
        <w:ind w:right="80" w:firstLine="1305"/>
        <w:spacing w:after="0" w:line="238" w:lineRule="auto"/>
        <w:tabs>
          <w:tab w:leader="none" w:pos="1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GasLog is the beneficial and record holder of 100% of the Old IDRs, and such Old IDRs are owned by GasLog free and clear of all liens; there is no subscription, option, warrant, call, right, agreement or commitment relating to the issuance, sale, delivery, repurchase, contribution or transfer by GasLog of such Old IDRs, except as set forth in the Current Partnership Agreement.</w:t>
      </w:r>
    </w:p>
    <w:p>
      <w:pPr>
        <w:spacing w:after="0" w:line="185" w:lineRule="exact"/>
        <w:rPr>
          <w:rFonts w:ascii="Arial" w:cs="Arial" w:eastAsia="Arial" w:hAnsi="Arial"/>
          <w:sz w:val="22"/>
          <w:szCs w:val="22"/>
          <w:color w:val="auto"/>
        </w:rPr>
      </w:pPr>
    </w:p>
    <w:p>
      <w:pPr>
        <w:ind w:right="140" w:firstLine="1305"/>
        <w:spacing w:after="0" w:line="249" w:lineRule="auto"/>
        <w:tabs>
          <w:tab w:leader="none" w:pos="1657" w:val="left"/>
        </w:tabs>
        <w:numPr>
          <w:ilvl w:val="0"/>
          <w:numId w:val="161"/>
        </w:numPr>
        <w:rPr>
          <w:rFonts w:ascii="Arial" w:cs="Arial" w:eastAsia="Arial" w:hAnsi="Arial"/>
          <w:sz w:val="21"/>
          <w:szCs w:val="21"/>
          <w:color w:val="auto"/>
        </w:rPr>
      </w:pPr>
      <w:r>
        <w:rPr>
          <w:rFonts w:ascii="Arial" w:cs="Arial" w:eastAsia="Arial" w:hAnsi="Arial"/>
          <w:sz w:val="21"/>
          <w:szCs w:val="21"/>
          <w:color w:val="auto"/>
        </w:rPr>
        <w:t>GasLog is an “Accredited Investor” as defined in Rule 501(a) promulgated under the United States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is acquiring the New IDRs for its own account, and not with a view to any distribution, resale, subdivision or fractionalization thereof in violation of the Securities Act or any other applicable domestic or foreign securities law, and GasLog has no present plans to enter into any contract, undertaking, agreement or arrangement for any such distribution, resale, subdivision or fractionalization of the New IDRs.</w:t>
      </w:r>
    </w:p>
    <w:p>
      <w:pPr>
        <w:spacing w:after="0" w:line="178" w:lineRule="exact"/>
        <w:rPr>
          <w:rFonts w:ascii="Arial" w:cs="Arial" w:eastAsia="Arial" w:hAnsi="Arial"/>
          <w:sz w:val="21"/>
          <w:szCs w:val="21"/>
          <w:color w:val="auto"/>
        </w:rPr>
      </w:pPr>
    </w:p>
    <w:p>
      <w:pPr>
        <w:ind w:right="100" w:firstLine="1305"/>
        <w:spacing w:after="0"/>
        <w:tabs>
          <w:tab w:leader="none" w:pos="1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GasLog acknowledges that the New IDRs have not been registered under the Securities Act, or the securities laws of any state and may not be sold except pursuant to an effective registration statement under the Securities Act or pursuant to an exemption from registration under the Securities Act.</w:t>
      </w:r>
    </w:p>
    <w:p>
      <w:pPr>
        <w:spacing w:after="0" w:line="186" w:lineRule="exact"/>
        <w:rPr>
          <w:rFonts w:ascii="Arial" w:cs="Arial" w:eastAsia="Arial" w:hAnsi="Arial"/>
          <w:sz w:val="22"/>
          <w:szCs w:val="22"/>
          <w:color w:val="auto"/>
        </w:rPr>
      </w:pPr>
    </w:p>
    <w:p>
      <w:pPr>
        <w:ind w:right="200" w:firstLine="1305"/>
        <w:spacing w:after="0" w:line="251" w:lineRule="auto"/>
        <w:tabs>
          <w:tab w:leader="none" w:pos="1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GasLog acknowledges that the New IDRs are subject to certain restrictions on transfer set forth in the Revised Partnership Agreement.</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CONDITIONS</w:t>
      </w:r>
    </w:p>
    <w:p>
      <w:pPr>
        <w:spacing w:after="0" w:line="212"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Conditions to Obligations of Each Party</w:t>
      </w:r>
      <w:r>
        <w:rPr>
          <w:rFonts w:ascii="Arial" w:cs="Arial" w:eastAsia="Arial" w:hAnsi="Arial"/>
          <w:sz w:val="22"/>
          <w:szCs w:val="22"/>
          <w:color w:val="auto"/>
        </w:rPr>
        <w:t>. Notwithstanding any other provision of this Agreement, the respective obligations of each party to consummate the transactions contemplated by this Agreement shall be subject to the fulfillment of the following conditions:</w:t>
      </w:r>
    </w:p>
    <w:p>
      <w:pPr>
        <w:spacing w:after="0" w:line="186" w:lineRule="exact"/>
        <w:rPr>
          <w:sz w:val="20"/>
          <w:szCs w:val="20"/>
          <w:color w:val="auto"/>
        </w:rPr>
      </w:pPr>
    </w:p>
    <w:p>
      <w:pPr>
        <w:ind w:right="160" w:firstLine="1305"/>
        <w:spacing w:after="0" w:line="251" w:lineRule="auto"/>
        <w:tabs>
          <w:tab w:leader="none" w:pos="16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that the agreements and covenants of the other parties hereto to be complied with or performed pursuant to the terms hereof shall have been duly complied with or performed;</w:t>
      </w:r>
    </w:p>
    <w:p>
      <w:pPr>
        <w:spacing w:after="0" w:line="173" w:lineRule="exact"/>
        <w:rPr>
          <w:rFonts w:ascii="Arial" w:cs="Arial" w:eastAsia="Arial" w:hAnsi="Arial"/>
          <w:sz w:val="22"/>
          <w:szCs w:val="22"/>
          <w:color w:val="auto"/>
        </w:rPr>
      </w:pPr>
    </w:p>
    <w:p>
      <w:pPr>
        <w:ind w:firstLine="1305"/>
        <w:spacing w:after="0" w:line="297" w:lineRule="auto"/>
        <w:tabs>
          <w:tab w:leader="none" w:pos="165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 order shall have been entered and remained in effect in any action or proceeding before any federal, foreign, state or provincial court or governmental agency or other federal, foreign, state or provincial regulatory or administrative agency or commission that would prevent or make illegal the consummation of the transactions contemplated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8" w:name="page139"/>
    <w:bookmarkEnd w:id="138"/>
    <w:p>
      <w:pPr>
        <w:jc w:val="center"/>
        <w:ind w:left="480"/>
        <w:spacing w:after="0"/>
        <w:rPr>
          <w:sz w:val="20"/>
          <w:szCs w:val="20"/>
          <w:color w:val="auto"/>
        </w:rPr>
      </w:pPr>
      <w:r>
        <w:rPr>
          <w:rFonts w:ascii="Arial" w:cs="Arial" w:eastAsia="Arial" w:hAnsi="Arial"/>
          <w:sz w:val="22"/>
          <w:szCs w:val="22"/>
          <w:color w:val="auto"/>
        </w:rPr>
        <w:t>(c) the representations and warranties of the other party shall remain true and correct at the Effective Time.</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2" w:lineRule="exact"/>
        <w:rPr>
          <w:sz w:val="20"/>
          <w:szCs w:val="20"/>
          <w:color w:val="auto"/>
        </w:rPr>
      </w:pPr>
    </w:p>
    <w:p>
      <w:pPr>
        <w:jc w:val="both"/>
        <w:ind w:right="100" w:firstLine="1297"/>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New York shall govern the construction, interpretation and effect of this Agreement without giving effect to any conflicts of law principles thereof other than Section 5-1401 of the New York General Obligations Law.</w:t>
      </w:r>
    </w:p>
    <w:p>
      <w:pPr>
        <w:spacing w:after="0" w:line="186" w:lineRule="exact"/>
        <w:rPr>
          <w:sz w:val="20"/>
          <w:szCs w:val="20"/>
          <w:color w:val="auto"/>
        </w:rPr>
      </w:pPr>
    </w:p>
    <w:p>
      <w:pPr>
        <w:jc w:val="both"/>
        <w:ind w:right="80" w:firstLine="1297"/>
        <w:spacing w:after="0" w:line="25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an original, and all of which simultaneously shall constitute one and the same instrument.</w:t>
      </w:r>
    </w:p>
    <w:p>
      <w:pPr>
        <w:spacing w:after="0" w:line="173"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Amendments</w:t>
      </w:r>
      <w:r>
        <w:rPr>
          <w:rFonts w:ascii="Arial" w:cs="Arial" w:eastAsia="Arial" w:hAnsi="Arial"/>
          <w:sz w:val="22"/>
          <w:szCs w:val="22"/>
          <w:color w:val="auto"/>
        </w:rPr>
        <w:t>. All waivers, modifications, amendments or alterations of this Agreement shall require the written approval of each of the parties to this Agreement.</w:t>
      </w:r>
    </w:p>
    <w:p>
      <w:pPr>
        <w:spacing w:after="0" w:line="173" w:lineRule="exact"/>
        <w:rPr>
          <w:sz w:val="20"/>
          <w:szCs w:val="20"/>
          <w:color w:val="auto"/>
        </w:rPr>
      </w:pPr>
    </w:p>
    <w:p>
      <w:pPr>
        <w:jc w:val="both"/>
        <w:ind w:right="20" w:firstLine="1297"/>
        <w:spacing w:after="0" w:line="328"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parties and the respective successors and assigns. This Agreement shall not be assignable except with the prior written consent of the other party.</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Benefits of Agreement Restricted to Parties</w:t>
      </w:r>
      <w:r>
        <w:rPr>
          <w:rFonts w:ascii="Arial" w:cs="Arial" w:eastAsia="Arial" w:hAnsi="Arial"/>
          <w:sz w:val="22"/>
          <w:szCs w:val="22"/>
          <w:color w:val="auto"/>
        </w:rPr>
        <w:t>. This Agreement is made solely for the benefit of the parties to this Agreement, and no other person or entity (including employees and partners of the Partnership) shall have any right, claim or cause of action under or by virtue of this Agreement.</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Notices</w:t>
      </w:r>
      <w:r>
        <w:rPr>
          <w:rFonts w:ascii="Arial" w:cs="Arial" w:eastAsia="Arial" w:hAnsi="Arial"/>
          <w:sz w:val="22"/>
          <w:szCs w:val="22"/>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Partnership,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Partners LP</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Andrew J. Orekar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39" w:name="page140"/>
    <w:bookmarkEnd w:id="139"/>
    <w:p>
      <w:pPr>
        <w:ind w:left="1300"/>
        <w:spacing w:after="0"/>
        <w:rPr>
          <w:sz w:val="20"/>
          <w:szCs w:val="20"/>
          <w:color w:val="auto"/>
        </w:rPr>
      </w:pPr>
      <w:r>
        <w:rPr>
          <w:rFonts w:ascii="Arial" w:cs="Arial" w:eastAsia="Arial" w:hAnsi="Arial"/>
          <w:sz w:val="22"/>
          <w:szCs w:val="22"/>
          <w:color w:val="auto"/>
        </w:rPr>
        <w:t>If to the General Partner,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Partners GP LLC</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Paul Wogan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GasLog,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Ltd.</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Legal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18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and any such notice shall be deemed to have been received (i) on the next working day in the place to which it is sent, if sent by facsimile or (ii) forty eight (48) hours from the time of dispatch, if sent by courier.</w:t>
      </w:r>
    </w:p>
    <w:p>
      <w:pPr>
        <w:spacing w:after="0" w:line="173"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of this Agreement shall finally be determined to be unlawful, such provision shall, so long as the economic and legal substance of the transactions contemplated hereby is not affected in any materially adverse manner as to any of the parties to this Agreement, be deemed severed from this Agreement and every other provision of this Agreement shall remain in full force and effect.</w:t>
      </w:r>
    </w:p>
    <w:p>
      <w:pPr>
        <w:spacing w:after="0" w:line="174" w:lineRule="exact"/>
        <w:rPr>
          <w:sz w:val="20"/>
          <w:szCs w:val="20"/>
          <w:color w:val="auto"/>
        </w:rPr>
      </w:pPr>
    </w:p>
    <w:p>
      <w:pPr>
        <w:ind w:right="340" w:firstLine="1297"/>
        <w:spacing w:after="0" w:line="328"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Titles</w:t>
      </w:r>
      <w:r>
        <w:rPr>
          <w:rFonts w:ascii="Arial" w:cs="Arial" w:eastAsia="Arial" w:hAnsi="Arial"/>
          <w:sz w:val="19"/>
          <w:szCs w:val="19"/>
          <w:color w:val="auto"/>
        </w:rPr>
        <w:t>. The article, section and paragraph titles in this Agreement are only for purposes of convenience and do not form a part of this Agreement and will not be taken to qualify, explain, or affect any provision thereof.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40" w:name="page141"/>
    <w:bookmarkEnd w:id="140"/>
    <w:p>
      <w:pPr>
        <w:ind w:right="520" w:firstLine="1297"/>
        <w:spacing w:after="0" w:line="251" w:lineRule="auto"/>
        <w:rPr>
          <w:sz w:val="20"/>
          <w:szCs w:val="20"/>
          <w:color w:val="auto"/>
        </w:rPr>
      </w:pPr>
      <w:r>
        <w:rPr>
          <w:rFonts w:ascii="Arial" w:cs="Arial" w:eastAsia="Arial" w:hAnsi="Arial"/>
          <w:sz w:val="22"/>
          <w:szCs w:val="22"/>
          <w:color w:val="auto"/>
        </w:rPr>
        <w:t>IN WITNESS WHEREOF, this Exchange Agreement has been executed on behalf of each of the parties hereto effective as of the day and year first above written.</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LP,</w:t>
      </w:r>
    </w:p>
    <w:p>
      <w:pPr>
        <w:spacing w:after="0" w:line="382"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J. Orekar</w:t>
            </w:r>
          </w:p>
        </w:tc>
      </w:tr>
      <w:tr>
        <w:trPr>
          <w:trHeight w:val="215"/>
        </w:trPr>
        <w:tc>
          <w:tcPr>
            <w:tcW w:w="660" w:type="dxa"/>
            <w:vAlign w:val="bottom"/>
          </w:tcPr>
          <w:p>
            <w:pPr>
              <w:spacing w:after="0"/>
              <w:rPr>
                <w:sz w:val="18"/>
                <w:szCs w:val="18"/>
                <w:color w:val="auto"/>
              </w:rPr>
            </w:pPr>
          </w:p>
        </w:tc>
        <w:tc>
          <w:tcPr>
            <w:tcW w:w="5040" w:type="dxa"/>
            <w:vAlign w:val="bottom"/>
          </w:tcPr>
          <w:p>
            <w:pPr>
              <w:ind w:left="100"/>
              <w:spacing w:after="0" w:line="216" w:lineRule="exact"/>
              <w:rPr>
                <w:sz w:val="20"/>
                <w:szCs w:val="20"/>
                <w:color w:val="auto"/>
              </w:rPr>
            </w:pPr>
            <w:r>
              <w:rPr>
                <w:rFonts w:ascii="Arial" w:cs="Arial" w:eastAsia="Arial" w:hAnsi="Arial"/>
                <w:sz w:val="22"/>
                <w:szCs w:val="22"/>
                <w:color w:val="auto"/>
              </w:rPr>
              <w:t>Name: Andrew J. Orekar</w:t>
            </w:r>
          </w:p>
        </w:tc>
      </w:tr>
      <w:tr>
        <w:trPr>
          <w:trHeight w:val="275"/>
        </w:trPr>
        <w:tc>
          <w:tcPr>
            <w:tcW w:w="660" w:type="dxa"/>
            <w:vAlign w:val="bottom"/>
          </w:tcPr>
          <w:p>
            <w:pPr>
              <w:spacing w:after="0"/>
              <w:rPr>
                <w:sz w:val="23"/>
                <w:szCs w:val="23"/>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Title:  Chief Executive Officer and Director</w:t>
            </w:r>
          </w:p>
        </w:tc>
      </w:tr>
    </w:tbl>
    <w:p>
      <w:pPr>
        <w:spacing w:after="0" w:line="36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GP LLC,</w:t>
      </w:r>
    </w:p>
    <w:p>
      <w:pPr>
        <w:ind w:left="5720"/>
        <w:spacing w:after="0" w:line="238" w:lineRule="auto"/>
        <w:rPr>
          <w:sz w:val="20"/>
          <w:szCs w:val="20"/>
          <w:color w:val="auto"/>
        </w:rPr>
      </w:pPr>
      <w:r>
        <w:rPr>
          <w:rFonts w:ascii="Arial" w:cs="Arial" w:eastAsia="Arial" w:hAnsi="Arial"/>
          <w:sz w:val="22"/>
          <w:szCs w:val="22"/>
          <w:color w:val="auto"/>
        </w:rPr>
        <w:t>BY: GASLOG LTD.,</w:t>
      </w:r>
    </w:p>
    <w:p>
      <w:pPr>
        <w:ind w:left="5720"/>
        <w:spacing w:after="0"/>
        <w:rPr>
          <w:sz w:val="20"/>
          <w:szCs w:val="20"/>
          <w:color w:val="auto"/>
        </w:rPr>
      </w:pPr>
      <w:r>
        <w:rPr>
          <w:rFonts w:ascii="Arial" w:cs="Arial" w:eastAsia="Arial" w:hAnsi="Arial"/>
          <w:sz w:val="22"/>
          <w:szCs w:val="22"/>
          <w:color w:val="auto"/>
        </w:rPr>
        <w:t>ITS SOLE MEMBER</w:t>
      </w:r>
    </w:p>
    <w:p>
      <w:pPr>
        <w:spacing w:after="0" w:line="121"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Paul Wogan</w:t>
            </w:r>
          </w:p>
        </w:tc>
      </w:tr>
      <w:tr>
        <w:trPr>
          <w:trHeight w:val="215"/>
        </w:trPr>
        <w:tc>
          <w:tcPr>
            <w:tcW w:w="660" w:type="dxa"/>
            <w:vAlign w:val="bottom"/>
          </w:tcPr>
          <w:p>
            <w:pPr>
              <w:spacing w:after="0"/>
              <w:rPr>
                <w:sz w:val="18"/>
                <w:szCs w:val="18"/>
                <w:color w:val="auto"/>
              </w:rPr>
            </w:pPr>
          </w:p>
        </w:tc>
        <w:tc>
          <w:tcPr>
            <w:tcW w:w="5040" w:type="dxa"/>
            <w:vAlign w:val="bottom"/>
          </w:tcPr>
          <w:p>
            <w:pPr>
              <w:ind w:left="100"/>
              <w:spacing w:after="0" w:line="216" w:lineRule="exact"/>
              <w:rPr>
                <w:sz w:val="20"/>
                <w:szCs w:val="20"/>
                <w:color w:val="auto"/>
              </w:rPr>
            </w:pPr>
            <w:r>
              <w:rPr>
                <w:rFonts w:ascii="Arial" w:cs="Arial" w:eastAsia="Arial" w:hAnsi="Arial"/>
                <w:sz w:val="22"/>
                <w:szCs w:val="22"/>
                <w:color w:val="auto"/>
              </w:rPr>
              <w:t>Name: Paul Wogan</w:t>
            </w:r>
          </w:p>
        </w:tc>
      </w:tr>
      <w:tr>
        <w:trPr>
          <w:trHeight w:val="275"/>
        </w:trPr>
        <w:tc>
          <w:tcPr>
            <w:tcW w:w="660" w:type="dxa"/>
            <w:vAlign w:val="bottom"/>
          </w:tcPr>
          <w:p>
            <w:pPr>
              <w:spacing w:after="0"/>
              <w:rPr>
                <w:sz w:val="23"/>
                <w:szCs w:val="23"/>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Title:  Chief Executive Officer</w:t>
            </w:r>
          </w:p>
        </w:tc>
      </w:tr>
      <w:tr>
        <w:trPr>
          <w:trHeight w:val="635"/>
        </w:trPr>
        <w:tc>
          <w:tcPr>
            <w:tcW w:w="5700" w:type="dxa"/>
            <w:vAlign w:val="bottom"/>
            <w:gridSpan w:val="2"/>
          </w:tcPr>
          <w:p>
            <w:pPr>
              <w:spacing w:after="0"/>
              <w:rPr>
                <w:sz w:val="20"/>
                <w:szCs w:val="20"/>
                <w:color w:val="auto"/>
              </w:rPr>
            </w:pPr>
            <w:r>
              <w:rPr>
                <w:rFonts w:ascii="Arial" w:cs="Arial" w:eastAsia="Arial" w:hAnsi="Arial"/>
                <w:sz w:val="22"/>
                <w:szCs w:val="22"/>
                <w:color w:val="auto"/>
              </w:rPr>
              <w:t>GASLOG LTD.,</w:t>
            </w:r>
          </w:p>
        </w:tc>
      </w:tr>
      <w:tr>
        <w:trPr>
          <w:trHeight w:val="962"/>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Paul Wogan</w:t>
            </w:r>
          </w:p>
        </w:tc>
      </w:tr>
      <w:tr>
        <w:trPr>
          <w:trHeight w:val="215"/>
        </w:trPr>
        <w:tc>
          <w:tcPr>
            <w:tcW w:w="660" w:type="dxa"/>
            <w:vAlign w:val="bottom"/>
          </w:tcPr>
          <w:p>
            <w:pPr>
              <w:spacing w:after="0"/>
              <w:rPr>
                <w:sz w:val="18"/>
                <w:szCs w:val="18"/>
                <w:color w:val="auto"/>
              </w:rPr>
            </w:pPr>
          </w:p>
        </w:tc>
        <w:tc>
          <w:tcPr>
            <w:tcW w:w="5040" w:type="dxa"/>
            <w:vAlign w:val="bottom"/>
          </w:tcPr>
          <w:p>
            <w:pPr>
              <w:ind w:left="100"/>
              <w:spacing w:after="0" w:line="216" w:lineRule="exact"/>
              <w:rPr>
                <w:sz w:val="20"/>
                <w:szCs w:val="20"/>
                <w:color w:val="auto"/>
              </w:rPr>
            </w:pPr>
            <w:r>
              <w:rPr>
                <w:rFonts w:ascii="Arial" w:cs="Arial" w:eastAsia="Arial" w:hAnsi="Arial"/>
                <w:sz w:val="22"/>
                <w:szCs w:val="22"/>
                <w:color w:val="auto"/>
              </w:rPr>
              <w:t>Name: Paul Wogan</w:t>
            </w:r>
          </w:p>
        </w:tc>
      </w:tr>
      <w:tr>
        <w:trPr>
          <w:trHeight w:val="275"/>
        </w:trPr>
        <w:tc>
          <w:tcPr>
            <w:tcW w:w="660" w:type="dxa"/>
            <w:vAlign w:val="bottom"/>
          </w:tcPr>
          <w:p>
            <w:pPr>
              <w:spacing w:after="0"/>
              <w:rPr>
                <w:sz w:val="23"/>
                <w:szCs w:val="23"/>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Title:  Chief Executive Officer</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lowerRoman"/>
      <w:start w:val="2"/>
    </w:lvl>
  </w:abstractNum>
  <w:abstractNum w:abstractNumId="1">
    <w:nsid w:val="14330624"/>
    <w:multiLevelType w:val="hybridMultilevel"/>
    <w:lvl w:ilvl="0">
      <w:lvlJc w:val="left"/>
      <w:lvlText w:val="(%1)"/>
      <w:numFmt w:val="lowerRoman"/>
      <w:start w:val="2"/>
    </w:lvl>
  </w:abstractNum>
  <w:abstractNum w:abstractNumId="2">
    <w:nsid w:val="7FFFCA11"/>
    <w:multiLevelType w:val="hybridMultilevel"/>
    <w:lvl w:ilvl="0">
      <w:lvlJc w:val="left"/>
      <w:lvlText w:val="(%1)"/>
      <w:numFmt w:val="lowerLetter"/>
      <w:start w:val="1"/>
    </w:lvl>
  </w:abstractNum>
  <w:abstractNum w:abstractNumId="3">
    <w:nsid w:val="1A27709E"/>
    <w:multiLevelType w:val="hybridMultilevel"/>
    <w:lvl w:ilvl="0">
      <w:lvlJc w:val="left"/>
      <w:lvlText w:val="(%1)"/>
      <w:numFmt w:val="lowerLetter"/>
      <w:start w:val="2"/>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1)"/>
      <w:numFmt w:val="lowerLetter"/>
      <w:start w:val="3"/>
    </w:lvl>
  </w:abstractNum>
  <w:abstractNum w:abstractNumId="6">
    <w:nsid w:val="7FB7E0AA"/>
    <w:multiLevelType w:val="hybridMultilevel"/>
    <w:lvl w:ilvl="0">
      <w:lvlJc w:val="left"/>
      <w:lvlText w:val="(%1)"/>
      <w:numFmt w:val="lowerLetter"/>
      <w:start w:val="2"/>
    </w:lvl>
  </w:abstractNum>
  <w:abstractNum w:abstractNumId="7">
    <w:nsid w:val="6EB5BD4"/>
    <w:multiLevelType w:val="hybridMultilevel"/>
    <w:lvl w:ilvl="0">
      <w:lvlJc w:val="left"/>
      <w:lvlText w:val="(%1)"/>
      <w:numFmt w:val="lowerLetter"/>
      <w:start w:val="1"/>
    </w:lvl>
  </w:abstractNum>
  <w:abstractNum w:abstractNumId="8">
    <w:nsid w:val="6F6DD9AC"/>
    <w:multiLevelType w:val="hybridMultilevel"/>
    <w:lvl w:ilvl="0">
      <w:lvlJc w:val="left"/>
      <w:lvlText w:val="%1"/>
      <w:numFmt w:val="lowerLetter"/>
      <w:start w:val="1"/>
    </w:lvl>
    <w:lvl w:ilvl="1">
      <w:lvlJc w:val="left"/>
      <w:lvlText w:val="(%2)"/>
      <w:numFmt w:val="lowerLetter"/>
      <w:start w:val="1"/>
    </w:lvl>
  </w:abstractNum>
  <w:abstractNum w:abstractNumId="9">
    <w:nsid w:val="94211F2"/>
    <w:multiLevelType w:val="hybridMultilevel"/>
    <w:lvl w:ilvl="0">
      <w:lvlJc w:val="left"/>
      <w:lvlText w:val="(%1)"/>
      <w:numFmt w:val="lowerLetter"/>
      <w:start w:val="61"/>
    </w:lvl>
    <w:lvl w:ilvl="1">
      <w:lvlJc w:val="left"/>
      <w:lvlText w:val="(%2)"/>
      <w:numFmt w:val="lowerLetter"/>
      <w:start w:val="2"/>
    </w:lvl>
  </w:abstractNum>
  <w:abstractNum w:abstractNumId="10">
    <w:nsid w:val="885E1B"/>
    <w:multiLevelType w:val="hybridMultilevel"/>
    <w:lvl w:ilvl="0">
      <w:lvlJc w:val="left"/>
      <w:lvlText w:val="%1"/>
      <w:numFmt w:val="lowerLetter"/>
      <w:start w:val="1"/>
    </w:lvl>
    <w:lvl w:ilvl="1">
      <w:lvlJc w:val="left"/>
      <w:lvlText w:val="(%2)"/>
      <w:numFmt w:val="lowerLetter"/>
      <w:start w:val="3"/>
    </w:lvl>
  </w:abstractNum>
  <w:abstractNum w:abstractNumId="11">
    <w:nsid w:val="76272110"/>
    <w:multiLevelType w:val="hybridMultilevel"/>
    <w:lvl w:ilvl="0">
      <w:lvlJc w:val="left"/>
      <w:lvlText w:val="(%1)"/>
      <w:numFmt w:val="lowerLetter"/>
      <w:start w:val="61"/>
    </w:lvl>
    <w:lvl w:ilvl="1">
      <w:lvlJc w:val="left"/>
      <w:lvlText w:val="%2"/>
      <w:numFmt w:val="lowerLetter"/>
      <w:start w:val="1"/>
    </w:lvl>
  </w:abstractNum>
  <w:abstractNum w:abstractNumId="12">
    <w:nsid w:val="4C04A8AF"/>
    <w:multiLevelType w:val="hybridMultilevel"/>
    <w:lvl w:ilvl="0">
      <w:lvlJc w:val="left"/>
      <w:lvlText w:val="(%1)"/>
      <w:numFmt w:val="lowerLetter"/>
      <w:start w:val="22"/>
    </w:lvl>
    <w:lvl w:ilvl="1">
      <w:lvlJc w:val="left"/>
      <w:lvlText w:val="%2"/>
      <w:numFmt w:val="lowerLetter"/>
      <w:start w:val="1"/>
    </w:lvl>
  </w:abstractNum>
  <w:abstractNum w:abstractNumId="13">
    <w:nsid w:val="1716703B"/>
    <w:multiLevelType w:val="hybridMultilevel"/>
    <w:lvl w:ilvl="0">
      <w:lvlJc w:val="left"/>
      <w:lvlText w:val="(%1)"/>
      <w:numFmt w:val="lowerLetter"/>
      <w:start w:val="1"/>
    </w:lvl>
  </w:abstractNum>
  <w:abstractNum w:abstractNumId="14">
    <w:nsid w:val="14E17E33"/>
    <w:multiLevelType w:val="hybridMultilevel"/>
    <w:lvl w:ilvl="0">
      <w:lvlJc w:val="left"/>
      <w:lvlText w:val="(%1)"/>
      <w:numFmt w:val="lowerRoman"/>
      <w:start w:val="1"/>
    </w:lvl>
  </w:abstractNum>
  <w:abstractNum w:abstractNumId="15">
    <w:nsid w:val="3222E7CD"/>
    <w:multiLevelType w:val="hybridMultilevel"/>
    <w:lvl w:ilvl="0">
      <w:lvlJc w:val="left"/>
      <w:lvlText w:val="(%1)"/>
      <w:numFmt w:val="lowerLetter"/>
      <w:start w:val="2"/>
    </w:lvl>
  </w:abstractNum>
  <w:abstractNum w:abstractNumId="16">
    <w:nsid w:val="74DE0EE3"/>
    <w:multiLevelType w:val="hybridMultilevel"/>
    <w:lvl w:ilvl="0">
      <w:lvlJc w:val="left"/>
      <w:lvlText w:val="(%1)"/>
      <w:numFmt w:val="lowerRoman"/>
      <w:start w:val="2"/>
    </w:lvl>
  </w:abstractNum>
  <w:abstractNum w:abstractNumId="17">
    <w:nsid w:val="68EBC550"/>
    <w:multiLevelType w:val="hybridMultilevel"/>
    <w:lvl w:ilvl="0">
      <w:lvlJc w:val="left"/>
      <w:lvlText w:val="(%1)"/>
      <w:numFmt w:val="lowerRoman"/>
      <w:start w:val="1"/>
    </w:lvl>
  </w:abstractNum>
  <w:abstractNum w:abstractNumId="18">
    <w:nsid w:val="2DF6D648"/>
    <w:multiLevelType w:val="hybridMultilevel"/>
    <w:lvl w:ilvl="0">
      <w:lvlJc w:val="left"/>
      <w:lvlText w:val="(%1)"/>
      <w:numFmt w:val="lowerLetter"/>
      <w:start w:val="2"/>
    </w:lvl>
  </w:abstractNum>
  <w:abstractNum w:abstractNumId="19">
    <w:nsid w:val="46B7D447"/>
    <w:multiLevelType w:val="hybridMultilevel"/>
    <w:lvl w:ilvl="0">
      <w:lvlJc w:val="left"/>
      <w:lvlText w:val="(%1)"/>
      <w:numFmt w:val="lowerLetter"/>
      <w:start w:val="2"/>
    </w:lvl>
  </w:abstractNum>
  <w:abstractNum w:abstractNumId="20">
    <w:nsid w:val="4A2AC315"/>
    <w:multiLevelType w:val="hybridMultilevel"/>
    <w:lvl w:ilvl="0">
      <w:lvlJc w:val="left"/>
      <w:lvlText w:val="(%1)"/>
      <w:numFmt w:val="lowerRoman"/>
      <w:start w:val="1"/>
    </w:lvl>
  </w:abstractNum>
  <w:abstractNum w:abstractNumId="21">
    <w:nsid w:val="39EE015C"/>
    <w:multiLevelType w:val="hybridMultilevel"/>
    <w:lvl w:ilvl="0">
      <w:lvlJc w:val="left"/>
      <w:lvlText w:val="(%1)"/>
      <w:numFmt w:val="lowerLetter"/>
      <w:start w:val="3"/>
    </w:lvl>
  </w:abstractNum>
  <w:abstractNum w:abstractNumId="22">
    <w:nsid w:val="57FC4FBB"/>
    <w:multiLevelType w:val="hybridMultilevel"/>
    <w:lvl w:ilvl="0">
      <w:lvlJc w:val="left"/>
      <w:lvlText w:val="(%1)"/>
      <w:numFmt w:val="lowerLetter"/>
      <w:start w:val="2"/>
    </w:lvl>
  </w:abstractNum>
  <w:abstractNum w:abstractNumId="23">
    <w:nsid w:val="CC1016F"/>
    <w:multiLevelType w:val="hybridMultilevel"/>
    <w:lvl w:ilvl="0">
      <w:lvlJc w:val="left"/>
      <w:lvlText w:val="%1"/>
      <w:numFmt w:val="lowerLetter"/>
      <w:start w:val="1"/>
    </w:lvl>
    <w:lvl w:ilvl="1">
      <w:lvlJc w:val="left"/>
      <w:lvlText w:val="(%2)"/>
      <w:numFmt w:val="lowerLetter"/>
      <w:start w:val="2"/>
    </w:lvl>
  </w:abstractNum>
  <w:abstractNum w:abstractNumId="24">
    <w:nsid w:val="43F18422"/>
    <w:multiLevelType w:val="hybridMultilevel"/>
    <w:lvl w:ilvl="0">
      <w:lvlJc w:val="left"/>
      <w:lvlText w:val="(%1)"/>
      <w:numFmt w:val="lowerLetter"/>
      <w:start w:val="61"/>
    </w:lvl>
    <w:lvl w:ilvl="1">
      <w:lvlJc w:val="left"/>
      <w:lvlText w:val="(%2)"/>
      <w:numFmt w:val="lowerLetter"/>
      <w:start w:val="4"/>
    </w:lvl>
  </w:abstractNum>
  <w:abstractNum w:abstractNumId="25">
    <w:nsid w:val="60EF0119"/>
    <w:multiLevelType w:val="hybridMultilevel"/>
    <w:lvl w:ilvl="0">
      <w:lvlJc w:val="left"/>
      <w:lvlText w:val="(%1)"/>
      <w:numFmt w:val="lowerLetter"/>
      <w:start w:val="2"/>
    </w:lvl>
  </w:abstractNum>
  <w:abstractNum w:abstractNumId="26">
    <w:nsid w:val="26F324BA"/>
    <w:multiLevelType w:val="hybridMultilevel"/>
    <w:lvl w:ilvl="0">
      <w:lvlJc w:val="left"/>
      <w:lvlText w:val="(%1)"/>
      <w:numFmt w:val="lowerLetter"/>
      <w:start w:val="1"/>
    </w:lvl>
  </w:abstractNum>
  <w:abstractNum w:abstractNumId="27">
    <w:nsid w:val="7F01579B"/>
    <w:multiLevelType w:val="hybridMultilevel"/>
    <w:lvl w:ilvl="0">
      <w:lvlJc w:val="left"/>
      <w:lvlText w:val="(%1)"/>
      <w:numFmt w:val="lowerLetter"/>
      <w:start w:val="2"/>
    </w:lvl>
  </w:abstractNum>
  <w:abstractNum w:abstractNumId="28">
    <w:nsid w:val="49DA307D"/>
    <w:multiLevelType w:val="hybridMultilevel"/>
    <w:lvl w:ilvl="0">
      <w:lvlJc w:val="left"/>
      <w:lvlText w:val="(%1)"/>
      <w:numFmt w:val="lowerLetter"/>
      <w:start w:val="2"/>
    </w:lvl>
  </w:abstractNum>
  <w:abstractNum w:abstractNumId="29">
    <w:nsid w:val="7055A5F5"/>
    <w:multiLevelType w:val="hybridMultilevel"/>
    <w:lvl w:ilvl="0">
      <w:lvlJc w:val="left"/>
      <w:lvlText w:val="(%1)"/>
      <w:numFmt w:val="lowerLetter"/>
      <w:start w:val="2"/>
    </w:lvl>
  </w:abstractNum>
  <w:abstractNum w:abstractNumId="30">
    <w:nsid w:val="5FB8370B"/>
    <w:multiLevelType w:val="hybridMultilevel"/>
    <w:lvl w:ilvl="0">
      <w:lvlJc w:val="left"/>
      <w:lvlText w:val="(%1)"/>
      <w:numFmt w:val="lowerLetter"/>
      <w:start w:val="3"/>
    </w:lvl>
  </w:abstractNum>
  <w:abstractNum w:abstractNumId="31">
    <w:nsid w:val="50801EE1"/>
    <w:multiLevelType w:val="hybridMultilevel"/>
    <w:lvl w:ilvl="0">
      <w:lvlJc w:val="left"/>
      <w:lvlText w:val="(%1)"/>
      <w:numFmt w:val="lowerLetter"/>
      <w:start w:val="4"/>
    </w:lvl>
  </w:abstractNum>
  <w:abstractNum w:abstractNumId="32">
    <w:nsid w:val="488AC1A"/>
    <w:multiLevelType w:val="hybridMultilevel"/>
    <w:lvl w:ilvl="0">
      <w:lvlJc w:val="left"/>
      <w:lvlText w:val="(%1)"/>
      <w:numFmt w:val="lowerLetter"/>
      <w:start w:val="2"/>
    </w:lvl>
  </w:abstractNum>
  <w:abstractNum w:abstractNumId="33">
    <w:nsid w:val="5FB8011C"/>
    <w:multiLevelType w:val="hybridMultilevel"/>
    <w:lvl w:ilvl="0">
      <w:lvlJc w:val="left"/>
      <w:lvlText w:val="(%1)"/>
      <w:numFmt w:val="lowerLetter"/>
      <w:start w:val="2"/>
    </w:lvl>
  </w:abstractNum>
  <w:abstractNum w:abstractNumId="34">
    <w:nsid w:val="6AA78F7F"/>
    <w:multiLevelType w:val="hybridMultilevel"/>
    <w:lvl w:ilvl="0">
      <w:lvlJc w:val="left"/>
      <w:lvlText w:val="(%1)"/>
      <w:numFmt w:val="lowerLetter"/>
      <w:start w:val="2"/>
    </w:lvl>
  </w:abstractNum>
  <w:abstractNum w:abstractNumId="35">
    <w:nsid w:val="7672BD23"/>
    <w:multiLevelType w:val="hybridMultilevel"/>
    <w:lvl w:ilvl="0">
      <w:lvlJc w:val="left"/>
      <w:lvlText w:val="(%1)"/>
      <w:numFmt w:val="lowerLetter"/>
      <w:start w:val="3"/>
    </w:lvl>
  </w:abstractNum>
  <w:abstractNum w:abstractNumId="36">
    <w:nsid w:val="6FC75AF8"/>
    <w:multiLevelType w:val="hybridMultilevel"/>
    <w:lvl w:ilvl="0">
      <w:lvlJc w:val="left"/>
      <w:lvlText w:val="(%1)"/>
      <w:numFmt w:val="lowerLetter"/>
      <w:start w:val="2"/>
    </w:lvl>
  </w:abstractNum>
  <w:abstractNum w:abstractNumId="37">
    <w:nsid w:val="6A5F7029"/>
    <w:multiLevelType w:val="hybridMultilevel"/>
    <w:lvl w:ilvl="0">
      <w:lvlJc w:val="left"/>
      <w:lvlText w:val="(%1)"/>
      <w:numFmt w:val="lowerLetter"/>
      <w:start w:val="1"/>
    </w:lvl>
  </w:abstractNum>
  <w:abstractNum w:abstractNumId="38">
    <w:nsid w:val="7D5E18F8"/>
    <w:multiLevelType w:val="hybridMultilevel"/>
    <w:lvl w:ilvl="0">
      <w:lvlJc w:val="left"/>
      <w:lvlText w:val="(%1)"/>
      <w:numFmt w:val="lowerLetter"/>
      <w:start w:val="9"/>
    </w:lvl>
    <w:lvl w:ilvl="1">
      <w:lvlJc w:val="left"/>
      <w:lvlText w:val="(%2)"/>
      <w:numFmt w:val="lowerLetter"/>
      <w:start w:val="2"/>
    </w:lvl>
  </w:abstractNum>
  <w:abstractNum w:abstractNumId="39">
    <w:nsid w:val="5F3534A4"/>
    <w:multiLevelType w:val="hybridMultilevel"/>
    <w:lvl w:ilvl="0">
      <w:lvlJc w:val="left"/>
      <w:lvlText w:val="(%1)"/>
      <w:numFmt w:val="lowerRoman"/>
      <w:start w:val="1"/>
    </w:lvl>
  </w:abstractNum>
  <w:abstractNum w:abstractNumId="40">
    <w:nsid w:val="73A1821B"/>
    <w:multiLevelType w:val="hybridMultilevel"/>
    <w:lvl w:ilvl="0">
      <w:lvlJc w:val="left"/>
      <w:lvlText w:val="(%1)"/>
      <w:numFmt w:val="lowerLetter"/>
      <w:start w:val="2"/>
    </w:lvl>
  </w:abstractNum>
  <w:abstractNum w:abstractNumId="41">
    <w:nsid w:val="7DE67713"/>
    <w:multiLevelType w:val="hybridMultilevel"/>
    <w:lvl w:ilvl="0">
      <w:lvlJc w:val="left"/>
      <w:lvlText w:val="(%1)"/>
      <w:numFmt w:val="lowerRoman"/>
      <w:start w:val="1"/>
    </w:lvl>
  </w:abstractNum>
  <w:abstractNum w:abstractNumId="42">
    <w:nsid w:val="555C55B5"/>
    <w:multiLevelType w:val="hybridMultilevel"/>
    <w:lvl w:ilvl="0">
      <w:lvlJc w:val="left"/>
      <w:lvlText w:val="(%1)"/>
      <w:numFmt w:val="lowerLetter"/>
      <w:start w:val="2"/>
    </w:lvl>
  </w:abstractNum>
  <w:abstractNum w:abstractNumId="43">
    <w:nsid w:val="3FA62ACA"/>
    <w:multiLevelType w:val="hybridMultilevel"/>
    <w:lvl w:ilvl="0">
      <w:lvlJc w:val="left"/>
      <w:lvlText w:val="(%1)"/>
      <w:numFmt w:val="lowerLetter"/>
      <w:start w:val="3"/>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1"/>
    </w:lvl>
    <w:lvl w:ilvl="1">
      <w:lvlJc w:val="left"/>
      <w:lvlText w:val="(%2)"/>
      <w:numFmt w:val="lowerLetter"/>
      <w:start w:val="1"/>
    </w:lvl>
  </w:abstractNum>
  <w:abstractNum w:abstractNumId="46">
    <w:nsid w:val="71C91298"/>
    <w:multiLevelType w:val="hybridMultilevel"/>
    <w:lvl w:ilvl="0">
      <w:lvlJc w:val="left"/>
      <w:lvlText w:val="(%1)"/>
      <w:numFmt w:val="lowerLetter"/>
      <w:start w:val="35"/>
    </w:lvl>
    <w:lvl w:ilvl="1">
      <w:lvlJc w:val="left"/>
      <w:lvlText w:val="(%2)"/>
      <w:numFmt w:val="lowerLetter"/>
      <w:start w:val="2"/>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lowerLetter"/>
      <w:start w:val="3"/>
    </w:lvl>
  </w:abstractNum>
  <w:abstractNum w:abstractNumId="49">
    <w:nsid w:val="1FBFE8E0"/>
    <w:multiLevelType w:val="hybridMultilevel"/>
    <w:lvl w:ilvl="0">
      <w:lvlJc w:val="left"/>
      <w:lvlText w:val="(%1)"/>
      <w:numFmt w:val="lowerLetter"/>
      <w:start w:val="2"/>
    </w:lvl>
  </w:abstractNum>
  <w:abstractNum w:abstractNumId="50">
    <w:nsid w:val="5092CA79"/>
    <w:multiLevelType w:val="hybridMultilevel"/>
    <w:lvl w:ilvl="0">
      <w:lvlJc w:val="left"/>
      <w:lvlText w:val="(%1)"/>
      <w:numFmt w:val="lowerLetter"/>
      <w:start w:val="3"/>
    </w:lvl>
  </w:abstractNum>
  <w:abstractNum w:abstractNumId="51">
    <w:nsid w:val="1D545C4D"/>
    <w:multiLevelType w:val="hybridMultilevel"/>
    <w:lvl w:ilvl="0">
      <w:lvlJc w:val="left"/>
      <w:lvlText w:val="(%1)"/>
      <w:numFmt w:val="lowerLetter"/>
      <w:start w:val="2"/>
    </w:lvl>
  </w:abstractNum>
  <w:abstractNum w:abstractNumId="52">
    <w:nsid w:val="59ADEA3D"/>
    <w:multiLevelType w:val="hybridMultilevel"/>
    <w:lvl w:ilvl="0">
      <w:lvlJc w:val="left"/>
      <w:lvlText w:val="(%1)"/>
      <w:numFmt w:val="lowerLetter"/>
      <w:start w:val="2"/>
    </w:lvl>
  </w:abstractNum>
  <w:abstractNum w:abstractNumId="53">
    <w:nsid w:val="288F1A34"/>
    <w:multiLevelType w:val="hybridMultilevel"/>
    <w:lvl w:ilvl="0">
      <w:lvlJc w:val="left"/>
      <w:lvlText w:val="(%1)"/>
      <w:numFmt w:val="lowerLetter"/>
      <w:start w:val="2"/>
    </w:lvl>
  </w:abstractNum>
  <w:abstractNum w:abstractNumId="54">
    <w:nsid w:val="2A155DBC"/>
    <w:multiLevelType w:val="hybridMultilevel"/>
    <w:lvl w:ilvl="0">
      <w:lvlJc w:val="left"/>
      <w:lvlText w:val="(%1)"/>
      <w:numFmt w:val="lowerLetter"/>
      <w:start w:val="2"/>
    </w:lvl>
  </w:abstractNum>
  <w:abstractNum w:abstractNumId="55">
    <w:nsid w:val="1D9F6E5F"/>
    <w:multiLevelType w:val="hybridMultilevel"/>
    <w:lvl w:ilvl="0">
      <w:lvlJc w:val="left"/>
      <w:lvlText w:val="(%1)"/>
      <w:numFmt w:val="lowerLetter"/>
      <w:start w:val="1"/>
    </w:lvl>
    <w:lvl w:ilvl="1">
      <w:lvlJc w:val="left"/>
      <w:lvlText w:val="(%2)"/>
      <w:numFmt w:val="lowerLetter"/>
      <w:start w:val="2"/>
    </w:lvl>
  </w:abstractNum>
  <w:abstractNum w:abstractNumId="56">
    <w:nsid w:val="97E1B4E"/>
    <w:multiLevelType w:val="hybridMultilevel"/>
    <w:lvl w:ilvl="0">
      <w:lvlJc w:val="left"/>
      <w:lvlText w:val="(%1)"/>
      <w:numFmt w:val="lowerLetter"/>
      <w:start w:val="2"/>
    </w:lvl>
  </w:abstractNum>
  <w:abstractNum w:abstractNumId="57">
    <w:nsid w:val="51088277"/>
    <w:multiLevelType w:val="hybridMultilevel"/>
    <w:lvl w:ilvl="0">
      <w:lvlJc w:val="left"/>
      <w:lvlText w:val="(%1)"/>
      <w:numFmt w:val="lowerLetter"/>
      <w:start w:val="8"/>
    </w:lvl>
  </w:abstractNum>
  <w:abstractNum w:abstractNumId="58">
    <w:nsid w:val="1CA0C5FA"/>
    <w:multiLevelType w:val="hybridMultilevel"/>
    <w:lvl w:ilvl="0">
      <w:lvlJc w:val="left"/>
      <w:lvlText w:val="(%1)"/>
      <w:numFmt w:val="lowerLetter"/>
      <w:start w:val="2"/>
    </w:lvl>
  </w:abstractNum>
  <w:abstractNum w:abstractNumId="59">
    <w:nsid w:val="53584BCB"/>
    <w:multiLevelType w:val="hybridMultilevel"/>
    <w:lvl w:ilvl="0">
      <w:lvlJc w:val="left"/>
      <w:lvlText w:val="(%1)"/>
      <w:numFmt w:val="lowerRoman"/>
      <w:start w:val="4"/>
    </w:lvl>
    <w:lvl w:ilvl="1">
      <w:lvlJc w:val="left"/>
      <w:lvlText w:val="(%2)"/>
      <w:numFmt w:val="lowerLetter"/>
      <w:start w:val="2"/>
    </w:lvl>
  </w:abstractNum>
  <w:abstractNum w:abstractNumId="60">
    <w:nsid w:val="415E286C"/>
    <w:multiLevelType w:val="hybridMultilevel"/>
    <w:lvl w:ilvl="0">
      <w:lvlJc w:val="left"/>
      <w:lvlText w:val="(%1)"/>
      <w:numFmt w:val="lowerLetter"/>
      <w:start w:val="4"/>
    </w:lvl>
  </w:abstractNum>
  <w:abstractNum w:abstractNumId="61">
    <w:nsid w:val="7C58FD05"/>
    <w:multiLevelType w:val="hybridMultilevel"/>
    <w:lvl w:ilvl="0">
      <w:lvlJc w:val="left"/>
      <w:lvlText w:val="(%1)"/>
      <w:numFmt w:val="lowerLetter"/>
      <w:start w:val="7"/>
    </w:lvl>
  </w:abstractNum>
  <w:abstractNum w:abstractNumId="62">
    <w:nsid w:val="23D86AAC"/>
    <w:multiLevelType w:val="hybridMultilevel"/>
    <w:lvl w:ilvl="0">
      <w:lvlJc w:val="left"/>
      <w:lvlText w:val="(%1)"/>
      <w:numFmt w:val="lowerLetter"/>
      <w:start w:val="2"/>
    </w:lvl>
  </w:abstractNum>
  <w:abstractNum w:abstractNumId="63">
    <w:nsid w:val="45E6D486"/>
    <w:multiLevelType w:val="hybridMultilevel"/>
    <w:lvl w:ilvl="0">
      <w:lvlJc w:val="left"/>
      <w:lvlText w:val="(%1)"/>
      <w:numFmt w:val="lowerLetter"/>
      <w:start w:val="2"/>
    </w:lvl>
  </w:abstractNum>
  <w:abstractNum w:abstractNumId="64">
    <w:nsid w:val="5C10FE21"/>
    <w:multiLevelType w:val="hybridMultilevel"/>
    <w:lvl w:ilvl="0">
      <w:lvlJc w:val="left"/>
      <w:lvlText w:val="(%1)"/>
      <w:numFmt w:val="lowerLetter"/>
      <w:start w:val="3"/>
    </w:lvl>
  </w:abstractNum>
  <w:abstractNum w:abstractNumId="65">
    <w:nsid w:val="E7FFA2B"/>
    <w:multiLevelType w:val="hybridMultilevel"/>
    <w:lvl w:ilvl="0">
      <w:lvlJc w:val="left"/>
      <w:lvlText w:val="%1"/>
      <w:numFmt w:val="lowerRoman"/>
      <w:start w:val="1"/>
    </w:lvl>
    <w:lvl w:ilvl="1">
      <w:lvlJc w:val="left"/>
      <w:lvlText w:val="(%2)"/>
      <w:numFmt w:val="lowerLetter"/>
      <w:start w:val="5"/>
    </w:lvl>
  </w:abstractNum>
  <w:abstractNum w:abstractNumId="66">
    <w:nsid w:val="3C5991AA"/>
    <w:multiLevelType w:val="hybridMultilevel"/>
    <w:lvl w:ilvl="0">
      <w:lvlJc w:val="left"/>
      <w:lvlText w:val="(%1)"/>
      <w:numFmt w:val="lowerRoman"/>
      <w:start w:val="4"/>
    </w:lvl>
    <w:lvl w:ilvl="1">
      <w:lvlJc w:val="left"/>
      <w:lvlText w:val="%2"/>
      <w:numFmt w:val="lowerLetter"/>
      <w:start w:val="1"/>
    </w:lvl>
  </w:abstractNum>
  <w:abstractNum w:abstractNumId="67">
    <w:nsid w:val="4BD8591A"/>
    <w:multiLevelType w:val="hybridMultilevel"/>
    <w:lvl w:ilvl="0">
      <w:lvlJc w:val="left"/>
      <w:lvlText w:val="(%1)"/>
      <w:numFmt w:val="lowerLetter"/>
      <w:start w:val="2"/>
    </w:lvl>
  </w:abstractNum>
  <w:abstractNum w:abstractNumId="68">
    <w:nsid w:val="78DF6A55"/>
    <w:multiLevelType w:val="hybridMultilevel"/>
    <w:lvl w:ilvl="0">
      <w:lvlJc w:val="left"/>
      <w:lvlText w:val="(%1)"/>
      <w:numFmt w:val="lowerLetter"/>
      <w:start w:val="2"/>
    </w:lvl>
  </w:abstractNum>
  <w:abstractNum w:abstractNumId="69">
    <w:nsid w:val="39B7AAA2"/>
    <w:multiLevelType w:val="hybridMultilevel"/>
    <w:lvl w:ilvl="0">
      <w:lvlJc w:val="left"/>
      <w:lvlText w:val="(%1)"/>
      <w:numFmt w:val="lowerRoman"/>
      <w:start w:val="3"/>
    </w:lvl>
    <w:lvl w:ilvl="1">
      <w:lvlJc w:val="left"/>
      <w:lvlText w:val="(%2)"/>
      <w:numFmt w:val="lowerLetter"/>
      <w:start w:val="2"/>
    </w:lvl>
  </w:abstractNum>
  <w:abstractNum w:abstractNumId="70">
    <w:nsid w:val="2B0D8DBE"/>
    <w:multiLevelType w:val="hybridMultilevel"/>
    <w:lvl w:ilvl="0">
      <w:lvlJc w:val="left"/>
      <w:lvlText w:val="(%1)"/>
      <w:numFmt w:val="lowerLetter"/>
      <w:start w:val="3"/>
    </w:lvl>
  </w:abstractNum>
  <w:abstractNum w:abstractNumId="71">
    <w:nsid w:val="6C80EC70"/>
    <w:multiLevelType w:val="hybridMultilevel"/>
    <w:lvl w:ilvl="0">
      <w:lvlJc w:val="left"/>
      <w:lvlText w:val="(%1)"/>
      <w:numFmt w:val="lowerRoman"/>
      <w:start w:val="1"/>
    </w:lvl>
  </w:abstractNum>
  <w:abstractNum w:abstractNumId="72">
    <w:nsid w:val="379E21B5"/>
    <w:multiLevelType w:val="hybridMultilevel"/>
    <w:lvl w:ilvl="0">
      <w:lvlJc w:val="left"/>
      <w:lvlText w:val="(%1)"/>
      <w:numFmt w:val="lowerRoman"/>
      <w:start w:val="5"/>
    </w:lvl>
  </w:abstractNum>
  <w:abstractNum w:abstractNumId="73">
    <w:nsid w:val="69E373"/>
    <w:multiLevelType w:val="hybridMultilevel"/>
    <w:lvl w:ilvl="0">
      <w:lvlJc w:val="left"/>
      <w:lvlText w:val="(%1)"/>
      <w:numFmt w:val="upperLetter"/>
      <w:start w:val="5"/>
    </w:lvl>
    <w:lvl w:ilvl="1">
      <w:lvlJc w:val="left"/>
      <w:lvlText w:val="(%2)"/>
      <w:numFmt w:val="lowerLetter"/>
      <w:start w:val="2"/>
    </w:lvl>
  </w:abstractNum>
  <w:abstractNum w:abstractNumId="74">
    <w:nsid w:val="2C27173B"/>
    <w:multiLevelType w:val="hybridMultilevel"/>
    <w:lvl w:ilvl="0">
      <w:lvlJc w:val="left"/>
      <w:lvlText w:val="(%1)"/>
      <w:numFmt w:val="lowerRoman"/>
      <w:start w:val="1"/>
    </w:lvl>
  </w:abstractNum>
  <w:abstractNum w:abstractNumId="75">
    <w:nsid w:val="4C9B0904"/>
    <w:multiLevelType w:val="hybridMultilevel"/>
    <w:lvl w:ilvl="0">
      <w:lvlJc w:val="left"/>
      <w:lvlText w:val="(%1)"/>
      <w:numFmt w:val="lowerRoman"/>
      <w:start w:val="3"/>
    </w:lvl>
  </w:abstractNum>
  <w:abstractNum w:abstractNumId="76">
    <w:nsid w:val="6AA7B75C"/>
    <w:multiLevelType w:val="hybridMultilevel"/>
    <w:lvl w:ilvl="0">
      <w:lvlJc w:val="left"/>
      <w:lvlText w:val="(%1)"/>
      <w:numFmt w:val="lowerRoman"/>
      <w:start w:val="1"/>
    </w:lvl>
  </w:abstractNum>
  <w:abstractNum w:abstractNumId="77">
    <w:nsid w:val="1DF029D3"/>
    <w:multiLevelType w:val="hybridMultilevel"/>
    <w:lvl w:ilvl="0">
      <w:lvlJc w:val="left"/>
      <w:lvlText w:val="(%1)"/>
      <w:numFmt w:val="lowerLetter"/>
      <w:start w:val="2"/>
    </w:lvl>
  </w:abstractNum>
  <w:abstractNum w:abstractNumId="78">
    <w:nsid w:val="5675FF36"/>
    <w:multiLevelType w:val="hybridMultilevel"/>
    <w:lvl w:ilvl="0">
      <w:lvlJc w:val="left"/>
      <w:lvlText w:val="(%1)"/>
      <w:numFmt w:val="lowerLetter"/>
      <w:start w:val="1"/>
    </w:lvl>
  </w:abstractNum>
  <w:abstractNum w:abstractNumId="79">
    <w:nsid w:val="3DD15094"/>
    <w:multiLevelType w:val="hybridMultilevel"/>
    <w:lvl w:ilvl="0">
      <w:lvlJc w:val="left"/>
      <w:lvlText w:val="(%1)"/>
      <w:numFmt w:val="lowerRoman"/>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3"/>
    </w:lvl>
  </w:abstractNum>
  <w:abstractNum w:abstractNumId="82">
    <w:nsid w:val="5B25ACE2"/>
    <w:multiLevelType w:val="hybridMultilevel"/>
    <w:lvl w:ilvl="0">
      <w:lvlJc w:val="left"/>
      <w:lvlText w:val="(%1)"/>
      <w:numFmt w:val="lowerRoman"/>
      <w:start w:val="1"/>
    </w:lvl>
    <w:lvl w:ilvl="1">
      <w:lvlJc w:val="left"/>
      <w:lvlText w:val="(%2)"/>
      <w:numFmt w:val="upperLetter"/>
      <w:start w:val="1"/>
    </w:lvl>
  </w:abstractNum>
  <w:abstractNum w:abstractNumId="83">
    <w:nsid w:val="175DFCF0"/>
    <w:multiLevelType w:val="hybridMultilevel"/>
    <w:lvl w:ilvl="0">
      <w:lvlJc w:val="left"/>
      <w:lvlText w:val="(%1)"/>
      <w:numFmt w:val="lowerLetter"/>
      <w:start w:val="4"/>
    </w:lvl>
  </w:abstractNum>
  <w:abstractNum w:abstractNumId="84">
    <w:nsid w:val="4F97E3E4"/>
    <w:multiLevelType w:val="hybridMultilevel"/>
    <w:lvl w:ilvl="0">
      <w:lvlJc w:val="left"/>
      <w:lvlText w:val="(%1)"/>
      <w:numFmt w:val="lowerLetter"/>
      <w:start w:val="5"/>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4"/>
    </w:lvl>
    <w:lvl w:ilvl="1">
      <w:lvlJc w:val="left"/>
      <w:lvlText w:val="(%2)"/>
      <w:numFmt w:val="lowerRoman"/>
      <w:start w:val="1"/>
    </w:lvl>
  </w:abstractNum>
  <w:abstractNum w:abstractNumId="87">
    <w:nsid w:val="5915FF32"/>
    <w:multiLevelType w:val="hybridMultilevel"/>
    <w:lvl w:ilvl="0">
      <w:lvlJc w:val="left"/>
      <w:lvlText w:val="%1"/>
      <w:numFmt w:val="lowerLetter"/>
      <w:start w:val="1"/>
    </w:lvl>
    <w:lvl w:ilvl="1">
      <w:lvlJc w:val="left"/>
      <w:lvlText w:val="(%2)"/>
      <w:numFmt w:val="lowerRoman"/>
      <w:start w:val="3"/>
    </w:lvl>
  </w:abstractNum>
  <w:abstractNum w:abstractNumId="88">
    <w:nsid w:val="56438D15"/>
    <w:multiLevelType w:val="hybridMultilevel"/>
    <w:lvl w:ilvl="0">
      <w:lvlJc w:val="left"/>
      <w:lvlText w:val="(%1)"/>
      <w:numFmt w:val="lowerLetter"/>
      <w:start w:val="9"/>
    </w:lvl>
    <w:lvl w:ilvl="1">
      <w:lvlJc w:val="left"/>
      <w:lvlText w:val="%2"/>
      <w:numFmt w:val="lowerRoman"/>
      <w:start w:val="1"/>
    </w:lvl>
  </w:abstractNum>
  <w:abstractNum w:abstractNumId="89">
    <w:nsid w:val="519E3149"/>
    <w:multiLevelType w:val="hybridMultilevel"/>
    <w:lvl w:ilvl="0">
      <w:lvlJc w:val="left"/>
      <w:lvlText w:val="%1"/>
      <w:numFmt w:val="lowerLetter"/>
      <w:start w:val="1"/>
    </w:lvl>
    <w:lvl w:ilvl="1">
      <w:lvlJc w:val="left"/>
      <w:lvlText w:val="(%2)"/>
      <w:numFmt w:val="lowerLetter"/>
      <w:start w:val="2"/>
    </w:lvl>
  </w:abstractNum>
  <w:abstractNum w:abstractNumId="90">
    <w:nsid w:val="2C6E4AFD"/>
    <w:multiLevelType w:val="hybridMultilevel"/>
    <w:lvl w:ilvl="0">
      <w:lvlJc w:val="left"/>
      <w:lvlText w:val="(%1)"/>
      <w:numFmt w:val="lowerLetter"/>
      <w:start w:val="9"/>
    </w:lvl>
    <w:lvl w:ilvl="1">
      <w:lvlJc w:val="left"/>
      <w:lvlText w:val="(%2)"/>
      <w:numFmt w:val="lowerLetter"/>
      <w:start w:val="3"/>
    </w:lvl>
  </w:abstractNum>
  <w:abstractNum w:abstractNumId="91">
    <w:nsid w:val="17A1B582"/>
    <w:multiLevelType w:val="hybridMultilevel"/>
    <w:lvl w:ilvl="0">
      <w:lvlJc w:val="left"/>
      <w:lvlText w:val="(%1)"/>
      <w:numFmt w:val="lowerLetter"/>
      <w:start w:val="2"/>
    </w:lvl>
  </w:abstractNum>
  <w:abstractNum w:abstractNumId="92">
    <w:nsid w:val="4DF72E4E"/>
    <w:multiLevelType w:val="hybridMultilevel"/>
    <w:lvl w:ilvl="0">
      <w:lvlJc w:val="left"/>
      <w:lvlText w:val="(%1)"/>
      <w:numFmt w:val="lowerLetter"/>
      <w:start w:val="2"/>
    </w:lvl>
  </w:abstractNum>
  <w:abstractNum w:abstractNumId="93">
    <w:nsid w:val="5046B5A9"/>
    <w:multiLevelType w:val="hybridMultilevel"/>
    <w:lvl w:ilvl="0">
      <w:lvlJc w:val="left"/>
      <w:lvlText w:val="(%1)"/>
      <w:numFmt w:val="lowerRoman"/>
      <w:start w:val="1"/>
    </w:lvl>
  </w:abstractNum>
  <w:abstractNum w:abstractNumId="94">
    <w:nsid w:val="5D888A08"/>
    <w:multiLevelType w:val="hybridMultilevel"/>
    <w:lvl w:ilvl="0">
      <w:lvlJc w:val="left"/>
      <w:lvlText w:val="(%1)"/>
      <w:numFmt w:val="lowerRoman"/>
      <w:start w:val="5"/>
    </w:lvl>
  </w:abstractNum>
  <w:abstractNum w:abstractNumId="95">
    <w:nsid w:val="2A082C70"/>
    <w:multiLevelType w:val="hybridMultilevel"/>
    <w:lvl w:ilvl="0">
      <w:lvlJc w:val="left"/>
      <w:lvlText w:val="(%1)"/>
      <w:numFmt w:val="lowerLetter"/>
      <w:start w:val="3"/>
    </w:lvl>
  </w:abstractNum>
  <w:abstractNum w:abstractNumId="96">
    <w:nsid w:val="5EC6AFD4"/>
    <w:multiLevelType w:val="hybridMultilevel"/>
    <w:lvl w:ilvl="0">
      <w:lvlJc w:val="left"/>
      <w:lvlText w:val="(%1)"/>
      <w:numFmt w:val="lowerRoman"/>
      <w:start w:val="1"/>
    </w:lvl>
  </w:abstractNum>
  <w:abstractNum w:abstractNumId="97">
    <w:nsid w:val="19E21BB2"/>
    <w:multiLevelType w:val="hybridMultilevel"/>
    <w:lvl w:ilvl="0">
      <w:lvlJc w:val="left"/>
      <w:lvlText w:val="(%1)"/>
      <w:numFmt w:val="lowerRoman"/>
      <w:start w:val="8"/>
    </w:lvl>
  </w:abstractNum>
  <w:abstractNum w:abstractNumId="98">
    <w:nsid w:val="75E0858A"/>
    <w:multiLevelType w:val="hybridMultilevel"/>
    <w:lvl w:ilvl="0">
      <w:lvlJc w:val="left"/>
      <w:lvlText w:val="(%1)"/>
      <w:numFmt w:val="lowerLetter"/>
      <w:start w:val="2"/>
    </w:lvl>
  </w:abstractNum>
  <w:abstractNum w:abstractNumId="99">
    <w:nsid w:val="57A61A29"/>
    <w:multiLevelType w:val="hybridMultilevel"/>
    <w:lvl w:ilvl="0">
      <w:lvlJc w:val="left"/>
      <w:lvlText w:val="(%1)"/>
      <w:numFmt w:val="lowerRoman"/>
      <w:start w:val="1"/>
    </w:lvl>
  </w:abstractNum>
  <w:abstractNum w:abstractNumId="100">
    <w:nsid w:val="5399C654"/>
    <w:multiLevelType w:val="hybridMultilevel"/>
    <w:lvl w:ilvl="0">
      <w:lvlJc w:val="left"/>
      <w:lvlText w:val="(%1)"/>
      <w:numFmt w:val="lowerLetter"/>
      <w:start w:val="2"/>
    </w:lvl>
  </w:abstractNum>
  <w:abstractNum w:abstractNumId="101">
    <w:nsid w:val="20EE1348"/>
    <w:multiLevelType w:val="hybridMultilevel"/>
    <w:lvl w:ilvl="0">
      <w:lvlJc w:val="left"/>
      <w:lvlText w:val="(%1)"/>
      <w:numFmt w:val="lowerRoman"/>
      <w:start w:val="1"/>
    </w:lvl>
  </w:abstractNum>
  <w:abstractNum w:abstractNumId="102">
    <w:nsid w:val="4427069A"/>
    <w:multiLevelType w:val="hybridMultilevel"/>
    <w:lvl w:ilvl="0">
      <w:lvlJc w:val="left"/>
      <w:lvlText w:val="(%1)"/>
      <w:numFmt w:val="lowerRoman"/>
      <w:start w:val="3"/>
    </w:lvl>
  </w:abstractNum>
  <w:abstractNum w:abstractNumId="103">
    <w:nsid w:val="B37E80A"/>
    <w:multiLevelType w:val="hybridMultilevel"/>
    <w:lvl w:ilvl="0">
      <w:lvlJc w:val="left"/>
      <w:lvlText w:val="(%1)"/>
      <w:numFmt w:val="lowerLetter"/>
      <w:start w:val="2"/>
    </w:lvl>
  </w:abstractNum>
  <w:abstractNum w:abstractNumId="104">
    <w:nsid w:val="2157F6BC"/>
    <w:multiLevelType w:val="hybridMultilevel"/>
    <w:lvl w:ilvl="0">
      <w:lvlJc w:val="left"/>
      <w:lvlText w:val="(%1)"/>
      <w:numFmt w:val="lowerLetter"/>
      <w:start w:val="3"/>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1)"/>
      <w:numFmt w:val="lowerRoman"/>
      <w:start w:val="1"/>
    </w:lvl>
  </w:abstractNum>
  <w:abstractNum w:abstractNumId="108">
    <w:nsid w:val="E3E47A8"/>
    <w:multiLevelType w:val="hybridMultilevel"/>
    <w:lvl w:ilvl="0">
      <w:lvlJc w:val="left"/>
      <w:lvlText w:val="(%1)"/>
      <w:numFmt w:val="lowerLetter"/>
      <w:start w:val="3"/>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2"/>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3"/>
    </w:lvl>
  </w:abstractNum>
  <w:abstractNum w:abstractNumId="113">
    <w:nsid w:val="24F6AB8E"/>
    <w:multiLevelType w:val="hybridMultilevel"/>
    <w:lvl w:ilvl="0">
      <w:lvlJc w:val="left"/>
      <w:lvlText w:val="(%1)"/>
      <w:numFmt w:val="lowerRoman"/>
      <w:start w:val="2"/>
    </w:lvl>
  </w:abstractNum>
  <w:abstractNum w:abstractNumId="114">
    <w:nsid w:val="634C574C"/>
    <w:multiLevelType w:val="hybridMultilevel"/>
    <w:lvl w:ilvl="0">
      <w:lvlJc w:val="left"/>
      <w:lvlText w:val="(%1)"/>
      <w:numFmt w:val="lowerLetter"/>
      <w:start w:val="4"/>
    </w:lvl>
  </w:abstractNum>
  <w:abstractNum w:abstractNumId="115">
    <w:nsid w:val="24E99DD7"/>
    <w:multiLevelType w:val="hybridMultilevel"/>
    <w:lvl w:ilvl="0">
      <w:lvlJc w:val="left"/>
      <w:lvlText w:val="(%1)"/>
      <w:numFmt w:val="lowerLetter"/>
      <w:start w:val="1"/>
    </w:lvl>
  </w:abstractNum>
  <w:abstractNum w:abstractNumId="116">
    <w:nsid w:val="2A31B62D"/>
    <w:multiLevelType w:val="hybridMultilevel"/>
    <w:lvl w:ilvl="0">
      <w:lvlJc w:val="left"/>
      <w:lvlText w:val="(%1)"/>
      <w:numFmt w:val="lowerLetter"/>
      <w:start w:val="3"/>
    </w:lvl>
  </w:abstractNum>
  <w:abstractNum w:abstractNumId="117">
    <w:nsid w:val="1849C29B"/>
    <w:multiLevelType w:val="hybridMultilevel"/>
    <w:lvl w:ilvl="0">
      <w:lvlJc w:val="left"/>
      <w:lvlText w:val="(%1)"/>
      <w:numFmt w:val="lowerLetter"/>
      <w:start w:val="5"/>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Roman"/>
      <w:start w:val="1"/>
    </w:lvl>
  </w:abstractNum>
  <w:abstractNum w:abstractNumId="122">
    <w:nsid w:val="1816F8C4"/>
    <w:multiLevelType w:val="hybridMultilevel"/>
    <w:lvl w:ilvl="0">
      <w:lvlJc w:val="left"/>
      <w:lvlText w:val="(%1)"/>
      <w:numFmt w:val="lowerRoman"/>
      <w:start w:val="3"/>
    </w:lvl>
  </w:abstractNum>
  <w:abstractNum w:abstractNumId="123">
    <w:nsid w:val="37DF2233"/>
    <w:multiLevelType w:val="hybridMultilevel"/>
    <w:lvl w:ilvl="0">
      <w:lvlJc w:val="left"/>
      <w:lvlText w:val="(%1)"/>
      <w:numFmt w:val="lowerLetter"/>
      <w:start w:val="3"/>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2"/>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lowerRoman"/>
      <w:start w:val="1"/>
    </w:lvl>
  </w:abstractNum>
  <w:abstractNum w:abstractNumId="129">
    <w:nsid w:val="57C7D42D"/>
    <w:multiLevelType w:val="hybridMultilevel"/>
    <w:lvl w:ilvl="0">
      <w:lvlJc w:val="left"/>
      <w:lvlText w:val="(%1)"/>
      <w:numFmt w:val="lowerLetter"/>
      <w:start w:val="4"/>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2"/>
    </w:lvl>
  </w:abstractNum>
  <w:abstractNum w:abstractNumId="132">
    <w:nsid w:val="78B5E776"/>
    <w:multiLevelType w:val="hybridMultilevel"/>
    <w:lvl w:ilvl="0">
      <w:lvlJc w:val="left"/>
      <w:lvlText w:val="(%1)"/>
      <w:numFmt w:val="lowerLetter"/>
      <w:start w:val="5"/>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1"/>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Roman"/>
      <w:start w:val="1"/>
    </w:lvl>
  </w:abstractNum>
  <w:abstractNum w:abstractNumId="137">
    <w:nsid w:val="46263DEC"/>
    <w:multiLevelType w:val="hybridMultilevel"/>
    <w:lvl w:ilvl="0">
      <w:lvlJc w:val="left"/>
      <w:lvlText w:val="(%1)"/>
      <w:numFmt w:val="lowerRoman"/>
      <w:start w:val="2"/>
    </w:lvl>
  </w:abstractNum>
  <w:abstractNum w:abstractNumId="138">
    <w:nsid w:val="260D8C4A"/>
    <w:multiLevelType w:val="hybridMultilevel"/>
    <w:lvl w:ilvl="0">
      <w:lvlJc w:val="left"/>
      <w:lvlText w:val="(%1)"/>
      <w:numFmt w:val="lowerLetter"/>
      <w:start w:val="3"/>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Roman"/>
      <w:start w:val="1"/>
    </w:lvl>
  </w:abstractNum>
  <w:abstractNum w:abstractNumId="142">
    <w:nsid w:val="3FC32E20"/>
    <w:multiLevelType w:val="hybridMultilevel"/>
    <w:lvl w:ilvl="0">
      <w:lvlJc w:val="left"/>
      <w:lvlText w:val="(%1)"/>
      <w:numFmt w:val="lowerLetter"/>
      <w:start w:val="4"/>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lowerLetter"/>
      <w:start w:val="5"/>
    </w:lvl>
  </w:abstractNum>
  <w:abstractNum w:abstractNumId="145">
    <w:nsid w:val="230F856C"/>
    <w:multiLevelType w:val="hybridMultilevel"/>
    <w:lvl w:ilvl="0">
      <w:lvlJc w:val="left"/>
      <w:lvlText w:val="(%1)"/>
      <w:numFmt w:val="lowerLetter"/>
      <w:start w:val="1"/>
    </w:lvl>
  </w:abstractNum>
  <w:abstractNum w:abstractNumId="146">
    <w:nsid w:val="6EAA85FB"/>
    <w:multiLevelType w:val="hybridMultilevel"/>
    <w:lvl w:ilvl="0">
      <w:lvlJc w:val="left"/>
      <w:lvlText w:val="(%1)"/>
      <w:numFmt w:val="lowerLetter"/>
      <w:start w:val="2"/>
    </w:lvl>
  </w:abstractNum>
  <w:abstractNum w:abstractNumId="147">
    <w:nsid w:val="3F06ECB2"/>
    <w:multiLevelType w:val="hybridMultilevel"/>
    <w:lvl w:ilvl="0">
      <w:lvlJc w:val="left"/>
      <w:lvlText w:val="(%1)"/>
      <w:numFmt w:val="lowerLetter"/>
      <w:start w:val="2"/>
    </w:lvl>
  </w:abstractNum>
  <w:abstractNum w:abstractNumId="148">
    <w:nsid w:val="3B594807"/>
    <w:multiLevelType w:val="hybridMultilevel"/>
    <w:lvl w:ilvl="0">
      <w:lvlJc w:val="left"/>
      <w:lvlText w:val="(%1)"/>
      <w:numFmt w:val="lowerRoman"/>
      <w:start w:val="1"/>
    </w:lvl>
  </w:abstractNum>
  <w:abstractNum w:abstractNumId="149">
    <w:nsid w:val="6CAA2304"/>
    <w:multiLevelType w:val="hybridMultilevel"/>
    <w:lvl w:ilvl="0">
      <w:lvlJc w:val="left"/>
      <w:lvlText w:val="%1"/>
      <w:numFmt w:val="lowerRoman"/>
      <w:start w:val="1"/>
    </w:lvl>
    <w:lvl w:ilvl="1">
      <w:lvlJc w:val="left"/>
      <w:lvlText w:val="(%2)"/>
      <w:numFmt w:val="lowerRoman"/>
      <w:start w:val="4"/>
    </w:lvl>
  </w:abstractNum>
  <w:abstractNum w:abstractNumId="150">
    <w:nsid w:val="3F7C2FF4"/>
    <w:multiLevelType w:val="hybridMultilevel"/>
    <w:lvl w:ilvl="0">
      <w:lvlJc w:val="left"/>
      <w:lvlText w:val="(%1)"/>
      <w:numFmt w:val="lowerRoman"/>
      <w:start w:val="5"/>
    </w:lvl>
    <w:lvl w:ilvl="1">
      <w:lvlJc w:val="left"/>
      <w:lvlText w:val="%2"/>
      <w:numFmt w:val="lowerRoman"/>
      <w:start w:val="1"/>
    </w:lvl>
  </w:abstractNum>
  <w:abstractNum w:abstractNumId="151">
    <w:nsid w:val="25413BEC"/>
    <w:multiLevelType w:val="hybridMultilevel"/>
    <w:lvl w:ilvl="0">
      <w:lvlJc w:val="left"/>
      <w:lvlText w:val="(%1)"/>
      <w:numFmt w:val="lowerLetter"/>
      <w:start w:val="2"/>
    </w:lvl>
  </w:abstractNum>
  <w:abstractNum w:abstractNumId="152">
    <w:nsid w:val="17180B0B"/>
    <w:multiLevelType w:val="hybridMultilevel"/>
    <w:lvl w:ilvl="0">
      <w:lvlJc w:val="left"/>
      <w:lvlText w:val="(%1)"/>
      <w:numFmt w:val="lowerLetter"/>
      <w:start w:val="2"/>
    </w:lvl>
  </w:abstractNum>
  <w:abstractNum w:abstractNumId="153">
    <w:nsid w:val="579328B9"/>
    <w:multiLevelType w:val="hybridMultilevel"/>
    <w:lvl w:ilvl="0">
      <w:lvlJc w:val="left"/>
      <w:lvlText w:val="(%1)"/>
      <w:numFmt w:val="lowerLetter"/>
      <w:start w:val="2"/>
    </w:lvl>
  </w:abstractNum>
  <w:abstractNum w:abstractNumId="154">
    <w:nsid w:val="5D205E20"/>
    <w:multiLevelType w:val="hybridMultilevel"/>
    <w:lvl w:ilvl="0">
      <w:lvlJc w:val="left"/>
      <w:lvlText w:val="(%1)"/>
      <w:numFmt w:val="lowerLetter"/>
      <w:start w:val="2"/>
    </w:lvl>
  </w:abstractNum>
  <w:abstractNum w:abstractNumId="155">
    <w:nsid w:val="11CCA8BA"/>
    <w:multiLevelType w:val="hybridMultilevel"/>
    <w:lvl w:ilvl="0">
      <w:lvlJc w:val="left"/>
      <w:lvlText w:val="%1."/>
      <w:numFmt w:val="upperLetter"/>
      <w:start w:val="1"/>
    </w:lvl>
  </w:abstractNum>
  <w:abstractNum w:abstractNumId="156">
    <w:nsid w:val="4D32AB86"/>
    <w:multiLevelType w:val="hybridMultilevel"/>
    <w:lvl w:ilvl="0">
      <w:lvlJc w:val="left"/>
      <w:lvlText w:val="(%1)"/>
      <w:numFmt w:val="lowerLetter"/>
      <w:start w:val="1"/>
    </w:lvl>
  </w:abstractNum>
  <w:abstractNum w:abstractNumId="157">
    <w:nsid w:val="3F07ACC3"/>
    <w:multiLevelType w:val="hybridMultilevel"/>
    <w:lvl w:ilvl="0">
      <w:lvlJc w:val="left"/>
      <w:lvlText w:val="(%1)"/>
      <w:numFmt w:val="lowerLetter"/>
      <w:start w:val="3"/>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lowerLetter"/>
      <w:start w:val="1"/>
    </w:lvl>
  </w:abstractNum>
  <w:abstractNum w:abstractNumId="160">
    <w:nsid w:val="16CF80F1"/>
    <w:multiLevelType w:val="hybridMultilevel"/>
    <w:lvl w:ilvl="0">
      <w:lvlJc w:val="left"/>
      <w:lvlText w:val="(%1)"/>
      <w:numFmt w:val="lowerLetter"/>
      <w:start w:val="3"/>
    </w:lvl>
  </w:abstractNum>
  <w:abstractNum w:abstractNumId="161">
    <w:nsid w:val="1C695D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2019-12-08T09:47:16Z</dcterms:created>
  <dcterms:modified xsi:type="dcterms:W3CDTF">2019-12-08T09:47:16Z</dcterms:modified>
</cp:coreProperties>
</file>