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200" w:firstLine="376"/>
        <w:spacing w:after="0" w:line="277" w:lineRule="auto"/>
        <w:rPr>
          <w:sz w:val="20"/>
          <w:szCs w:val="20"/>
          <w:color w:val="auto"/>
        </w:rPr>
      </w:pPr>
      <w:r>
        <w:rPr>
          <w:rFonts w:ascii="Arial" w:cs="Arial" w:eastAsia="Arial" w:hAnsi="Arial"/>
          <w:sz w:val="18"/>
          <w:szCs w:val="18"/>
          <w:color w:val="auto"/>
        </w:rPr>
        <w:t>The press release issued by GasLog Partners LP on January 31, 2018 relating to its results for the three-month period and the year ended December 31, 2017 and the related financial report are attached hereto as Exhibit 99.1.</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31,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tbl>
      <w:tblPr>
        <w:tblLayout w:type="fixed"/>
        <w:tblInd w:w="62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r>
      <w:tr>
        <w:trPr>
          <w:trHeight w:val="195"/>
        </w:trPr>
        <w:tc>
          <w:tcPr>
            <w:tcW w:w="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Andrew Orekar</w:t>
            </w:r>
          </w:p>
        </w:tc>
      </w:tr>
      <w:tr>
        <w:trPr>
          <w:trHeight w:val="230"/>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and the Year Ended December 31, 2017 and Increases Cash Distribution</w:t>
      </w:r>
    </w:p>
    <w:p>
      <w:pPr>
        <w:spacing w:after="0" w:line="24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MONACO, January 31, 2018, GasLog Partners LP (“GasLog Partners” or the “Partnership”) (NYSE: GLOP), </w:t>
      </w:r>
      <w:r>
        <w:rPr>
          <w:rFonts w:ascii="Arial" w:cs="Arial" w:eastAsia="Arial" w:hAnsi="Arial"/>
          <w:sz w:val="17"/>
          <w:szCs w:val="17"/>
          <w:color w:val="auto"/>
        </w:rPr>
        <w:t>an international owner and operator of</w:t>
      </w:r>
      <w:r>
        <w:rPr>
          <w:rFonts w:ascii="Arial" w:cs="Arial" w:eastAsia="Arial" w:hAnsi="Arial"/>
          <w:sz w:val="17"/>
          <w:szCs w:val="17"/>
          <w:b w:val="1"/>
          <w:bCs w:val="1"/>
          <w:color w:val="auto"/>
        </w:rPr>
        <w:t xml:space="preserve"> </w:t>
      </w:r>
      <w:r>
        <w:rPr>
          <w:rFonts w:ascii="Arial" w:cs="Arial" w:eastAsia="Arial" w:hAnsi="Arial"/>
          <w:sz w:val="17"/>
          <w:szCs w:val="17"/>
          <w:color w:val="auto"/>
        </w:rPr>
        <w:t>liquefied natural gas (“LNG”) carriers, today reported its financial results for the three-month period and the year ended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340" w:right="40" w:hanging="332"/>
        <w:spacing w:after="0" w:line="258"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Post quarter-end, completed public offering of 8.200% Series B Cumulative Redeemable Perpetual Fixed to Floating Rate Preference Units (the “Series B Preference Units”), raising gross proceeds of $115.0 million and net proceeds of $111.0 million.</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Post quarter-end, prepaid in full the remaining $29.8 million balance of the junior tranche of the credit agreement entered into on February 18, 2016 (the “Five Vessel Refinancing”), due in April 2018.</w:t>
      </w:r>
    </w:p>
    <w:p>
      <w:pPr>
        <w:ind w:left="340" w:right="46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Ltd. (“GasLog”) for $185.9 million, with attached multi-year charter to a subsidiary of Royal Dutch Shell plc (“Shell”).</w:t>
      </w:r>
    </w:p>
    <w:p>
      <w:pPr>
        <w:ind w:left="300" w:hanging="292"/>
        <w:spacing w:after="0" w:line="19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Revenues, Profit, Adjusted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$77.3 million, $29.0 million, $25.6 million and $56.4 million, respectively.</w:t>
      </w:r>
    </w:p>
    <w:p>
      <w:pPr>
        <w:ind w:left="340" w:right="40" w:hanging="332"/>
        <w:spacing w:after="0" w:line="219"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Highest-ever quarterly Partnership Performance Results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Revenues, Profit,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Distributable cash flow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$76.2 million, $28.4 million, $55.4 million and $26.9 million, respectively.</w:t>
      </w:r>
    </w:p>
    <w:p>
      <w:pPr>
        <w:ind w:left="300" w:hanging="292"/>
        <w:spacing w:after="0" w:line="19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Revenues, Profit, Adjusted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$311.5 million, $112.8 million, $110.9 million and $233.0 million, respectively.</w:t>
      </w:r>
    </w:p>
    <w:p>
      <w:pPr>
        <w:ind w:left="300" w:hanging="292"/>
        <w:spacing w:after="0" w:line="225"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Highest-ever annual Partnership Performance Results</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for Revenues, Profit, Adjusted Profit</w:t>
      </w:r>
      <w:r>
        <w:rPr>
          <w:rFonts w:ascii="Arial" w:cs="Arial" w:eastAsia="Arial" w:hAnsi="Arial"/>
          <w:sz w:val="20"/>
          <w:szCs w:val="20"/>
          <w:color w:val="auto"/>
          <w:vertAlign w:val="superscript"/>
        </w:rPr>
        <w:t>(1)</w:t>
      </w:r>
      <w:r>
        <w:rPr>
          <w:rFonts w:ascii="Arial" w:cs="Arial" w:eastAsia="Arial" w:hAnsi="Arial"/>
          <w:sz w:val="16"/>
          <w:szCs w:val="16"/>
          <w:color w:val="auto"/>
        </w:rPr>
        <w:t>, Adjusted EBITDA</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and Distributable cash flow </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of</w:t>
      </w:r>
    </w:p>
    <w:p>
      <w:pPr>
        <w:ind w:left="340"/>
        <w:spacing w:after="0"/>
        <w:rPr>
          <w:sz w:val="20"/>
          <w:szCs w:val="20"/>
          <w:color w:val="auto"/>
        </w:rPr>
      </w:pPr>
      <w:r>
        <w:rPr>
          <w:rFonts w:ascii="Arial" w:cs="Arial" w:eastAsia="Arial" w:hAnsi="Arial"/>
          <w:sz w:val="18"/>
          <w:szCs w:val="18"/>
          <w:color w:val="auto"/>
        </w:rPr>
        <w:t>$269.1 million, $94.1 million, $92.2 million, $196.1 million and $100.6 million, respectively.</w:t>
      </w:r>
    </w:p>
    <w:p>
      <w:pPr>
        <w:spacing w:after="0" w:line="7" w:lineRule="exact"/>
        <w:rPr>
          <w:sz w:val="20"/>
          <w:szCs w:val="20"/>
          <w:color w:val="auto"/>
        </w:rPr>
      </w:pPr>
    </w:p>
    <w:p>
      <w:pPr>
        <w:ind w:left="340" w:right="220" w:hanging="332"/>
        <w:spacing w:after="0" w:line="250"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cash distribution of $0.5235 per common unit for the fourth quarter of 2017, 1.2% higher than the third quarter of 2017 and 6.8% higher than the fourth quarter of 2016.</w:t>
      </w: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Distribution coverage ratio</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1.18x, including the impact of the scheduled dry-docking of the </w:t>
      </w:r>
      <w:r>
        <w:rPr>
          <w:rFonts w:ascii="Arial" w:cs="Arial" w:eastAsia="Arial" w:hAnsi="Arial"/>
          <w:sz w:val="18"/>
          <w:szCs w:val="18"/>
          <w:i w:val="1"/>
          <w:iCs w:val="1"/>
          <w:color w:val="auto"/>
        </w:rPr>
        <w:t>GasLog Shanghai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9" w:lineRule="exact"/>
        <w:rPr>
          <w:sz w:val="20"/>
          <w:szCs w:val="20"/>
          <w:color w:val="auto"/>
        </w:rPr>
      </w:pPr>
    </w:p>
    <w:p>
      <w:pPr>
        <w:ind w:left="340" w:hanging="332"/>
        <w:spacing w:after="0" w:line="207" w:lineRule="auto"/>
        <w:tabs>
          <w:tab w:leader="none" w:pos="33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International Financial Reporting Standards (“IFRS”). For definition and reconciliation of these measures to the most directly comparable financial measures calculated and presented in accordance with IFRS, please refer to Exhibit III at the end of this press release.</w:t>
      </w:r>
    </w:p>
    <w:p>
      <w:pPr>
        <w:spacing w:after="0" w:line="1" w:lineRule="exact"/>
        <w:rPr>
          <w:rFonts w:ascii="Arial" w:cs="Arial" w:eastAsia="Arial" w:hAnsi="Arial"/>
          <w:sz w:val="18"/>
          <w:szCs w:val="18"/>
          <w:color w:val="auto"/>
          <w:vertAlign w:val="superscript"/>
        </w:rPr>
      </w:pPr>
    </w:p>
    <w:p>
      <w:pPr>
        <w:ind w:left="340" w:right="100" w:hanging="332"/>
        <w:spacing w:after="0" w:line="193" w:lineRule="auto"/>
        <w:tabs>
          <w:tab w:leader="none" w:pos="33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For the definitions and reconciliations of these measures to the most directly comparable financial measures calculated and presented in accordance with IFRS, please refer to Exhibit II at the end of this press release.</w:t>
      </w:r>
    </w:p>
    <w:p>
      <w:pPr>
        <w:spacing w:after="0" w:line="1" w:lineRule="exact"/>
        <w:rPr>
          <w:rFonts w:ascii="Arial" w:cs="Arial" w:eastAsia="Arial" w:hAnsi="Arial"/>
          <w:sz w:val="18"/>
          <w:szCs w:val="18"/>
          <w:color w:val="auto"/>
          <w:vertAlign w:val="superscript"/>
        </w:rPr>
      </w:pPr>
    </w:p>
    <w:p>
      <w:pPr>
        <w:ind w:left="340" w:right="200" w:hanging="332"/>
        <w:spacing w:after="0" w:line="207" w:lineRule="auto"/>
        <w:tabs>
          <w:tab w:leader="none" w:pos="30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Mr. Andrew Orekar, Chief Executive Officer, commented: “Following the successful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GasLog Partners delivered our highest-ever quarterly Partnership Performance Results for Revenues, EBITDA and Distributable cash flow, among other metrics. As a result of this strong performance, we are increasing our cash distribution for the fifth consecutive quarter to $0.5235 per unit, or $2.094 per unit annualized, while maintaining conservative distribution coverage.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2017 was a significant year for GasLog Partners on several measures. We completed three LNG carrier acquisitions from our general partner sponsor, GasLog, raised $281.1 million in net equity proceeds and retired $153.8 million in total debt. The Partnership’s fleet now stands at 12 wholly owned LNG carriers with multiple years of visible, contracted cash flows, notwithstanding scheduled charter expirations. With this quarter’s distribution increase, GasLog Partners has grown distributions per unit by 6.8% year-on-year and by 39.6% since our initial public offering (“IPO”), representing a 10% compound annual growth rate.</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January 17, 2018, we successfully completed an offering of perpetual preference units, generating $111.0 million of net proceeds and demonstrating our continued access to growth capital at an attractive cost. The offering substantially addresses the Partnership’s equity needs to deliver year-on-year distribution growth of 5% to 7% in 2018. This guidance is supported by our acquisitions completed in 2017, our drop-down pipeline and our strong liquidity position, while also taking account of the three scheduled vessel dry-dockings and three vessels whose current charters end this year. While LNG shipping spot rates continue to be volatile, the recent improvement in headline rates to above mid-cycle levels gives us confidence in a continuing market recovery.”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Series B Preference Units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17, 2018, GasLog Partners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$111.0 million. The Series B Preference Units are listed on the New York Stock Exchange under the symbol “GLOP PR B”. The initial distribution on the Series B Preference Units will be payable on March 15,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Solaris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On October 20, 2017, GasLog Partners acquired 100% of the shares in the entity that owns and charters to Shell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a 155,000 cubic meter (“cbm”) tri-fuel diesel electric (“TFDE”) LNG carrier built in 2014 and operated and managed by Shell since delivery. The vessel is currently on a multi-year time charter with a subsidiary of Shell through June 2021 and Shell has two consecutive five-year extension options which, if exercised, would extend the charter for a period of either five or ten years.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The aggregate purchase price for the acquisition was $185.9 million, which included $1.0 million for positive net working capital balances transferred with the vessel. GasLog Partners financed the acquisition with cash on hand, including proceeds from the ongoing execution of our at-the-market common equity offering programme (“ATM Programme”) described below, and the assumption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outstanding indebtedness of $116.5 million.</w:t>
      </w:r>
    </w:p>
    <w:p>
      <w:pPr>
        <w:sectPr>
          <w:pgSz w:w="11900" w:h="16838" w:orient="portrait"/>
          <w:cols w:equalWidth="0" w:num="1">
            <w:col w:w="11420"/>
          </w:cols>
          <w:pgMar w:left="240" w:top="12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ATM Programme</w:t>
      </w:r>
    </w:p>
    <w:p>
      <w:pPr>
        <w:spacing w:after="0" w:line="22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size of the ATM Programme was increased to $144.0 million and UBS Securities LLC was included as a sales agent. During the fourth quarter of 2017, GasLog Partners issued and received payment for 385,520 common units at a weighted average price of $23.31 per common unit for total gross proceeds of $9.0 million and net proceeds of $8.5 million, after broker commissions of $0.1 million and other expenses of $0.4 million. In connection with the issuance of common units under the ATM Programme during this period, the Partnership also issued 7,868 general partner units to its general partner in order for GasLog to retain its 2.0% general partner interest. The net proceeds from the issuance of the general partner units were $0.2 million.</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Since the commencement of the ATM Programme through December 31, 2017, GasLog Partners has issued and received payment for a total of 2,737,405 common units, with cumulative gross proceeds of $62.9 million at a weighted average price of $22.97 per unit, representing a discount of 0.5% to the volume weighted average trading price of GasLog Partners’ common units on the days on which new common units were issued. In connection with the issuance of common units under the ATM Programme during this period, the Partnership also issued 55,866 general partner units to its general partner. The cumulative net proceeds from the ATM Programme and the issuance of general partner units for the year ended December 31, 2017 were $62.5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IFRS Common Control Reported Results</w:t>
            </w:r>
            <w:r>
              <w:rPr>
                <w:rFonts w:ascii="Arial" w:cs="Arial" w:eastAsia="Arial" w:hAnsi="Arial"/>
                <w:sz w:val="17"/>
                <w:szCs w:val="17"/>
                <w:b w:val="1"/>
                <w:bCs w:val="1"/>
                <w:color w:val="auto"/>
                <w:w w:val="95"/>
                <w:vertAlign w:val="superscript"/>
              </w:rPr>
              <w:t>(1)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 amounts expressed in</w:t>
            </w:r>
          </w:p>
        </w:tc>
        <w:tc>
          <w:tcPr>
            <w:tcW w:w="388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3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For the year ended</w:t>
            </w:r>
          </w:p>
        </w:tc>
        <w:tc>
          <w:tcPr>
            <w:tcW w:w="1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continue"/>
          </w:tcPr>
          <w:p>
            <w:pPr>
              <w:spacing w:after="0"/>
              <w:rPr>
                <w:sz w:val="10"/>
                <w:szCs w:val="10"/>
                <w:color w:val="auto"/>
              </w:rPr>
            </w:pPr>
          </w:p>
        </w:tc>
        <w:tc>
          <w:tcPr>
            <w:tcW w:w="138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340" w:type="dxa"/>
            <w:vAlign w:val="bottom"/>
            <w:vMerge w:val="restart"/>
          </w:tcPr>
          <w:p>
            <w:pPr>
              <w:spacing w:after="0"/>
              <w:rPr>
                <w:sz w:val="10"/>
                <w:szCs w:val="10"/>
                <w:color w:val="auto"/>
              </w:rPr>
            </w:pPr>
          </w:p>
        </w:tc>
        <w:tc>
          <w:tcPr>
            <w:tcW w:w="124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thousands of U.S. dollars)</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311,469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34,634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28,960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92,469</w:t>
            </w:r>
          </w:p>
        </w:tc>
        <w:tc>
          <w:tcPr>
            <w:tcW w:w="1460" w:type="dxa"/>
            <w:vAlign w:val="bottom"/>
            <w:gridSpan w:val="3"/>
          </w:tcPr>
          <w:p>
            <w:pPr>
              <w:ind w:left="660"/>
              <w:spacing w:after="0"/>
              <w:rPr>
                <w:sz w:val="20"/>
                <w:szCs w:val="20"/>
                <w:color w:val="auto"/>
              </w:rPr>
            </w:pPr>
            <w:r>
              <w:rPr>
                <w:rFonts w:ascii="Arial" w:cs="Arial" w:eastAsia="Arial" w:hAnsi="Arial"/>
                <w:sz w:val="18"/>
                <w:szCs w:val="18"/>
                <w:color w:val="auto"/>
              </w:rPr>
              <w:t>112,833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Profit</w:t>
            </w:r>
            <w:r>
              <w:rPr>
                <w:rFonts w:ascii="Arial" w:cs="Arial" w:eastAsia="Arial" w:hAnsi="Arial"/>
                <w:sz w:val="8"/>
                <w:szCs w:val="8"/>
                <w:color w:val="auto"/>
              </w:rPr>
              <w:t>(2)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25,605</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102,203</w:t>
            </w:r>
          </w:p>
        </w:tc>
        <w:tc>
          <w:tcPr>
            <w:tcW w:w="14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110,872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8"/>
                <w:szCs w:val="8"/>
                <w:color w:val="auto"/>
              </w:rPr>
              <w:t>(2)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60,696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56,437</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210,450</w:t>
            </w:r>
          </w:p>
        </w:tc>
        <w:tc>
          <w:tcPr>
            <w:tcW w:w="1460" w:type="dxa"/>
            <w:vAlign w:val="bottom"/>
            <w:gridSpan w:val="3"/>
          </w:tcPr>
          <w:p>
            <w:pPr>
              <w:ind w:left="660"/>
              <w:spacing w:after="0"/>
              <w:rPr>
                <w:sz w:val="20"/>
                <w:szCs w:val="20"/>
                <w:color w:val="auto"/>
              </w:rPr>
            </w:pPr>
            <w:r>
              <w:rPr>
                <w:rFonts w:ascii="Arial" w:cs="Arial" w:eastAsia="Arial" w:hAnsi="Arial"/>
                <w:sz w:val="18"/>
                <w:szCs w:val="18"/>
                <w:color w:val="auto"/>
              </w:rPr>
              <w:t>233,042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660" w:right="160" w:hanging="328"/>
        <w:spacing w:after="0" w:line="218" w:lineRule="auto"/>
        <w:tabs>
          <w:tab w:leader="none" w:pos="6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was accounted for as a reorganization of entities under common control for IFRS accounting purposes. The unaudited condensed consolidated financial statements of the Partnership accompanying this press release are prepared under IFRS on this basis.</w:t>
      </w:r>
    </w:p>
    <w:p>
      <w:pPr>
        <w:spacing w:after="0" w:line="116" w:lineRule="exact"/>
        <w:rPr>
          <w:rFonts w:ascii="Arial" w:cs="Arial" w:eastAsia="Arial" w:hAnsi="Arial"/>
          <w:sz w:val="18"/>
          <w:szCs w:val="18"/>
          <w:color w:val="auto"/>
          <w:vertAlign w:val="superscript"/>
        </w:rPr>
      </w:pPr>
    </w:p>
    <w:p>
      <w:pPr>
        <w:ind w:left="660" w:right="460" w:hanging="328"/>
        <w:spacing w:after="0" w:line="215" w:lineRule="auto"/>
        <w:tabs>
          <w:tab w:leader="none" w:pos="6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Adjusted Profit and EBITDA are non-GAAP financial measures. For definition and reconciliation of these measures to the most directly comparable financial measure presented in accordance with IFRS, please refer to Exhibit III at the end of this press release.</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The decrease in Profit and Adjusted Profit in the fourth quarter of 2017 as compared to the fourth quarter of 2016 is mainly attributable to a decrease of $4.4 million in profit from operations, primarily due to the scheduled dry-docking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completed in November 2017 and increased operating expenses resulting from increased crew wages and technical maintenance expenses.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increase in Profit for the year ended December 31, 2017, as compared to the year ended December 31, 2016, is mainly attributable to an increase of $18.0 million in profit from operations ($29.5 million increase in Revenues and $23.8 million increase in EBITDA) from the full operation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delivered in March 2016 and September 2016, respectively, and an increase of $6.3 million in non-cash gain on interest rate swaps, partially offset by an increase of $1.8 million in administrative fees resulting from the drop-downs to the Partnership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Greece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Partnership Performance Results</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 amounts expressed in</w:t>
            </w:r>
          </w:p>
        </w:tc>
        <w:tc>
          <w:tcPr>
            <w:tcW w:w="2820" w:type="dxa"/>
            <w:vAlign w:val="bottom"/>
            <w:tcBorders>
              <w:bottom w:val="single" w:sz="8" w:color="auto"/>
            </w:tcBorders>
            <w:gridSpan w:val="5"/>
          </w:tcPr>
          <w:p>
            <w:pPr>
              <w:jc w:val="center"/>
              <w:ind w:left="957"/>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For the year ended</w:t>
            </w:r>
          </w:p>
        </w:tc>
        <w:tc>
          <w:tcPr>
            <w:tcW w:w="1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gridSpan w:val="2"/>
            <w:vMerge w:val="continue"/>
          </w:tcPr>
          <w:p>
            <w:pPr>
              <w:spacing w:after="0"/>
              <w:rPr>
                <w:sz w:val="10"/>
                <w:szCs w:val="10"/>
                <w:color w:val="auto"/>
              </w:rPr>
            </w:pPr>
          </w:p>
        </w:tc>
        <w:tc>
          <w:tcPr>
            <w:tcW w:w="13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14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0"/>
                <w:szCs w:val="10"/>
                <w:color w:val="auto"/>
              </w:rPr>
            </w:pPr>
          </w:p>
        </w:tc>
        <w:tc>
          <w:tcPr>
            <w:tcW w:w="124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thousands of U.S. dollars)</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269,071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24,827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28,438</w:t>
            </w: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77,270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94,117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Profit</w:t>
            </w:r>
            <w:r>
              <w:rPr>
                <w:rFonts w:ascii="Arial" w:cs="Arial" w:eastAsia="Arial" w:hAnsi="Arial"/>
                <w:sz w:val="8"/>
                <w:szCs w:val="8"/>
                <w:color w:val="auto"/>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92,156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8"/>
                <w:szCs w:val="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41,633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55,358</w:t>
            </w: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148,885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196,133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8"/>
                <w:szCs w:val="8"/>
                <w:color w:val="auto"/>
              </w:rPr>
              <w:t>(2),(3)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83,660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100,551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Cash distributions declared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19,549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22,845</w:t>
            </w:r>
          </w:p>
        </w:tc>
        <w:tc>
          <w:tcPr>
            <w:tcW w:w="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69,416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86,344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2" w:lineRule="exact"/>
        <w:rPr>
          <w:sz w:val="20"/>
          <w:szCs w:val="20"/>
          <w:color w:val="auto"/>
        </w:rPr>
      </w:pPr>
    </w:p>
    <w:p>
      <w:pPr>
        <w:ind w:left="660" w:hanging="328"/>
        <w:spacing w:after="0" w:line="238" w:lineRule="auto"/>
        <w:tabs>
          <w:tab w:leader="none" w:pos="62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 of the vessel owning entities by GasLog to the Partnership represents a reorganization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definitions and reconciliations of these measurements to the most directly comparable financial measures presented in accordance with IFRS, please refer to Exhibit II at the end of this press release.</w:t>
      </w:r>
    </w:p>
    <w:p>
      <w:pPr>
        <w:spacing w:after="0" w:line="103" w:lineRule="exact"/>
        <w:rPr>
          <w:rFonts w:ascii="Arial" w:cs="Arial" w:eastAsia="Arial" w:hAnsi="Arial"/>
          <w:sz w:val="16"/>
          <w:szCs w:val="16"/>
          <w:color w:val="auto"/>
          <w:vertAlign w:val="superscript"/>
        </w:rPr>
      </w:pPr>
    </w:p>
    <w:p>
      <w:pPr>
        <w:ind w:left="660" w:right="200" w:hanging="328"/>
        <w:spacing w:after="0" w:line="217" w:lineRule="auto"/>
        <w:tabs>
          <w:tab w:leader="none" w:pos="6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definition and reconciliation of these measures to the most directly comparable financial measures calculated and presented in accordance with IFRS, please refer to Exhibit III at the end of this press release.</w:t>
      </w:r>
    </w:p>
    <w:p>
      <w:pPr>
        <w:spacing w:after="0" w:line="77" w:lineRule="exact"/>
        <w:rPr>
          <w:rFonts w:ascii="Arial" w:cs="Arial" w:eastAsia="Arial" w:hAnsi="Arial"/>
          <w:sz w:val="18"/>
          <w:szCs w:val="18"/>
          <w:color w:val="auto"/>
          <w:vertAlign w:val="superscript"/>
        </w:rPr>
      </w:pPr>
    </w:p>
    <w:p>
      <w:pPr>
        <w:ind w:left="620" w:hanging="288"/>
        <w:spacing w:after="0"/>
        <w:tabs>
          <w:tab w:leader="none" w:pos="6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After giving effect to preference unit distributions declared.</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increases in the Partnership Performance Results in the fourth quarter of 2017 as compared to the fourth quarter of 2016 are mainly attributable to an increase of $21.7 million in Revenues, $9.0 million in Profit and $17.8 million in EBITDA due to the acquisitions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by the Partnership on November 1, 2016, May 3, 2017, July 3, 2017 and October 20, 2017, respectively, partially offset by a decrease in profit from operations from the remaining fleet, mainly due to the scheduled dry-docking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completed in November 2017 and increased crew wages and technical maintenance expenses.</w:t>
      </w:r>
    </w:p>
    <w:p>
      <w:pPr>
        <w:sectPr>
          <w:pgSz w:w="11900" w:h="16838" w:orient="portrait"/>
          <w:cols w:equalWidth="0" w:num="1">
            <w:col w:w="11420"/>
          </w:cols>
          <w:pgMar w:left="240" w:top="121" w:right="239" w:bottom="0" w:gutter="0" w:footer="0" w:header="0"/>
        </w:sectPr>
      </w:pPr>
    </w:p>
    <w:bookmarkStart w:id="3" w:name="page4"/>
    <w:bookmarkEnd w:id="3"/>
    <w:p>
      <w:pPr>
        <w:ind w:right="20"/>
        <w:spacing w:after="0" w:line="272" w:lineRule="auto"/>
        <w:rPr>
          <w:sz w:val="20"/>
          <w:szCs w:val="20"/>
          <w:color w:val="auto"/>
        </w:rPr>
      </w:pPr>
      <w:r>
        <w:rPr>
          <w:rFonts w:ascii="Arial" w:cs="Arial" w:eastAsia="Arial" w:hAnsi="Arial"/>
          <w:sz w:val="17"/>
          <w:szCs w:val="17"/>
          <w:color w:val="auto"/>
        </w:rPr>
        <w:t xml:space="preserve">The increases in the Partnership Performance Results for the year ended December 31, 2017, as compared to the year ended December 31, 2016, are attributable to an increase of $61.9 million in Revenues, $36.5 million in profit from operations and $49.4 million in EBITDA from the acquisitions of the </w:t>
      </w: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the</w:t>
      </w:r>
      <w:r>
        <w:rPr>
          <w:rFonts w:ascii="Arial" w:cs="Arial" w:eastAsia="Arial" w:hAnsi="Arial"/>
          <w:sz w:val="17"/>
          <w:szCs w:val="17"/>
          <w:i w:val="1"/>
          <w:iCs w:val="1"/>
          <w:color w:val="auto"/>
        </w:rPr>
        <w:t xml:space="preserve"> GasLog 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Solaris </w:t>
      </w:r>
      <w:r>
        <w:rPr>
          <w:rFonts w:ascii="Arial" w:cs="Arial" w:eastAsia="Arial" w:hAnsi="Arial"/>
          <w:sz w:val="17"/>
          <w:szCs w:val="17"/>
          <w:color w:val="auto"/>
        </w:rPr>
        <w:t>by the Partnership on November 1, 2016, May 3, 2017, July 3, 2017 and October 20,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2017, respectively, which was partially offset by an increase of $17.4 million in net financial costs (comprising financial costs, net of gain on interest rate swaps and financial income), mainly resulting from the mark-to-market valuation of the interest rate swaps and the increased weighted average outstanding debt, an increase of $1.8 million in administrative fees resulting from the drop-downs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Solaris </w:t>
      </w:r>
      <w:r>
        <w:rPr>
          <w:rFonts w:ascii="Arial" w:cs="Arial" w:eastAsia="Arial" w:hAnsi="Arial"/>
          <w:sz w:val="17"/>
          <w:szCs w:val="17"/>
          <w:color w:val="auto"/>
        </w:rPr>
        <w:t>to the Partnership and increased crew wages and technical maintenance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Preference Unit Distribution</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16, 2017, the board of directors of GasLog Partners approved and declared a distribution on the Series A Preference Units of $0.5390625 per preference unit. The cash distribution was paid on December 15, 2017 to all unitholders of record as of December 8,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Unit Distribution</w:t>
      </w:r>
    </w:p>
    <w:p>
      <w:pPr>
        <w:spacing w:after="0" w:line="14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On January 30, 2018, the board of directors of GasLog Partners approved and declared a quarterly cash distribution of $0.5235 per common unit for the quarter ended December 31, 2017. The cash distribution is payable on February 14, 2018 to all unitholders of record as of February 9,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Financing</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2017, we had $142.5 million of cash and cash equivalents, of which $101.3 million was held in current accounts and $41.2 million was held in time deposits.</w:t>
      </w:r>
    </w:p>
    <w:p>
      <w:pPr>
        <w:spacing w:after="0" w:line="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2017, we had an aggregate of $1,155.6 million of indebtedness outstanding under our credit facilities of which $103.8 million is repayable within one year. In addition, we had unused availability under our revolving credit facilities of $55.9 million.</w:t>
      </w:r>
    </w:p>
    <w:p>
      <w:pPr>
        <w:spacing w:after="0" w:line="8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On October 20, 2017, in connection with the acquisition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the Partnership paid GasLog $70.6 million representing the difference between the $185.9 million aggregate purchase price and the $116.5 million of outstanding indebtedness of the acquired entity assumed by GasLog Partners less an adjustment of $1.2 million in order to maintain the agreed working capital position in the acquired entity of $1.0 million.</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2017, the Partnership has hedged 41.7% of its floating interest rate exposure on its outstanding debt at a weighted average interest rate of approximately 1.7% (excluding margin).</w:t>
      </w:r>
    </w:p>
    <w:p>
      <w:pPr>
        <w:spacing w:after="0" w:line="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2017, our current assets totaled $151.3 million and current liabilities totaled $148.2 million, resulting in a positive working capital position of $3.1 million.</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January 5, 2018, the respective subsidiaries of GasLog Partners prepaid in full the outstanding $29.8 million of the junior tranche of the Five Vessel Refinancing, which would have been due in April 2018.</w:t>
      </w:r>
    </w:p>
    <w:p>
      <w:pPr>
        <w:spacing w:after="0" w:line="10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are expected to carry out scheduled dry-dockings, of which two will take place during the second quarter of 2018 and one in the fourth quarter of 2018. In addition to the normal cost of the scheduled dry-dockings for which provisions are made through our dry-docking reserves in our Distributable cash flow calculations, we plan to make certain investments in two of the vessels with scheduled dry-dockings in 2018 with the aim of enhancing their operational performance at a total cost of approximately $28 million, which is expected to be capitalized as part of the respective vessel’s cost. Of the total cost of approximately $28 million, approximately $4 million has already been paid. As a result of the additional work required, we expect the dry-dockings for these two vessels to last somewhat longer than would normally be the case. The additional time required for such work is expected to be around ten days per vessel but this is yet to be finally verified.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fourth quarter of 2017 witnessed the start-up of Chevron’s Wheatstone LNG project in Australia, Novatek’s Yamal Train 1 in Russia, and Dominion’s Cove Point project in the United States, building on the momentum in the expansion of global liquefaction capacity seen throughout 2017. In total, over 30 million tonnes per annum (“mtpa”) of new nameplate capacity came online in 2017, an increase of 11% over 2016. Looking ahead, Ichthys, Wheatstone Train 2, Cameroon, Elba Island, Prelude and Yamal Train 2 are expected to begin production this year, adding a further approximately 25 mtpa of nameplate capacity, a projected increase of 9% over 2017.</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Further out, the long-term outlook for incremental LNG supply and demand continues to gather momentum as witnessed by Cheniere’s recent sale and purchase agreement with Trafigura under which it agreed to supply 1 mtpa of LNG over 15 years beginning in 2019 and Tohoku Electric’s 0.2 mtpa off-take contract with Area 1 in Mozambique. While only one final investment decision (“FID”) was made last year (ENI’s 3.4 mtpa Coral FLNG), various sources project a shortfall of LNG by between 2021 and 2023, implying the need for additional project sanctions over the next 1-3 years.</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Demand for LNG in 2017 was stronger than expected, growing an estimated 12% over 2016. More specifically, Chinese demand grew by almost 50% year-on-year, overtaking South Korea as the world’s second largest consumer of LNG as the country seeks to introduce more natural gas into its energy mix. Elsewhere in Asia, demand from Japan remained steady while South Korea and Taiwan grew 10% and 14%, respectively. Strong seasonal demand from Asia drove spot LNG prices to over $11/mmBTU in recent weeks, widening the west-east arbitrage window for sending Atlantic Basin LNG into Asia, expanding ton miles and driving incremental demand for LNG shipping capacity.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LNG shipping spot market, TFDE headline rates, as reported by Clarksons, rose through the end of the fourth quarter, reaching a peak of $82,000 per day in late December, an increase of 82% from the same time in 2016. This improvement in rates, combined with only ten newbuild orders last year, gives us confidence in the sustainability of the current market recovery. While we expect there to be seasonality in both LNG prices and LNG shipping spot rates during 2018, the longer-term outlook for LNG shipping day rates remains positive.</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may take time before the strength in the spot market observed this winter translates into the multi-year charter market as we are in the early stages of the recovery. However, we are observing increasing levels of tendering activity for charters ranging from multi-month to multi-year, an encouraging development as we look to fix our open days for GasLog Partners’ three vessels whose current charters end in 2018. In addition, some off-takers for LNG projects scheduled to begin production over the next two years have yet to secure their shipping requirements. We expect a number of vessels for these projects to be sourced from vessels currently operating in the short-term market, but also expect the coming increase in LNG supply to require additional LNG carriers beyond those currently on the water and in the orderbook.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ectPr>
          <w:pgSz w:w="11900" w:h="16838" w:orient="portrait"/>
          <w:cols w:equalWidth="0" w:num="1">
            <w:col w:w="11400"/>
          </w:cols>
          <w:pgMar w:left="240" w:top="125" w:right="259" w:bottom="0" w:gutter="0" w:footer="0" w:header="0"/>
        </w:sectPr>
      </w:pPr>
    </w:p>
    <w:bookmarkStart w:id="4" w:name="page5"/>
    <w:bookmarkEnd w:id="4"/>
    <w:p>
      <w:pPr>
        <w:spacing w:after="0" w:line="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GasLog Partners will host a conference call to discuss its results at 8:30 a.m. EST (1:30 p.m. GMT) on Wednesday, January 31, 2018. Andrew Orekar, Chief Executive Officer, and Alastair Maxwell, Chief Financial Officer, will review the Partnership’s operational and financial performance for the period. Management’s presentation will be followed by a Q&amp;A session.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6975568</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Partnership’s website at http://www.gaslogmlp.com/investor-relations.</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EST (7:00 p.m. GMT) on Wednesday, January 31, 2018 until 11:59 p.m. EST (3:59 a.m. GMT) on Thursday, February 7,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6975568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replay will also be available via a webcast on the investor relations page of the Partnership’s website at http://www.gaslogmlp.com/investor-relations.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twelve LNG carriers with an average carrying capacity of approximately 154,000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40" w:hanging="328"/>
        <w:spacing w:after="0" w:line="258"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 prices;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successfully complete scheduled dry-dockings on time and within budget;</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from our drop-down pipeline at GasLog;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60" w:right="30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ectPr>
          <w:pgSz w:w="11900" w:h="16861" w:orient="portrait"/>
          <w:cols w:equalWidth="0" w:num="1">
            <w:col w:w="11400"/>
          </w:cols>
          <w:pgMar w:left="240" w:top="274" w:right="259" w:bottom="0" w:gutter="0" w:footer="0" w:header="0"/>
        </w:sectPr>
      </w:pPr>
    </w:p>
    <w:bookmarkStart w:id="5" w:name="page6"/>
    <w:bookmarkEnd w:id="5"/>
    <w:p>
      <w:pPr>
        <w:spacing w:after="0" w:line="59" w:lineRule="exact"/>
        <w:rPr>
          <w:sz w:val="20"/>
          <w:szCs w:val="20"/>
          <w:color w:val="auto"/>
        </w:rPr>
      </w:pPr>
    </w:p>
    <w:p>
      <w:pPr>
        <w:ind w:left="660" w:hanging="328"/>
        <w:spacing w:after="0" w:line="258"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 — Unaudited Interim Financial Information: IFRS Common Control Reported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2,014,783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1,953,057</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2,021,719</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1,959,095</w:t>
            </w:r>
          </w:p>
        </w:tc>
        <w:tc>
          <w:tcPr>
            <w:tcW w:w="100" w:type="dxa"/>
            <w:vAlign w:val="bottom"/>
            <w:tcBorders>
              <w:bottom w:val="single" w:sz="8" w:color="CCEEFF"/>
            </w:tcBorders>
          </w:tcPr>
          <w:p>
            <w:pPr>
              <w:spacing w:after="0"/>
              <w:rPr>
                <w:sz w:val="18"/>
                <w:szCs w:val="18"/>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4,201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3,629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56,506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142,547</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71,069</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2,092,788</w:t>
            </w:r>
          </w:p>
        </w:tc>
        <w:tc>
          <w:tcPr>
            <w:tcW w:w="2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2,110,390</w:t>
            </w:r>
          </w:p>
        </w:tc>
        <w:tc>
          <w:tcPr>
            <w:tcW w:w="100" w:type="dxa"/>
            <w:vAlign w:val="bottom"/>
            <w:tcBorders>
              <w:bottom w:val="single" w:sz="8" w:color="CCEEFF"/>
            </w:tcBorders>
          </w:tcPr>
          <w:p>
            <w:pPr>
              <w:spacing w:after="0"/>
              <w:rPr>
                <w:sz w:val="21"/>
                <w:szCs w:val="21"/>
                <w:color w:val="auto"/>
              </w:rPr>
            </w:pPr>
          </w:p>
        </w:tc>
      </w:tr>
      <w:tr>
        <w:trPr>
          <w:trHeight w:val="170"/>
        </w:trPr>
        <w:tc>
          <w:tcPr>
            <w:tcW w:w="78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 equity and liabilities</w:t>
            </w:r>
          </w:p>
        </w:tc>
        <w:tc>
          <w:tcPr>
            <w:tcW w:w="1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Partners’ equity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Owners’ capital</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155,669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tcPr>
          <w:p>
            <w:pPr>
              <w:spacing w:after="0" w:line="201" w:lineRule="exact"/>
              <w:rPr>
                <w:sz w:val="20"/>
                <w:szCs w:val="20"/>
                <w:color w:val="auto"/>
              </w:rPr>
            </w:pPr>
            <w:r>
              <w:rPr>
                <w:rFonts w:ascii="Arial" w:cs="Arial" w:eastAsia="Arial" w:hAnsi="Arial"/>
                <w:sz w:val="18"/>
                <w:szCs w:val="18"/>
                <w:color w:val="auto"/>
                <w:w w:val="93"/>
              </w:rPr>
              <w:t>Common unitholders (24,572,358 units issued and outstanding as of December 31, 2016 and 41,002,121</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units issued and outstanding as of December 31, 2017)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565,408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752,456</w:t>
            </w: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Subordinated unitholders (9,822,358 units issued and outstanding as of December 31, 2016, nil units</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as of December 31, 2017)</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60,988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tcPr>
          <w:p>
            <w:pPr>
              <w:spacing w:after="0" w:line="201" w:lineRule="exact"/>
              <w:rPr>
                <w:sz w:val="20"/>
                <w:szCs w:val="20"/>
                <w:color w:val="auto"/>
              </w:rPr>
            </w:pPr>
            <w:r>
              <w:rPr>
                <w:rFonts w:ascii="Arial" w:cs="Arial" w:eastAsia="Arial" w:hAnsi="Arial"/>
                <w:sz w:val="18"/>
                <w:szCs w:val="18"/>
                <w:color w:val="auto"/>
                <w:w w:val="98"/>
              </w:rPr>
              <w:t>General partner (701,933 units issued and outstanding as of December 31, 2016 and 836,779 units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issued and outstanding as of December 31, 2017)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10,095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11,781</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w:t>
            </w:r>
          </w:p>
        </w:tc>
      </w:tr>
      <w:tr>
        <w:trPr>
          <w:trHeight w:val="202"/>
        </w:trPr>
        <w:tc>
          <w:tcPr>
            <w:tcW w:w="7840" w:type="dxa"/>
            <w:vAlign w:val="bottom"/>
          </w:tcPr>
          <w:p>
            <w:pPr>
              <w:spacing w:after="0" w:line="201" w:lineRule="exact"/>
              <w:rPr>
                <w:sz w:val="20"/>
                <w:szCs w:val="20"/>
                <w:color w:val="auto"/>
              </w:rPr>
            </w:pPr>
            <w:r>
              <w:rPr>
                <w:rFonts w:ascii="Arial" w:cs="Arial" w:eastAsia="Arial" w:hAnsi="Arial"/>
                <w:sz w:val="18"/>
                <w:szCs w:val="18"/>
                <w:color w:val="auto"/>
                <w:w w:val="96"/>
              </w:rPr>
              <w:t>Preference unitholders (nil units issued and outstanding as of December 31, 2016 and 5,750,000 units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issued and outstanding as of December 31, 2017)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139,321</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partners’ equity</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798,038</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r>
    </w:tbl>
    <w:p>
      <w:pPr>
        <w:sectPr>
          <w:pgSz w:w="11900" w:h="16897" w:orient="portrait"/>
          <w:cols w:equalWidth="0" w:num="1">
            <w:col w:w="11420"/>
          </w:cols>
          <w:pgMar w:left="240" w:top="125"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5,610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40,105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39,255</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73,922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103,829</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123,724</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148,219</w:t>
            </w:r>
          </w:p>
        </w:tc>
        <w:tc>
          <w:tcPr>
            <w:tcW w:w="100" w:type="dxa"/>
            <w:vAlign w:val="bottom"/>
            <w:tcBorders>
              <w:bottom w:val="single" w:sz="8" w:color="CCEEFF"/>
            </w:tcBorders>
          </w:tcPr>
          <w:p>
            <w:pPr>
              <w:spacing w:after="0"/>
              <w:rPr>
                <w:sz w:val="18"/>
                <w:szCs w:val="18"/>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1,170,844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1,051,767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1,171,026</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1,052,017</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2,092,788</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2,110,390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ind w:right="4360"/>
        <w:spacing w:after="0" w:line="290" w:lineRule="auto"/>
        <w:rPr>
          <w:sz w:val="20"/>
          <w:szCs w:val="20"/>
          <w:color w:val="auto"/>
        </w:rPr>
      </w:pPr>
      <w:r>
        <w:rPr>
          <w:rFonts w:ascii="Arial" w:cs="Arial" w:eastAsia="Arial" w:hAnsi="Arial"/>
          <w:sz w:val="17"/>
          <w:szCs w:val="17"/>
          <w:b w:val="1"/>
          <w:bCs w:val="1"/>
          <w:color w:val="auto"/>
        </w:rPr>
        <w:t>For the three-month periods and the years ended December 31, 2016 and December 31, 2017 (All amounts expressed in thousands of U.S. Dollars,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(13,829)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(16,186)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(55,424)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(60,015)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(16,952)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(17,086)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(61,770)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(67,726)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43,744</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39,351</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148,680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165,316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Financial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Gain/(loss) on interest rate swaps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(9,110)</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(10,391)</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(56,211)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34,634</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28,960</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Less: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24,827</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28,438</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77,270</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Partnership’s profit attributable to:</w:t>
            </w: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Common units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15,206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23,333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49,886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partner units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496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Preference units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Earnings per unit for the period: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Common unit (diluted)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partner unit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0.71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gridSpan w:val="2"/>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w w:val="95"/>
              </w:rPr>
              <w:t>Unaudited condensed consolidated statements of cash flows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w w:val="91"/>
              </w:rPr>
              <w:t>For the years ended December 31, 2016 and December 31, 2017</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(All amounts expressed in thousands of U.S. Dollars)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Profit for the period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92,469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61,770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Financial income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loss/(gain) on interest rate swaps held for trading</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208,190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231,839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Movements in working capital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221,846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226,959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191,049</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180,127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Payments for vessels’ additions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(337,647)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-3545205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-3545205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received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short-term investments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(341,946)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Borrowings drawdowns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886,837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(625,160)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(19,223)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 rate swaps termination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distribution to GasLog in exchange for contribution of net assets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(68,142)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(192,168)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Proceeds from public offerings of common units and issuance of general partner units (net of underwriting</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 and commissions)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Proceeds from public offering of preference units (net of underwriting discounts and commissions)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139,222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Distributions paid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(65,577)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(90,280)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Dividend due to GasLog before vessels’ drop-down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140,660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(96,312)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86,041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66,743</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56,506</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142,547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Our Partnership Performance Results presented below are non-GAAP measures and exclude amounts related to GAS-seven Ltd. (the owner of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Seattle</w:t>
      </w:r>
      <w:r>
        <w:rPr>
          <w:rFonts w:ascii="Arial" w:cs="Arial" w:eastAsia="Arial" w:hAnsi="Arial"/>
          <w:sz w:val="17"/>
          <w:szCs w:val="17"/>
          <w:color w:val="auto"/>
        </w:rPr>
        <w:t>), GAS-eleven Ltd. (the owner of the</w:t>
      </w:r>
      <w:r>
        <w:rPr>
          <w:rFonts w:ascii="Arial" w:cs="Arial" w:eastAsia="Arial" w:hAnsi="Arial"/>
          <w:sz w:val="17"/>
          <w:szCs w:val="17"/>
          <w:i w:val="1"/>
          <w:iCs w:val="1"/>
          <w:color w:val="auto"/>
        </w:rPr>
        <w:t xml:space="preserve"> GasLog Greece</w:t>
      </w:r>
      <w:r>
        <w:rPr>
          <w:rFonts w:ascii="Arial" w:cs="Arial" w:eastAsia="Arial" w:hAnsi="Arial"/>
          <w:sz w:val="17"/>
          <w:szCs w:val="17"/>
          <w:color w:val="auto"/>
        </w:rPr>
        <w:t>), GAS-thirteen Ltd. (the owner of the</w:t>
      </w:r>
      <w:r>
        <w:rPr>
          <w:rFonts w:ascii="Arial" w:cs="Arial" w:eastAsia="Arial" w:hAnsi="Arial"/>
          <w:sz w:val="17"/>
          <w:szCs w:val="17"/>
          <w:i w:val="1"/>
          <w:iCs w:val="1"/>
          <w:color w:val="auto"/>
        </w:rPr>
        <w:t xml:space="preserve"> GasLog Geneva</w:t>
      </w:r>
      <w:r>
        <w:rPr>
          <w:rFonts w:ascii="Arial" w:cs="Arial" w:eastAsia="Arial" w:hAnsi="Arial"/>
          <w:sz w:val="17"/>
          <w:szCs w:val="17"/>
          <w:color w:val="auto"/>
        </w:rPr>
        <w:t>) and GAS-eight Ltd. (the owner of the</w:t>
      </w:r>
      <w:r>
        <w:rPr>
          <w:rFonts w:ascii="Arial" w:cs="Arial" w:eastAsia="Arial" w:hAnsi="Arial"/>
          <w:sz w:val="17"/>
          <w:szCs w:val="17"/>
          <w:i w:val="1"/>
          <w:iCs w:val="1"/>
          <w:color w:val="auto"/>
        </w:rPr>
        <w:t xml:space="preserve"> Solaris</w:t>
      </w:r>
      <w:r>
        <w:rPr>
          <w:rFonts w:ascii="Arial" w:cs="Arial" w:eastAsia="Arial" w:hAnsi="Arial"/>
          <w:sz w:val="17"/>
          <w:szCs w:val="17"/>
          <w:color w:val="auto"/>
        </w:rPr>
        <w:t>), for the periods prior to their transfers to the Partnership on November 1, 2016, May 3, 2017, July 3, 2017 and October 20, 2017, respectively. While</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reflected in the Partnership’s unaudited condensed consolidated financial statements because the transfers to the Partnership were accounted for as reorganizations of entities under common control under IFRS, GAS-seven Ltd., GAS-eleven Ltd., GAS-thirteen Ltd. and GAS-eight Ltd. were not owned by the Partnership prior to their respective transfers to the Partnership in November 2016, May 2017, July 2017 and October 2017, and accordingly the Partnership was not entitled to the cash or results generated in the periods prior to such transfers.</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 December 31, 2016</w:t>
            </w:r>
          </w:p>
        </w:tc>
        <w:tc>
          <w:tcPr>
            <w:tcW w:w="3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For the year ended December 31, 2016</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Partnership</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22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Partnership</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U.S. dollars)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GasLog</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GasLog</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206,424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(10,845)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(13,829)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(11,945)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(43,479)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(55,424)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(4,890)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(12,062)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(16,952)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(16,540)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(45,230)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(61,770)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(11,219</w:t>
            </w: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14,173</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29,571</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43,744</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45,025</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103,655</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interest rate swaps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(4,366)</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(4,744)</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(9,110)</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(29,826)</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(26,385)</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9,807</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24,827</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34,634</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15,199</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 December 31, 2017</w:t>
            </w:r>
          </w:p>
        </w:tc>
        <w:tc>
          <w:tcPr>
            <w:tcW w:w="3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For the year ended December 31, 2017</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Partnership</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22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Partnership</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U.S. dollars)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GasLog</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GasLog</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42,398</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(16,169)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(16,186)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(4,323)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(55,692)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(60,015)</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(16,785)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(17,086)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(9,533)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(58,193)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(67,726)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(13,869</w:t>
            </w: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(14,508)</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38,573</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39,351</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27,376</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137,940</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165,316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60"/>
          </w:cols>
          <w:pgMar w:left="240" w:top="140"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Financial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(10,135)</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(10,391)</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(8,660)</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(43,823)</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28,438</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28,960</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18,716</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94,117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EBITDA is defined as earnings before interest income and expense, gain/loss on interest rate swaps, taxes, depreciation and amortization. Adjusted Profit represents earnings before (a) non-cash gain/loss on interest rate swaps that includes unrealized gain/loss on interest rate swaps held for trading and recycled loss of cash flow hedges reclassified to profit or loss and (b) write-off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interest rate swaps, taxes, depreciation and amortization; and in the case of Adjusted Profit, non-cash gain/loss on interest rate swaps and write-off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EBITDA: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4"/>
                <w:szCs w:val="14"/>
                <w:b w:val="1"/>
                <w:bCs w:val="1"/>
                <w:color w:val="auto"/>
                <w:w w:val="91"/>
              </w:rPr>
              <w:t>For the three months ended</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332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rPr>
              <w:t>IFRS Common Control Reported</w:t>
            </w:r>
          </w:p>
        </w:tc>
        <w:tc>
          <w:tcPr>
            <w:tcW w:w="2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Partnership Performance</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840" w:type="dxa"/>
            <w:vAlign w:val="bottom"/>
            <w:tcBorders>
              <w:bottom w:val="single" w:sz="8" w:color="auto"/>
            </w:tcBorders>
            <w:gridSpan w:val="3"/>
          </w:tcPr>
          <w:p>
            <w:pPr>
              <w:jc w:val="center"/>
              <w:ind w:left="1118"/>
              <w:spacing w:after="0"/>
              <w:rPr>
                <w:sz w:val="20"/>
                <w:szCs w:val="20"/>
                <w:color w:val="auto"/>
              </w:rPr>
            </w:pPr>
            <w:r>
              <w:rPr>
                <w:rFonts w:ascii="Arial" w:cs="Arial" w:eastAsia="Arial" w:hAnsi="Arial"/>
                <w:sz w:val="14"/>
                <w:szCs w:val="14"/>
                <w:b w:val="1"/>
                <w:bCs w:val="1"/>
                <w:color w:val="auto"/>
                <w:w w:val="86"/>
              </w:rPr>
              <w:t>Results</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098"/>
              <w:spacing w:after="0"/>
              <w:rPr>
                <w:sz w:val="20"/>
                <w:szCs w:val="20"/>
                <w:color w:val="auto"/>
              </w:rPr>
            </w:pPr>
            <w:r>
              <w:rPr>
                <w:rFonts w:ascii="Arial" w:cs="Arial" w:eastAsia="Arial" w:hAnsi="Arial"/>
                <w:sz w:val="14"/>
                <w:szCs w:val="14"/>
                <w:b w:val="1"/>
                <w:bCs w:val="1"/>
                <w:color w:val="auto"/>
                <w:w w:val="90"/>
              </w:rPr>
              <w:t>Results</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180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8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86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16,952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17,086</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12,062</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16,785</w:t>
            </w:r>
          </w:p>
        </w:tc>
        <w:tc>
          <w:tcPr>
            <w:tcW w:w="8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13,814</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13,557</w:t>
            </w:r>
          </w:p>
        </w:tc>
        <w:tc>
          <w:tcPr>
            <w:tcW w:w="8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8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(3,106)</w:t>
            </w:r>
          </w:p>
        </w:tc>
        <w:tc>
          <w:tcPr>
            <w:tcW w:w="860" w:type="dxa"/>
            <w:vAlign w:val="bottom"/>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60,696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56,437</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2"/>
              </w:rPr>
              <w:t>For the year ended</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9"/>
        </w:trPr>
        <w:tc>
          <w:tcPr>
            <w:tcW w:w="4200" w:type="dxa"/>
            <w:vAlign w:val="bottom"/>
          </w:tcPr>
          <w:p>
            <w:pPr>
              <w:spacing w:after="0"/>
              <w:rPr>
                <w:sz w:val="10"/>
                <w:szCs w:val="10"/>
                <w:color w:val="auto"/>
              </w:rPr>
            </w:pPr>
          </w:p>
        </w:tc>
        <w:tc>
          <w:tcPr>
            <w:tcW w:w="332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rPr>
              <w:t>IFRS Common Control Reported</w:t>
            </w:r>
          </w:p>
        </w:tc>
        <w:tc>
          <w:tcPr>
            <w:tcW w:w="2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Partnership Performance</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840" w:type="dxa"/>
            <w:vAlign w:val="bottom"/>
            <w:tcBorders>
              <w:bottom w:val="single" w:sz="8" w:color="auto"/>
            </w:tcBorders>
            <w:gridSpan w:val="3"/>
          </w:tcPr>
          <w:p>
            <w:pPr>
              <w:jc w:val="center"/>
              <w:ind w:left="1118"/>
              <w:spacing w:after="0"/>
              <w:rPr>
                <w:sz w:val="20"/>
                <w:szCs w:val="20"/>
                <w:color w:val="auto"/>
              </w:rPr>
            </w:pPr>
            <w:r>
              <w:rPr>
                <w:rFonts w:ascii="Arial" w:cs="Arial" w:eastAsia="Arial" w:hAnsi="Arial"/>
                <w:sz w:val="14"/>
                <w:szCs w:val="14"/>
                <w:b w:val="1"/>
                <w:bCs w:val="1"/>
                <w:color w:val="auto"/>
                <w:w w:val="86"/>
              </w:rPr>
              <w:t>Results</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098"/>
              <w:spacing w:after="0"/>
              <w:rPr>
                <w:sz w:val="20"/>
                <w:szCs w:val="20"/>
                <w:color w:val="auto"/>
              </w:rPr>
            </w:pPr>
            <w:r>
              <w:rPr>
                <w:rFonts w:ascii="Arial" w:cs="Arial" w:eastAsia="Arial" w:hAnsi="Arial"/>
                <w:sz w:val="14"/>
                <w:szCs w:val="14"/>
                <w:b w:val="1"/>
                <w:bCs w:val="1"/>
                <w:color w:val="auto"/>
                <w:w w:val="90"/>
              </w:rPr>
              <w:t>Results</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180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8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86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94,117</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61,770</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67,726</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45,230</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58,193</w:t>
            </w:r>
          </w:p>
        </w:tc>
        <w:tc>
          <w:tcPr>
            <w:tcW w:w="8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49,579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53,602</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30,187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44,916</w:t>
            </w:r>
          </w:p>
        </w:tc>
        <w:tc>
          <w:tcPr>
            <w:tcW w:w="8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8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Loss/(gain) on interest rate swaps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r>
              <w:rPr>
                <w:rFonts w:ascii="Arial" w:cs="Arial" w:eastAsia="Arial" w:hAnsi="Arial"/>
                <w:sz w:val="18"/>
                <w:szCs w:val="18"/>
                <w:b w:val="1"/>
                <w:bCs w:val="1"/>
                <w:color w:val="auto"/>
              </w:rPr>
              <w:t>)</w:t>
            </w:r>
          </w:p>
        </w:tc>
        <w:tc>
          <w:tcPr>
            <w:tcW w:w="860" w:type="dxa"/>
            <w:vAlign w:val="bottom"/>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210,450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233,042</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148,885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196,133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660" w:type="dxa"/>
            <w:vAlign w:val="bottom"/>
            <w:gridSpan w:val="2"/>
          </w:tcPr>
          <w:p>
            <w:pPr>
              <w:jc w:val="center"/>
              <w:ind w:left="1278"/>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4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Adjusted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ind w:left="6500"/>
        <w:spacing w:after="0"/>
        <w:rPr>
          <w:sz w:val="20"/>
          <w:szCs w:val="20"/>
          <w:color w:val="auto"/>
        </w:rPr>
      </w:pPr>
      <w:r>
        <w:rPr>
          <w:rFonts w:ascii="Arial" w:cs="Arial" w:eastAsia="Arial" w:hAnsi="Arial"/>
          <w:sz w:val="12"/>
          <w:szCs w:val="12"/>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20955</wp:posOffset>
            </wp:positionV>
            <wp:extent cx="39960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IFRS Common Control Reported</w:t>
            </w:r>
          </w:p>
        </w:tc>
        <w:tc>
          <w:tcPr>
            <w:tcW w:w="3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Partnership Performance</w:t>
            </w:r>
          </w:p>
        </w:tc>
      </w:tr>
      <w:tr>
        <w:trPr>
          <w:trHeight w:val="171"/>
        </w:trPr>
        <w:tc>
          <w:tcPr>
            <w:tcW w:w="4200" w:type="dxa"/>
            <w:vAlign w:val="bottom"/>
          </w:tcPr>
          <w:p>
            <w:pPr>
              <w:spacing w:after="0"/>
              <w:rPr>
                <w:sz w:val="14"/>
                <w:szCs w:val="14"/>
                <w:color w:val="auto"/>
              </w:rPr>
            </w:pPr>
          </w:p>
        </w:tc>
        <w:tc>
          <w:tcPr>
            <w:tcW w:w="1840" w:type="dxa"/>
            <w:vAlign w:val="bottom"/>
            <w:tcBorders>
              <w:bottom w:val="single" w:sz="8" w:color="auto"/>
            </w:tcBorders>
            <w:gridSpan w:val="3"/>
          </w:tcPr>
          <w:p>
            <w:pPr>
              <w:jc w:val="center"/>
              <w:ind w:left="1120"/>
              <w:spacing w:after="0"/>
              <w:rPr>
                <w:sz w:val="20"/>
                <w:szCs w:val="20"/>
                <w:color w:val="auto"/>
              </w:rPr>
            </w:pPr>
            <w:r>
              <w:rPr>
                <w:rFonts w:ascii="Arial" w:cs="Arial" w:eastAsia="Arial" w:hAnsi="Arial"/>
                <w:sz w:val="14"/>
                <w:szCs w:val="14"/>
                <w:b w:val="1"/>
                <w:bCs w:val="1"/>
                <w:color w:val="auto"/>
                <w:w w:val="86"/>
              </w:rPr>
              <w:t>Results</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100"/>
              <w:spacing w:after="0"/>
              <w:rPr>
                <w:sz w:val="20"/>
                <w:szCs w:val="20"/>
                <w:color w:val="auto"/>
              </w:rPr>
            </w:pPr>
            <w:r>
              <w:rPr>
                <w:rFonts w:ascii="Arial" w:cs="Arial" w:eastAsia="Arial" w:hAnsi="Arial"/>
                <w:sz w:val="14"/>
                <w:szCs w:val="14"/>
                <w:b w:val="1"/>
                <w:bCs w:val="1"/>
                <w:color w:val="auto"/>
                <w:w w:val="90"/>
              </w:rPr>
              <w:t>Results</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180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Non-cash gain on interest rate swaps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(4,172)</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(3,568)</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(3,568)</w:t>
            </w: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Write-off and accelerated amortization of</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loan fees</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30,462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For the year ended</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4200" w:type="dxa"/>
            <w:vAlign w:val="bottom"/>
          </w:tcPr>
          <w:p>
            <w:pPr>
              <w:spacing w:after="0"/>
              <w:rPr>
                <w:sz w:val="10"/>
                <w:szCs w:val="10"/>
                <w:color w:val="auto"/>
              </w:rPr>
            </w:pPr>
          </w:p>
        </w:tc>
        <w:tc>
          <w:tcPr>
            <w:tcW w:w="332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rPr>
              <w:t>IFRS Common Control Reported</w:t>
            </w:r>
          </w:p>
        </w:tc>
        <w:tc>
          <w:tcPr>
            <w:tcW w:w="2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Partnership Performance</w:t>
            </w:r>
          </w:p>
        </w:tc>
        <w:tc>
          <w:tcPr>
            <w:tcW w:w="100" w:type="dxa"/>
            <w:vAlign w:val="bottom"/>
            <w:gridSpan w:val="2"/>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840" w:type="dxa"/>
            <w:vAlign w:val="bottom"/>
            <w:tcBorders>
              <w:bottom w:val="single" w:sz="8" w:color="auto"/>
            </w:tcBorders>
            <w:gridSpan w:val="3"/>
          </w:tcPr>
          <w:p>
            <w:pPr>
              <w:jc w:val="center"/>
              <w:ind w:left="1120"/>
              <w:spacing w:after="0"/>
              <w:rPr>
                <w:sz w:val="20"/>
                <w:szCs w:val="20"/>
                <w:color w:val="auto"/>
              </w:rPr>
            </w:pPr>
            <w:r>
              <w:rPr>
                <w:rFonts w:ascii="Arial" w:cs="Arial" w:eastAsia="Arial" w:hAnsi="Arial"/>
                <w:sz w:val="14"/>
                <w:szCs w:val="14"/>
                <w:b w:val="1"/>
                <w:bCs w:val="1"/>
                <w:color w:val="auto"/>
                <w:w w:val="86"/>
              </w:rPr>
              <w:t>Results</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1100"/>
              <w:spacing w:after="0"/>
              <w:rPr>
                <w:sz w:val="20"/>
                <w:szCs w:val="20"/>
                <w:color w:val="auto"/>
              </w:rPr>
            </w:pPr>
            <w:r>
              <w:rPr>
                <w:rFonts w:ascii="Arial" w:cs="Arial" w:eastAsia="Arial" w:hAnsi="Arial"/>
                <w:sz w:val="14"/>
                <w:szCs w:val="14"/>
                <w:b w:val="1"/>
                <w:bCs w:val="1"/>
                <w:color w:val="auto"/>
                <w:w w:val="90"/>
              </w:rPr>
              <w:t>Results</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180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gridSpan w:val="2"/>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Non-cash loss/(gain) on interest rate swaps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4,097</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(2,174)</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(2,174)</w:t>
            </w: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Write-off and accelerated amortization of</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loan fees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5,637</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102,203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110,872</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73,098</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Distributable cash flow means EBITDA, on the basis of the Partnership Performance Results, after considering financial costs for the period, including realized loss on interest rate swaps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Partnership’s Profit to Distributable Cash Flow: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2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For the three months ended</w:t>
            </w:r>
          </w:p>
        </w:tc>
        <w:tc>
          <w:tcPr>
            <w:tcW w:w="4040" w:type="dxa"/>
            <w:vAlign w:val="bottom"/>
            <w:gridSpan w:val="4"/>
          </w:tcPr>
          <w:p>
            <w:pPr>
              <w:jc w:val="right"/>
              <w:ind w:right="150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21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6"/>
                <w:szCs w:val="16"/>
                <w:b w:val="1"/>
                <w:bCs w:val="1"/>
                <w:color w:val="auto"/>
                <w:vertAlign w:val="superscript"/>
              </w:rPr>
              <w:t>(1)</w:t>
            </w:r>
          </w:p>
        </w:tc>
        <w:tc>
          <w:tcPr>
            <w:tcW w:w="18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December 31, 2017</w:t>
            </w:r>
            <w:r>
              <w:rPr>
                <w:rFonts w:ascii="Arial" w:cs="Arial" w:eastAsia="Arial" w:hAnsi="Arial"/>
                <w:sz w:val="16"/>
                <w:szCs w:val="16"/>
                <w:b w:val="1"/>
                <w:bCs w:val="1"/>
                <w:color w:val="auto"/>
                <w:vertAlign w:val="superscript"/>
              </w:rPr>
              <w:t>(1)</w:t>
            </w:r>
          </w:p>
        </w:tc>
        <w:tc>
          <w:tcPr>
            <w:tcW w:w="280" w:type="dxa"/>
            <w:vAlign w:val="bottom"/>
          </w:tcPr>
          <w:p>
            <w:pPr>
              <w:spacing w:after="0"/>
              <w:rPr>
                <w:sz w:val="12"/>
                <w:szCs w:val="12"/>
                <w:color w:val="auto"/>
              </w:rPr>
            </w:pPr>
          </w:p>
        </w:tc>
        <w:tc>
          <w:tcPr>
            <w:tcW w:w="210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6"/>
                <w:szCs w:val="16"/>
                <w:b w:val="1"/>
                <w:bCs w:val="1"/>
                <w:color w:val="auto"/>
                <w:vertAlign w:val="superscript"/>
              </w:rPr>
              <w:t>(1)</w:t>
            </w:r>
          </w:p>
        </w:tc>
        <w:tc>
          <w:tcPr>
            <w:tcW w:w="18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December 31, 2017</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Partnership’s profit for the period</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77,270</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Depreciation</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12,062</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16,785</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45,230</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58,193</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8,421</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13,557</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30,187</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44,916</w:t>
            </w:r>
          </w:p>
        </w:tc>
        <w:tc>
          <w:tcPr>
            <w:tcW w:w="4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Financial income</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41,633</w:t>
            </w:r>
          </w:p>
        </w:tc>
        <w:tc>
          <w:tcPr>
            <w:tcW w:w="28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55,358</w:t>
            </w:r>
          </w:p>
        </w:tc>
        <w:tc>
          <w:tcPr>
            <w:tcW w:w="28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148,885</w:t>
            </w:r>
          </w:p>
        </w:tc>
        <w:tc>
          <w:tcPr>
            <w:tcW w:w="28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196,133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82"/>
        </w:trPr>
        <w:tc>
          <w:tcPr>
            <w:tcW w:w="3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Financial costs (excluding amortization</w:t>
            </w: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loan fees) and realized loss on</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(7,991)</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(12,332)</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(26,929)</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(41,722)</w:t>
            </w:r>
          </w:p>
        </w:tc>
        <w:tc>
          <w:tcPr>
            <w:tcW w:w="40" w:type="dxa"/>
            <w:vAlign w:val="bottom"/>
          </w:tcPr>
          <w:p>
            <w:pPr>
              <w:spacing w:after="0"/>
              <w:rPr>
                <w:sz w:val="20"/>
                <w:szCs w:val="20"/>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Dry-docking capital reserve</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(2,325)</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(3,441)</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(8,829)</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(12,234)</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Replacement capital reserve</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(7,776)</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(29,467)</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(33,877)</w:t>
            </w:r>
          </w:p>
        </w:tc>
        <w:tc>
          <w:tcPr>
            <w:tcW w:w="40" w:type="dxa"/>
            <w:vAlign w:val="bottom"/>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Paid and accrued preferred equity</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(7,749)</w:t>
            </w:r>
          </w:p>
        </w:tc>
        <w:tc>
          <w:tcPr>
            <w:tcW w:w="40" w:type="dxa"/>
            <w:vAlign w:val="bottom"/>
          </w:tcPr>
          <w:p>
            <w:pPr>
              <w:spacing w:after="0"/>
              <w:rPr>
                <w:sz w:val="20"/>
                <w:szCs w:val="20"/>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Distributable cash flow</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23,541</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26,934</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83,660</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Other reserves </w:t>
            </w:r>
            <w:r>
              <w:rPr>
                <w:rFonts w:ascii="Arial" w:cs="Arial" w:eastAsia="Arial" w:hAnsi="Arial"/>
                <w:sz w:val="8"/>
                <w:szCs w:val="8"/>
                <w:b w:val="1"/>
                <w:bCs w:val="1"/>
                <w:color w:val="auto"/>
              </w:rPr>
              <w:t>(2) (3)</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2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2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c>
          <w:tcPr>
            <w:tcW w:w="28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distribution declared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19,549</w:t>
            </w: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22,845</w:t>
            </w: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69,416</w:t>
            </w:r>
          </w:p>
        </w:tc>
        <w:tc>
          <w:tcPr>
            <w:tcW w:w="2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86,344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211"/>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0" w:firstLine="8"/>
        <w:spacing w:after="0" w:line="238" w:lineRule="auto"/>
        <w:tabs>
          <w:tab w:leader="none" w:pos="141" w:val="left"/>
        </w:tabs>
        <w:numPr>
          <w:ilvl w:val="0"/>
          <w:numId w:val="8"/>
        </w:numPr>
        <w:rPr>
          <w:rFonts w:ascii="Arial" w:cs="Arial" w:eastAsia="Arial" w:hAnsi="Arial"/>
          <w:sz w:val="16"/>
          <w:szCs w:val="16"/>
          <w:b w:val="1"/>
          <w:bCs w:val="1"/>
          <w:color w:val="auto"/>
          <w:vertAlign w:val="superscript"/>
        </w:rPr>
      </w:pPr>
      <w:r>
        <w:rPr>
          <w:rFonts w:ascii="Arial" w:cs="Arial" w:eastAsia="Arial" w:hAnsi="Arial"/>
          <w:sz w:val="13"/>
          <w:szCs w:val="13"/>
          <w:color w:val="auto"/>
        </w:rPr>
        <w:t xml:space="preserve">Excludes amounts related to GAS-seven Ltd., the owner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GAS-eleven Ltd., the owner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GAS-thirteen Ltd., the owner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GAS-eight Ltd., the owner of the </w:t>
      </w:r>
      <w:r>
        <w:rPr>
          <w:rFonts w:ascii="Arial" w:cs="Arial" w:eastAsia="Arial" w:hAnsi="Arial"/>
          <w:sz w:val="13"/>
          <w:szCs w:val="13"/>
          <w:i w:val="1"/>
          <w:iCs w:val="1"/>
          <w:color w:val="auto"/>
        </w:rPr>
        <w:t>Solaris</w:t>
      </w:r>
      <w:r>
        <w:rPr>
          <w:rFonts w:ascii="Arial" w:cs="Arial" w:eastAsia="Arial" w:hAnsi="Arial"/>
          <w:sz w:val="13"/>
          <w:szCs w:val="13"/>
          <w:color w:val="auto"/>
        </w:rPr>
        <w:t>, for the periods prior to their transfers to the Partnership on November 1, 2016, May 3, 2017, July 3, 2017 and October 20, 2017, respectively. While such amounts are reflected in the Partnership’s unaudited condensed consolidated financial statements because the transfers to the Partnership were accounted for as reorganizations of entities under common control under IFRS, GAS-seven Ltd., GAS-eleven Ltd., GAS-thirteen Ltd. and GAS-eight Ltd. were not owned by the Partnership prior to their respective transfers to the Partnership in November 2016, May 2017, July 2017 and October 2017 and accordingly the Partnership was not entitled to the cash or results generated in the period prior to such transfers.</w:t>
      </w:r>
    </w:p>
    <w:p>
      <w:pPr>
        <w:spacing w:after="0" w:line="183" w:lineRule="exact"/>
        <w:rPr>
          <w:rFonts w:ascii="Arial" w:cs="Arial" w:eastAsia="Arial" w:hAnsi="Arial"/>
          <w:sz w:val="16"/>
          <w:szCs w:val="16"/>
          <w:b w:val="1"/>
          <w:bCs w:val="1"/>
          <w:color w:val="auto"/>
          <w:vertAlign w:val="superscript"/>
        </w:rPr>
      </w:pPr>
    </w:p>
    <w:p>
      <w:pPr>
        <w:ind w:right="160" w:firstLine="8"/>
        <w:spacing w:after="0" w:line="238" w:lineRule="auto"/>
        <w:tabs>
          <w:tab w:leader="none" w:pos="141" w:val="left"/>
        </w:tabs>
        <w:numPr>
          <w:ilvl w:val="0"/>
          <w:numId w:val="8"/>
        </w:numPr>
        <w:rPr>
          <w:rFonts w:ascii="Arial" w:cs="Arial" w:eastAsia="Arial" w:hAnsi="Arial"/>
          <w:sz w:val="16"/>
          <w:szCs w:val="16"/>
          <w:b w:val="1"/>
          <w:bCs w:val="1"/>
          <w:color w:val="auto"/>
          <w:vertAlign w:val="superscript"/>
        </w:rPr>
      </w:pPr>
      <w:r>
        <w:rPr>
          <w:rFonts w:ascii="Arial" w:cs="Arial" w:eastAsia="Arial" w:hAnsi="Arial"/>
          <w:sz w:val="13"/>
          <w:szCs w:val="13"/>
          <w:color w:val="auto"/>
        </w:rPr>
        <w:t>Refers to reserves (other than the dry-docking and replacement capital reserves) for the proper conduct of the business of the Partnership and its subsidiaries (including reserves for future capital expenditures and for anticipated future credit needs of the Partnership and its subsidiaries).</w:t>
      </w:r>
    </w:p>
    <w:p>
      <w:pPr>
        <w:spacing w:after="0" w:line="159" w:lineRule="exact"/>
        <w:rPr>
          <w:rFonts w:ascii="Arial" w:cs="Arial" w:eastAsia="Arial" w:hAnsi="Arial"/>
          <w:sz w:val="16"/>
          <w:szCs w:val="16"/>
          <w:b w:val="1"/>
          <w:bCs w:val="1"/>
          <w:color w:val="auto"/>
          <w:vertAlign w:val="superscript"/>
        </w:rPr>
      </w:pPr>
    </w:p>
    <w:p>
      <w:pPr>
        <w:ind w:left="140" w:hanging="132"/>
        <w:spacing w:after="0"/>
        <w:tabs>
          <w:tab w:leader="none" w:pos="140" w:val="left"/>
        </w:tabs>
        <w:numPr>
          <w:ilvl w:val="0"/>
          <w:numId w:val="8"/>
        </w:numPr>
        <w:rPr>
          <w:rFonts w:ascii="Arial" w:cs="Arial" w:eastAsia="Arial" w:hAnsi="Arial"/>
          <w:sz w:val="16"/>
          <w:szCs w:val="16"/>
          <w:b w:val="1"/>
          <w:bCs w:val="1"/>
          <w:color w:val="auto"/>
          <w:vertAlign w:val="superscript"/>
        </w:rPr>
      </w:pPr>
      <w:r>
        <w:rPr>
          <w:rFonts w:ascii="Arial" w:cs="Arial" w:eastAsia="Arial" w:hAnsi="Arial"/>
          <w:sz w:val="13"/>
          <w:szCs w:val="13"/>
          <w:color w:val="auto"/>
        </w:rPr>
        <w:t>For the three months ended December 31, 2017, the cash distributions declared and the other reserves have been calculated based on the number of units issued and outstanding as of</w:t>
      </w:r>
    </w:p>
    <w:p>
      <w:pPr>
        <w:spacing w:after="0"/>
        <w:rPr>
          <w:sz w:val="20"/>
          <w:szCs w:val="20"/>
          <w:color w:val="auto"/>
        </w:rPr>
      </w:pPr>
      <w:r>
        <w:rPr>
          <w:rFonts w:ascii="Arial" w:cs="Arial" w:eastAsia="Arial" w:hAnsi="Arial"/>
          <w:sz w:val="14"/>
          <w:szCs w:val="14"/>
          <w:color w:val="auto"/>
        </w:rPr>
        <w:t>December 31, 2017.</w:t>
      </w:r>
    </w:p>
    <w:p>
      <w:pPr>
        <w:sectPr>
          <w:pgSz w:w="11900" w:h="16838" w:orient="portrait"/>
          <w:cols w:equalWidth="0" w:num="1">
            <w:col w:w="11460"/>
          </w:cols>
          <w:pgMar w:left="240" w:top="104" w:right="199" w:bottom="1163" w:gutter="0" w:footer="0" w:header="0"/>
        </w:sectPr>
      </w:pP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04" w:right="199" w:bottom="1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2019-12-08T09:52:37Z</dcterms:created>
  <dcterms:modified xsi:type="dcterms:W3CDTF">2019-12-08T09:52:37Z</dcterms:modified>
</cp:coreProperties>
</file>