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809625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42" w:right="1440" w:bottom="1440" w:gutter="0" w:footer="0" w:header="0"/>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t>The press release issued by GasLog Partners LP. on November 10, 2020 confirming the Series A, Series B and Series C Preference Distributions payable on December 15, 2020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November 10,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2020</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Paul A. Wogan</w:t>
      </w:r>
    </w:p>
    <w:p>
      <w:pPr>
        <w:spacing w:after="0" w:line="224" w:lineRule="exact"/>
        <w:rPr>
          <w:sz w:val="20"/>
          <w:szCs w:val="20"/>
          <w:color w:val="auto"/>
        </w:rPr>
      </w:pPr>
    </w:p>
    <w:p>
      <w:pPr>
        <w:ind w:left="5860"/>
        <w:spacing w:after="0"/>
        <w:tabs>
          <w:tab w:leader="none" w:pos="6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-130175</wp:posOffset>
            </wp:positionV>
            <wp:extent cx="3411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ind w:left="5860"/>
        <w:spacing w:after="0"/>
        <w:tabs>
          <w:tab w:leader="none" w:pos="65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 Declares Distributions on Series A, B and C Preference Units</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Piraeus, Greece, November 10, 2020 — </w:t>
      </w:r>
      <w:r>
        <w:rPr>
          <w:rFonts w:ascii="Arial" w:cs="Arial" w:eastAsia="Arial" w:hAnsi="Arial"/>
          <w:sz w:val="18"/>
          <w:szCs w:val="18"/>
          <w:color w:val="auto"/>
        </w:rPr>
        <w:t>GasLog Partners LP (“GasLog Partners” or the “Partnership”) (NYSE: GLOP) today announced the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on its preference units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080" w:type="dxa"/>
            <w:vAlign w:val="bottom"/>
            <w:tcBorders>
              <w:top w:val="single" w:sz="8" w:color="auto"/>
              <w:left w:val="single" w:sz="8" w:color="auto"/>
              <w:right w:val="single" w:sz="8" w:color="auto"/>
            </w:tcBorders>
          </w:tcPr>
          <w:p>
            <w:pPr>
              <w:spacing w:after="0"/>
              <w:rPr>
                <w:sz w:val="21"/>
                <w:szCs w:val="21"/>
                <w:color w:val="auto"/>
              </w:rPr>
            </w:pPr>
          </w:p>
        </w:tc>
        <w:tc>
          <w:tcPr>
            <w:tcW w:w="180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Distribution</w:t>
            </w:r>
          </w:p>
        </w:tc>
        <w:tc>
          <w:tcPr>
            <w:tcW w:w="21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Record Date</w:t>
            </w:r>
          </w:p>
        </w:tc>
        <w:tc>
          <w:tcPr>
            <w:tcW w:w="22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Payment Date</w:t>
            </w:r>
          </w:p>
        </w:tc>
      </w:tr>
      <w:tr>
        <w:trPr>
          <w:trHeight w:val="117"/>
        </w:trPr>
        <w:tc>
          <w:tcPr>
            <w:tcW w:w="5080" w:type="dxa"/>
            <w:vAlign w:val="bottom"/>
            <w:tcBorders>
              <w:left w:val="single" w:sz="8" w:color="auto"/>
              <w:bottom w:val="single" w:sz="8" w:color="auto"/>
              <w:right w:val="single" w:sz="8" w:color="auto"/>
            </w:tcBorders>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r>
      <w:tr>
        <w:trPr>
          <w:trHeight w:val="195"/>
        </w:trPr>
        <w:tc>
          <w:tcPr>
            <w:tcW w:w="5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8.625% Series A Cumulative Redeemable Perpetual Fixed to</w:t>
            </w:r>
          </w:p>
        </w:tc>
        <w:tc>
          <w:tcPr>
            <w:tcW w:w="1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$0.5390625 per</w:t>
            </w:r>
          </w:p>
        </w:tc>
        <w:tc>
          <w:tcPr>
            <w:tcW w:w="2120" w:type="dxa"/>
            <w:vAlign w:val="bottom"/>
            <w:tcBorders>
              <w:right w:val="single" w:sz="8" w:color="auto"/>
            </w:tcBorders>
          </w:tcPr>
          <w:p>
            <w:pPr>
              <w:ind w:left="420"/>
              <w:spacing w:after="0" w:line="195" w:lineRule="exact"/>
              <w:rPr>
                <w:sz w:val="20"/>
                <w:szCs w:val="20"/>
                <w:color w:val="auto"/>
              </w:rPr>
            </w:pPr>
            <w:r>
              <w:rPr>
                <w:rFonts w:ascii="Arial" w:cs="Arial" w:eastAsia="Arial" w:hAnsi="Arial"/>
                <w:sz w:val="18"/>
                <w:szCs w:val="18"/>
                <w:color w:val="auto"/>
              </w:rPr>
              <w:t>December 8, 2020</w:t>
            </w:r>
          </w:p>
        </w:tc>
        <w:tc>
          <w:tcPr>
            <w:tcW w:w="2240" w:type="dxa"/>
            <w:vAlign w:val="bottom"/>
            <w:tcBorders>
              <w:right w:val="single" w:sz="8" w:color="auto"/>
            </w:tcBorders>
          </w:tcPr>
          <w:p>
            <w:pPr>
              <w:ind w:left="460"/>
              <w:spacing w:after="0" w:line="195" w:lineRule="exact"/>
              <w:rPr>
                <w:sz w:val="20"/>
                <w:szCs w:val="20"/>
                <w:color w:val="auto"/>
              </w:rPr>
            </w:pPr>
            <w:r>
              <w:rPr>
                <w:rFonts w:ascii="Arial" w:cs="Arial" w:eastAsia="Arial" w:hAnsi="Arial"/>
                <w:sz w:val="18"/>
                <w:szCs w:val="18"/>
                <w:color w:val="auto"/>
              </w:rPr>
              <w:t>December 15, 2020</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Floating Rate Preference Units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preference unit</w:t>
            </w:r>
          </w:p>
        </w:tc>
        <w:tc>
          <w:tcPr>
            <w:tcW w:w="21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135"/>
        </w:trPr>
        <w:tc>
          <w:tcPr>
            <w:tcW w:w="508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r>
      <w:tr>
        <w:trPr>
          <w:trHeight w:val="195"/>
        </w:trPr>
        <w:tc>
          <w:tcPr>
            <w:tcW w:w="5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8.200% Series B Cumulative Redeemable Perpetual Fixed to</w:t>
            </w:r>
          </w:p>
        </w:tc>
        <w:tc>
          <w:tcPr>
            <w:tcW w:w="1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$0.5125 per preference</w:t>
            </w:r>
          </w:p>
        </w:tc>
        <w:tc>
          <w:tcPr>
            <w:tcW w:w="2120" w:type="dxa"/>
            <w:vAlign w:val="bottom"/>
            <w:tcBorders>
              <w:right w:val="single" w:sz="8" w:color="auto"/>
            </w:tcBorders>
          </w:tcPr>
          <w:p>
            <w:pPr>
              <w:ind w:left="420"/>
              <w:spacing w:after="0" w:line="195" w:lineRule="exact"/>
              <w:rPr>
                <w:sz w:val="20"/>
                <w:szCs w:val="20"/>
                <w:color w:val="auto"/>
              </w:rPr>
            </w:pPr>
            <w:r>
              <w:rPr>
                <w:rFonts w:ascii="Arial" w:cs="Arial" w:eastAsia="Arial" w:hAnsi="Arial"/>
                <w:sz w:val="18"/>
                <w:szCs w:val="18"/>
                <w:color w:val="auto"/>
              </w:rPr>
              <w:t>December 8, 2020</w:t>
            </w:r>
          </w:p>
        </w:tc>
        <w:tc>
          <w:tcPr>
            <w:tcW w:w="2240" w:type="dxa"/>
            <w:vAlign w:val="bottom"/>
            <w:tcBorders>
              <w:right w:val="single" w:sz="8" w:color="auto"/>
            </w:tcBorders>
          </w:tcPr>
          <w:p>
            <w:pPr>
              <w:ind w:left="460"/>
              <w:spacing w:after="0" w:line="195" w:lineRule="exact"/>
              <w:rPr>
                <w:sz w:val="20"/>
                <w:szCs w:val="20"/>
                <w:color w:val="auto"/>
              </w:rPr>
            </w:pPr>
            <w:r>
              <w:rPr>
                <w:rFonts w:ascii="Arial" w:cs="Arial" w:eastAsia="Arial" w:hAnsi="Arial"/>
                <w:sz w:val="18"/>
                <w:szCs w:val="18"/>
                <w:color w:val="auto"/>
              </w:rPr>
              <w:t>December 15, 2020</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Floating Rate Preference Units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unit</w:t>
            </w:r>
          </w:p>
        </w:tc>
        <w:tc>
          <w:tcPr>
            <w:tcW w:w="21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135"/>
        </w:trPr>
        <w:tc>
          <w:tcPr>
            <w:tcW w:w="508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r>
      <w:tr>
        <w:trPr>
          <w:trHeight w:val="195"/>
        </w:trPr>
        <w:tc>
          <w:tcPr>
            <w:tcW w:w="5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8.500% Series C Cumulative Redeemable Perpetual Fixed to</w:t>
            </w:r>
          </w:p>
        </w:tc>
        <w:tc>
          <w:tcPr>
            <w:tcW w:w="1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$0.53125 per</w:t>
            </w:r>
          </w:p>
        </w:tc>
        <w:tc>
          <w:tcPr>
            <w:tcW w:w="2120" w:type="dxa"/>
            <w:vAlign w:val="bottom"/>
            <w:tcBorders>
              <w:right w:val="single" w:sz="8" w:color="auto"/>
            </w:tcBorders>
          </w:tcPr>
          <w:p>
            <w:pPr>
              <w:ind w:left="420"/>
              <w:spacing w:after="0" w:line="195" w:lineRule="exact"/>
              <w:rPr>
                <w:sz w:val="20"/>
                <w:szCs w:val="20"/>
                <w:color w:val="auto"/>
              </w:rPr>
            </w:pPr>
            <w:r>
              <w:rPr>
                <w:rFonts w:ascii="Arial" w:cs="Arial" w:eastAsia="Arial" w:hAnsi="Arial"/>
                <w:sz w:val="18"/>
                <w:szCs w:val="18"/>
                <w:color w:val="auto"/>
              </w:rPr>
              <w:t>December 8, 2020</w:t>
            </w:r>
          </w:p>
        </w:tc>
        <w:tc>
          <w:tcPr>
            <w:tcW w:w="2240" w:type="dxa"/>
            <w:vAlign w:val="bottom"/>
            <w:tcBorders>
              <w:right w:val="single" w:sz="8" w:color="auto"/>
            </w:tcBorders>
          </w:tcPr>
          <w:p>
            <w:pPr>
              <w:ind w:left="460"/>
              <w:spacing w:after="0" w:line="195" w:lineRule="exact"/>
              <w:rPr>
                <w:sz w:val="20"/>
                <w:szCs w:val="20"/>
                <w:color w:val="auto"/>
              </w:rPr>
            </w:pPr>
            <w:r>
              <w:rPr>
                <w:rFonts w:ascii="Arial" w:cs="Arial" w:eastAsia="Arial" w:hAnsi="Arial"/>
                <w:sz w:val="18"/>
                <w:szCs w:val="18"/>
                <w:color w:val="auto"/>
              </w:rPr>
              <w:t>December 15, 2020</w:t>
            </w:r>
          </w:p>
        </w:tc>
      </w:tr>
      <w:tr>
        <w:trPr>
          <w:trHeight w:val="230"/>
        </w:trPr>
        <w:tc>
          <w:tcPr>
            <w:tcW w:w="50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Floating Rate Preference Units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preference unit</w:t>
            </w:r>
          </w:p>
        </w:tc>
        <w:tc>
          <w:tcPr>
            <w:tcW w:w="21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135"/>
        </w:trPr>
        <w:tc>
          <w:tcPr>
            <w:tcW w:w="508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spacing w:after="0"/>
              <w:rPr>
                <w:sz w:val="11"/>
                <w:szCs w:val="11"/>
                <w:color w:val="auto"/>
              </w:rPr>
            </w:pP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8"/>
        </w:trPr>
        <w:tc>
          <w:tcPr>
            <w:tcW w:w="5080" w:type="dxa"/>
            <w:vAlign w:val="bottom"/>
          </w:tcPr>
          <w:p>
            <w:pPr>
              <w:spacing w:after="0"/>
              <w:rPr>
                <w:sz w:val="20"/>
                <w:szCs w:val="20"/>
                <w:color w:val="auto"/>
              </w:rPr>
            </w:pPr>
            <w:r>
              <w:rPr>
                <w:rFonts w:ascii="Arial" w:cs="Arial" w:eastAsia="Arial" w:hAnsi="Arial"/>
                <w:sz w:val="18"/>
                <w:szCs w:val="18"/>
                <w:color w:val="auto"/>
              </w:rPr>
              <w:t>Joseph Nelson</w:t>
            </w:r>
          </w:p>
        </w:tc>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Head of Investor Relations</w:t>
            </w:r>
          </w:p>
        </w:tc>
        <w:tc>
          <w:tcPr>
            <w:tcW w:w="1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Phone: +1 212-223-0643</w:t>
            </w:r>
          </w:p>
        </w:tc>
        <w:tc>
          <w:tcPr>
            <w:tcW w:w="18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5080" w:type="dxa"/>
            <w:vAlign w:val="bottom"/>
          </w:tcPr>
          <w:p>
            <w:pPr>
              <w:spacing w:after="0"/>
              <w:rPr>
                <w:sz w:val="20"/>
                <w:szCs w:val="20"/>
                <w:color w:val="auto"/>
              </w:rPr>
            </w:pPr>
            <w:r>
              <w:rPr>
                <w:rFonts w:ascii="Arial" w:cs="Arial" w:eastAsia="Arial" w:hAnsi="Arial"/>
                <w:sz w:val="18"/>
                <w:szCs w:val="18"/>
                <w:color w:val="auto"/>
              </w:rPr>
              <w:t>Email: ir@gaslogmlp.com</w:t>
            </w:r>
          </w:p>
        </w:tc>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2020-11-10T05:52:03Z</dcterms:created>
  <dcterms:modified xsi:type="dcterms:W3CDTF">2020-11-10T05:52:03Z</dcterms:modified>
</cp:coreProperties>
</file>