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REPORT OF FOREIGN PRIVATE ISSUER PURSUANT TO RULE 13a-16 OR 15d-16 UNDER</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month of January, 2018</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Commission File Number: 001-36433</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GasLog Partners LP</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 GasLog Monaco S.A.M.</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6"/>
          <w:szCs w:val="16"/>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CONTAINED IN THIS FORM 6-K REPORT</w:t>
      </w:r>
    </w:p>
    <w:p>
      <w:pPr>
        <w:spacing w:after="0" w:line="229" w:lineRule="exact"/>
        <w:rPr>
          <w:sz w:val="24"/>
          <w:szCs w:val="24"/>
          <w:color w:val="auto"/>
        </w:rPr>
      </w:pPr>
    </w:p>
    <w:p>
      <w:pPr>
        <w:ind w:right="740" w:firstLine="648"/>
        <w:spacing w:after="0" w:line="342" w:lineRule="auto"/>
        <w:rPr>
          <w:sz w:val="20"/>
          <w:szCs w:val="20"/>
          <w:color w:val="auto"/>
        </w:rPr>
      </w:pPr>
      <w:r>
        <w:rPr>
          <w:rFonts w:ascii="Arial" w:cs="Arial" w:eastAsia="Arial" w:hAnsi="Arial"/>
          <w:sz w:val="16"/>
          <w:szCs w:val="16"/>
          <w:color w:val="auto"/>
        </w:rPr>
        <w:t>The press release issued by GasLog Partners LP on January 9, 2018 announcing the pricing of its public offering of its Series B Cumulative Redeemable Perpetual Fixed to Floating Rate Preference Units is included as Exhibit 99.1 and is incorporated herein by reference.</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spacing w:after="0"/>
              <w:rPr>
                <w:sz w:val="14"/>
                <w:szCs w:val="14"/>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January 9, 2018</w:t>
            </w:r>
          </w:p>
        </w:tc>
        <w:tc>
          <w:tcPr>
            <w:tcW w:w="40" w:type="dxa"/>
            <w:vAlign w:val="bottom"/>
          </w:tcPr>
          <w:p>
            <w:pPr>
              <w:spacing w:after="0"/>
              <w:rPr>
                <w:sz w:val="19"/>
                <w:szCs w:val="19"/>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 January 9, 2018</w:t>
      </w:r>
    </w:p>
    <w:p>
      <w:pPr>
        <w:spacing w:after="0" w:line="221" w:lineRule="exact"/>
        <w:rPr>
          <w:sz w:val="24"/>
          <w:szCs w:val="24"/>
          <w:color w:val="auto"/>
        </w:rPr>
      </w:pPr>
    </w:p>
    <w:p>
      <w:pPr>
        <w:ind w:left="5820"/>
        <w:spacing w:after="0"/>
        <w:rPr>
          <w:sz w:val="20"/>
          <w:szCs w:val="20"/>
          <w:color w:val="auto"/>
        </w:rPr>
      </w:pPr>
      <w:r>
        <w:rPr>
          <w:rFonts w:ascii="Arial" w:cs="Arial" w:eastAsia="Arial" w:hAnsi="Arial"/>
          <w:sz w:val="18"/>
          <w:szCs w:val="18"/>
          <w:b w:val="1"/>
          <w:bCs w:val="1"/>
          <w:color w:val="auto"/>
        </w:rPr>
        <w:t>GASLOG PARTNERS LP</w:t>
      </w:r>
    </w:p>
    <w:p>
      <w:pPr>
        <w:spacing w:after="0" w:line="229" w:lineRule="exact"/>
        <w:rPr>
          <w:sz w:val="24"/>
          <w:szCs w:val="24"/>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Andrew J. Orekar</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630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Andrew J. Orekar</w:t>
            </w:r>
          </w:p>
        </w:tc>
        <w:tc>
          <w:tcPr>
            <w:tcW w:w="4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44" w:right="199" w:bottom="1440" w:gutter="0" w:footer="0" w:header="0"/>
        </w:sectPr>
      </w:pPr>
    </w:p>
    <w:bookmarkStart w:id="1" w:name="page2"/>
    <w:bookmarkEnd w:id="1"/>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GasLog Partners LP Announces Pricing of its Public Offering of 8.200% Series B Cumulative Redeemable Perpetual Fixed to Floating Rate Preference Units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MONACO, January 9, 2018 — GasLog Partners LP (“GasLog Partners”, the “Partnership” or “we”) (NYSE: GLOP) announced today that it has priced its public offering of 4,000,000 units of its 8.200% Series B Cumulative Redeemable Perpetual Fixed to Floating Rate Preference Units, liquidation preference $25.00 per unit (the “Series B Preference Units”) at a price to the public of $25.00 per unit. The underwriters have a 30-day option to purchase up to 600,000 additional Series B Preference Units from the Partnership. The Partnership intends to file an application to list the Series B Preference Units on the New York Stock Exchange. The offering is expected to close on or about January 17, 2018.</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net proceeds from the offering after deducting underwriting discounts and commissions are expected to be approximately $97,016,950. The Partnership plans to use the net proceeds from the public offering for general partnership purposes, which may include future acquisitions, debt repayment, capital expenditures and additions to working capital. We currently expect that this will include future acquisitions from GasLog Ltd., our parent (“GasLog”).</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Morgan Stanley, UBS Investment Bank, Stifel and Citigroup are acting as joint book-runners for the offering and Credit Suisse is acting as co-manager for the offering.</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offering is being made only by means of a prospectus. A copy of the preliminary prospectus relating to the offering may be obtained from Morgan Stanley &amp; Co. LLC, Attention: Prospectus Department, 180 Varick Street, 2nd Floor, New York, New York 10014, telephone: 1-866-718-1649, UBS Securities LLC, Attention: Prospectus Specialist, 1285 Avenue of the Americas, New York, New York 10019, telephone: (888) 827-7275, Stifel, Nicolaus &amp; Company, Incorporated, Attention: Syndicate Department, One South Street, 15th Floor, Baltimore, MD 21202, telephone: (855) 300-7136, email: syndprospectus@stifel.com and Citigroup Global Markets Inc., c/o Broadridge Financial Solutions, 1155 Long Island Avenue, Edgewood, NY 11717, telephone: (800) 831-9146.</w:t>
      </w:r>
    </w:p>
    <w:p>
      <w:pPr>
        <w:spacing w:after="0" w:line="19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 registration statement relating to these securities was declared effective by the U.S. Securities and Exchange Commission on October 10, 2017. 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GasLog Partners is a growth-oriented master limited partnership focused on owning, operating and acquiring LNG carriers under multi-year charters. GasLog Partners’ fleet consists of twelve LNG carriers with an average carrying capacity of approximately 154,000 cbm. GasLog Partners’ principal executive offices are located at Gildo Pastor Center, 7 Rue du Gabian, MC 98000, Monaco.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security holders, and other written materials.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520" w:right="300" w:hanging="188"/>
        <w:spacing w:after="0" w:line="277" w:lineRule="auto"/>
        <w:tabs>
          <w:tab w:leader="none" w:pos="479" w:val="left"/>
        </w:tabs>
        <w:numPr>
          <w:ilvl w:val="0"/>
          <w:numId w:val="1"/>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170" w:lineRule="exact"/>
        <w:rPr>
          <w:rFonts w:ascii="Arial" w:cs="Arial" w:eastAsia="Arial" w:hAnsi="Arial"/>
          <w:sz w:val="18"/>
          <w:szCs w:val="18"/>
          <w:color w:val="auto"/>
        </w:rPr>
      </w:pPr>
    </w:p>
    <w:p>
      <w:pPr>
        <w:ind w:left="480" w:hanging="14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charter hire rates and vessel values;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dry-docking and insurance costs and bunkers costs;</w:t>
      </w:r>
    </w:p>
    <w:p>
      <w:pPr>
        <w:spacing w:after="0" w:line="225" w:lineRule="exact"/>
        <w:rPr>
          <w:rFonts w:ascii="Arial" w:cs="Arial" w:eastAsia="Arial" w:hAnsi="Arial"/>
          <w:sz w:val="18"/>
          <w:szCs w:val="18"/>
          <w:color w:val="auto"/>
        </w:rPr>
      </w:pPr>
    </w:p>
    <w:p>
      <w:pPr>
        <w:ind w:left="460" w:hanging="128"/>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off-hire days, dry-docking requirements;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expenses;</w:t>
      </w:r>
    </w:p>
    <w:p>
      <w:pPr>
        <w:spacing w:after="0" w:line="225" w:lineRule="exact"/>
        <w:rPr>
          <w:rFonts w:ascii="Arial" w:cs="Arial" w:eastAsia="Arial" w:hAnsi="Arial"/>
          <w:sz w:val="18"/>
          <w:szCs w:val="18"/>
          <w:color w:val="auto"/>
        </w:rPr>
      </w:pPr>
    </w:p>
    <w:p>
      <w:pPr>
        <w:ind w:left="500" w:right="220" w:hanging="168"/>
        <w:spacing w:after="0" w:line="264" w:lineRule="auto"/>
        <w:tabs>
          <w:tab w:leader="none" w:pos="464"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no longer under long-term charter commitments, including the risk that our vessels may no longer have the latest technology at such time which may impact the rate at which we can charter such vessels;</w:t>
      </w:r>
    </w:p>
    <w:p>
      <w:pPr>
        <w:spacing w:after="0" w:line="181" w:lineRule="exact"/>
        <w:rPr>
          <w:rFonts w:ascii="Arial" w:cs="Arial" w:eastAsia="Arial" w:hAnsi="Arial"/>
          <w:sz w:val="18"/>
          <w:szCs w:val="18"/>
          <w:color w:val="auto"/>
        </w:rPr>
      </w:pPr>
    </w:p>
    <w:p>
      <w:pPr>
        <w:ind w:left="460" w:hanging="128"/>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enter into time charters with new and existing customers;</w:t>
      </w:r>
    </w:p>
    <w:p>
      <w:pPr>
        <w:spacing w:after="0" w:line="225" w:lineRule="exact"/>
        <w:rPr>
          <w:rFonts w:ascii="Arial" w:cs="Arial" w:eastAsia="Arial" w:hAnsi="Arial"/>
          <w:sz w:val="18"/>
          <w:szCs w:val="18"/>
          <w:color w:val="auto"/>
        </w:rPr>
      </w:pPr>
    </w:p>
    <w:p>
      <w:pPr>
        <w:ind w:left="460" w:hanging="128"/>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low prices for crude oil and petroleum products and natural gas;</w:t>
      </w:r>
    </w:p>
    <w:p>
      <w:pPr>
        <w:spacing w:after="0" w:line="225" w:lineRule="exact"/>
        <w:rPr>
          <w:rFonts w:ascii="Arial" w:cs="Arial" w:eastAsia="Arial" w:hAnsi="Arial"/>
          <w:sz w:val="18"/>
          <w:szCs w:val="18"/>
          <w:color w:val="auto"/>
        </w:rPr>
      </w:pPr>
    </w:p>
    <w:p>
      <w:pPr>
        <w:ind w:left="460" w:hanging="128"/>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leverage GasLog’s relationships and reputation in the shipping industry;</w:t>
      </w:r>
    </w:p>
    <w:p>
      <w:pPr>
        <w:sectPr>
          <w:pgSz w:w="11900" w:h="16838" w:orient="portrait"/>
          <w:cols w:equalWidth="0" w:num="1">
            <w:col w:w="11420"/>
          </w:cols>
          <w:pgMar w:left="240" w:top="121" w:right="239" w:bottom="0" w:gutter="0" w:footer="0" w:header="0"/>
        </w:sectPr>
      </w:pPr>
    </w:p>
    <w:bookmarkStart w:id="2" w:name="page3"/>
    <w:bookmarkEnd w:id="2"/>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performance, financial condition, liquidity and cash available for dividends and distributions;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purchase vessels from GasLog in the future;</w:t>
      </w:r>
    </w:p>
    <w:p>
      <w:pPr>
        <w:spacing w:after="0" w:line="225" w:lineRule="exact"/>
        <w:rPr>
          <w:rFonts w:ascii="Arial" w:cs="Arial" w:eastAsia="Arial" w:hAnsi="Arial"/>
          <w:sz w:val="18"/>
          <w:szCs w:val="18"/>
          <w:color w:val="auto"/>
        </w:rPr>
      </w:pPr>
    </w:p>
    <w:p>
      <w:pPr>
        <w:ind w:left="520" w:right="360" w:hanging="188"/>
        <w:spacing w:after="0" w:line="264"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181" w:lineRule="exact"/>
        <w:rPr>
          <w:rFonts w:ascii="Arial" w:cs="Arial" w:eastAsia="Arial" w:hAnsi="Arial"/>
          <w:sz w:val="18"/>
          <w:szCs w:val="18"/>
          <w:color w:val="auto"/>
        </w:rPr>
      </w:pPr>
    </w:p>
    <w:p>
      <w:pPr>
        <w:ind w:left="520" w:right="40" w:hanging="188"/>
        <w:spacing w:after="0" w:line="277"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pending or recent acquisitions of ships or other assets, business strategy, areas of possible expansion and expected capital spending or operating expenses;</w:t>
      </w:r>
    </w:p>
    <w:p>
      <w:pPr>
        <w:spacing w:after="0" w:line="170" w:lineRule="exact"/>
        <w:rPr>
          <w:rFonts w:ascii="Arial" w:cs="Arial" w:eastAsia="Arial" w:hAnsi="Arial"/>
          <w:sz w:val="18"/>
          <w:szCs w:val="18"/>
          <w:color w:val="auto"/>
        </w:rPr>
      </w:pPr>
    </w:p>
    <w:p>
      <w:pPr>
        <w:ind w:left="520" w:hanging="188"/>
        <w:spacing w:after="0" w:line="342" w:lineRule="auto"/>
        <w:tabs>
          <w:tab w:leader="none" w:pos="47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23" w:lineRule="exact"/>
        <w:rPr>
          <w:rFonts w:ascii="Arial" w:cs="Arial" w:eastAsia="Arial" w:hAnsi="Arial"/>
          <w:sz w:val="16"/>
          <w:szCs w:val="16"/>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225" w:lineRule="exact"/>
        <w:rPr>
          <w:rFonts w:ascii="Arial" w:cs="Arial" w:eastAsia="Arial" w:hAnsi="Arial"/>
          <w:sz w:val="18"/>
          <w:szCs w:val="18"/>
          <w:color w:val="auto"/>
        </w:rPr>
      </w:pPr>
    </w:p>
    <w:p>
      <w:pPr>
        <w:ind w:left="480" w:hanging="148"/>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strategy and other plans and objectives for future operations;</w:t>
      </w:r>
    </w:p>
    <w:p>
      <w:pPr>
        <w:spacing w:after="0" w:line="225" w:lineRule="exact"/>
        <w:rPr>
          <w:rFonts w:ascii="Arial" w:cs="Arial" w:eastAsia="Arial" w:hAnsi="Arial"/>
          <w:sz w:val="18"/>
          <w:szCs w:val="18"/>
          <w:color w:val="auto"/>
        </w:rPr>
      </w:pPr>
    </w:p>
    <w:p>
      <w:pPr>
        <w:ind w:left="520" w:right="260" w:hanging="188"/>
        <w:spacing w:after="0" w:line="277"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spacing w:after="0" w:line="170" w:lineRule="exact"/>
        <w:rPr>
          <w:rFonts w:ascii="Arial" w:cs="Arial" w:eastAsia="Arial" w:hAnsi="Arial"/>
          <w:sz w:val="18"/>
          <w:szCs w:val="18"/>
          <w:color w:val="auto"/>
        </w:rPr>
      </w:pPr>
    </w:p>
    <w:p>
      <w:pPr>
        <w:ind w:left="520" w:right="200" w:hanging="188"/>
        <w:spacing w:after="0" w:line="277" w:lineRule="auto"/>
        <w:tabs>
          <w:tab w:leader="none" w:pos="479"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and uncertainties described in the Partnership’s Annual Report on Form 20-F filed with the SEC on February 13, 2017 and the prospectus supplement filed with the SEC on January 9, 2018, available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-1916430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undertake no obligation to update or revise any forward-looking statements contained in this press release,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jnelson@gaslogmlp.com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34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2019-12-08T10:18:32Z</dcterms:created>
  <dcterms:modified xsi:type="dcterms:W3CDTF">2019-12-08T10:18:32Z</dcterms:modified>
</cp:coreProperties>
</file>