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1" w:lineRule="exact"/>
        <w:rPr>
          <w:sz w:val="24"/>
          <w:szCs w:val="24"/>
          <w:color w:val="auto"/>
        </w:rPr>
      </w:pPr>
    </w:p>
    <w:p>
      <w:pPr>
        <w:jc w:val="center"/>
        <w:ind w:right="-104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15d-16 UNDER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June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21"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GasLog Partners LP</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060"/>
        <w:spacing w:after="0"/>
        <w:rPr>
          <w:sz w:val="20"/>
          <w:szCs w:val="20"/>
          <w:color w:val="auto"/>
        </w:rPr>
      </w:pPr>
      <w:r>
        <w:rPr>
          <w:rFonts w:ascii="Arial" w:cs="Arial" w:eastAsia="Arial" w:hAnsi="Arial"/>
          <w:sz w:val="18"/>
          <w:szCs w:val="18"/>
          <w:color w:val="auto"/>
        </w:rPr>
        <w:t>c/o GasLog LNG Services Ltd.</w:t>
      </w:r>
    </w:p>
    <w:p>
      <w:pPr>
        <w:spacing w:after="0" w:line="23" w:lineRule="exact"/>
        <w:rPr>
          <w:sz w:val="24"/>
          <w:szCs w:val="24"/>
          <w:color w:val="auto"/>
        </w:rPr>
      </w:pPr>
    </w:p>
    <w:p>
      <w:pPr>
        <w:jc w:val="center"/>
        <w:ind w:right="-1060"/>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ind w:right="-1060"/>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spacing w:after="0" w:line="207" w:lineRule="exact"/>
        <w:tabs>
          <w:tab w:leader="none" w:pos="980" w:val="left"/>
          <w:tab w:leader="none" w:pos="220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__________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535305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88" w:right="1440" w:bottom="1440" w:gutter="0" w:footer="0" w:header="0"/>
        </w:sectPr>
      </w:pPr>
    </w:p>
    <w:bookmarkStart w:id="1" w:name="page2"/>
    <w:bookmarkEnd w:id="1"/>
    <w:p>
      <w:pPr>
        <w:ind w:right="260"/>
        <w:spacing w:after="0" w:line="277" w:lineRule="auto"/>
        <w:rPr>
          <w:sz w:val="20"/>
          <w:szCs w:val="20"/>
          <w:color w:val="auto"/>
        </w:rPr>
      </w:pPr>
      <w:r>
        <w:rPr>
          <w:rFonts w:ascii="Arial" w:cs="Arial" w:eastAsia="Arial" w:hAnsi="Arial"/>
          <w:sz w:val="18"/>
          <w:szCs w:val="18"/>
          <w:color w:val="auto"/>
        </w:rPr>
        <w:t>The press release issued by GasLog Partners LP. on June 15, 2021 announcing two new time charter agreements with leading global energy producers is attached hereto as Exhibit 99.1.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 on Form F-3 (File No. 333-249399), filed with the Securities and Exchange Commission (the “SEC”) on October 9, 2020, the Form F-3 (File No. 333-220736), filed with the SEC on September 29, 2017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00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June 15,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15, 2021</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GASLOG PARTNERS LP,</w:t>
      </w:r>
    </w:p>
    <w:p>
      <w:pPr>
        <w:spacing w:after="0" w:line="21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Paul A. Wogan</w:t>
      </w:r>
    </w:p>
    <w:p>
      <w:pPr>
        <w:spacing w:after="0" w:line="22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-130175</wp:posOffset>
            </wp:positionV>
            <wp:extent cx="3197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Partners LP Announces New Charter Agreements with Total and Shell</w:t>
      </w:r>
    </w:p>
    <w:p>
      <w:pPr>
        <w:spacing w:after="0" w:line="225" w:lineRule="exact"/>
        <w:rPr>
          <w:sz w:val="20"/>
          <w:szCs w:val="20"/>
          <w:color w:val="auto"/>
        </w:rPr>
      </w:pPr>
    </w:p>
    <w:p>
      <w:pPr>
        <w:spacing w:after="0" w:line="303" w:lineRule="auto"/>
        <w:rPr>
          <w:sz w:val="20"/>
          <w:szCs w:val="20"/>
          <w:color w:val="auto"/>
        </w:rPr>
      </w:pPr>
      <w:r>
        <w:rPr>
          <w:rFonts w:ascii="Arial" w:cs="Arial" w:eastAsia="Arial" w:hAnsi="Arial"/>
          <w:sz w:val="16"/>
          <w:szCs w:val="16"/>
          <w:b w:val="1"/>
          <w:bCs w:val="1"/>
          <w:color w:val="auto"/>
        </w:rPr>
        <w:t>Piraeus, Greece — June 15, 2021 —</w:t>
      </w:r>
      <w:r>
        <w:rPr>
          <w:rFonts w:ascii="Arial" w:cs="Arial" w:eastAsia="Arial" w:hAnsi="Arial"/>
          <w:sz w:val="16"/>
          <w:szCs w:val="16"/>
          <w:color w:val="auto"/>
        </w:rPr>
        <w:t>GasLog Partners LP ("GasLog Partners" or the "Partnership") (NYSE: GLOP) today announced two new time charter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agreements with leading global energy producers. The agreements include a one-year time charter for the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with a subsidiary of Total S.A. (“Total”), beginning this week, as well as an approximately 8-month time charter for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with a subsidiary of Royal Dutch Shell plc (“Shell”) beginning immediately following the conclusion of its initial multi-year charter with Shell in late July 2021 and extending through the end of Q1 2022.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is a 155,000 cbm TFDE LNG carrier built in 2013 which is currently operating in the LNG carrier spot market.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is a 155,000 cbm TFDE LNG carrier built in 2014 currently operating under its initial multi-year time charter with Shell.</w:t>
      </w:r>
    </w:p>
    <w:p>
      <w:pPr>
        <w:spacing w:after="0" w:line="22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Paul Wogan, Chief Executive Officer of GasLog Partners, stated, “I am very pleased to announce these new charters with global energy majors. The agreements are at fixed daily rates of hire at returns in line with the historic long-term average, underscoring the strengthening LNG carrier spot market observed so far this year. Together they improve the Partnership’s revenue and cash flow visibility, further balancing its operational and financial leverage.”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ir@gaslogmlp.com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GasLog Partners is a growth-oriented owner, operator and acquirer of LNG carriers. The Partnership’s fleet consists of 15 LNG carriers with an average carrying capacity of approximately 158,000 cbm. GasLog Partners is a publicly traded master limited partnership (NYSE: GLOP) but has elected to be treated as a C corporation for U.S. income tax purposes and therefore its investors receive an Internal Revenue Service Form 1099 with respect to any distributions declared and received. The Partnership’s principal executive offices are located at 69 Akti Miaouli, 18537, Piraeus, Greece. Visit GasLog Partners’ website at http://www.gaslogmlp.com.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2021-06-15T05:55:48Z</dcterms:created>
  <dcterms:modified xsi:type="dcterms:W3CDTF">2021-06-15T05:55:48Z</dcterms:modified>
</cp:coreProperties>
</file>