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The press release issued by GasLog Partners LP. on November 17, 2021, confirming the Series A, B and C Preference Units payable on December 15, 2021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November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Paolo Enoizi</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3197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 Declares Distributions on Series A, B and C Preference Units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Majuro, Marshall Islands, November 17, 2021 — </w:t>
      </w:r>
      <w:r>
        <w:rPr>
          <w:rFonts w:ascii="Arial" w:cs="Arial" w:eastAsia="Arial" w:hAnsi="Arial"/>
          <w:sz w:val="18"/>
          <w:szCs w:val="18"/>
          <w:color w:val="auto"/>
        </w:rPr>
        <w:t>GasLog Partners LP (“GasLog Partners” or the “Partnership”) (NYSE: GLOP) today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distributions on its preference units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0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80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Distribution</w:t>
            </w:r>
          </w:p>
        </w:tc>
        <w:tc>
          <w:tcPr>
            <w:tcW w:w="212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Record Date</w:t>
            </w:r>
          </w:p>
        </w:tc>
        <w:tc>
          <w:tcPr>
            <w:tcW w:w="22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Payment Date</w:t>
            </w: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8.625% Series A Cumulative Redeemable Perpetual Fixed to</w:t>
            </w:r>
          </w:p>
        </w:tc>
        <w:tc>
          <w:tcPr>
            <w:tcW w:w="1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$0.5390625 per</w:t>
            </w:r>
          </w:p>
        </w:tc>
        <w:tc>
          <w:tcPr>
            <w:tcW w:w="21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December 8, 2021</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December 15, 2021</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8.200% Series B Cumulative Redeemable Perpetual Fixed to</w:t>
            </w:r>
          </w:p>
        </w:tc>
        <w:tc>
          <w:tcPr>
            <w:tcW w:w="1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$0.5125 per</w:t>
            </w:r>
          </w:p>
        </w:tc>
        <w:tc>
          <w:tcPr>
            <w:tcW w:w="21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December 8, 2021</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December 15, 2021</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8.500% Series C Cumulative Redeemable Perpetual Fixed to</w:t>
            </w:r>
          </w:p>
        </w:tc>
        <w:tc>
          <w:tcPr>
            <w:tcW w:w="1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$0.53125 per</w:t>
            </w:r>
          </w:p>
        </w:tc>
        <w:tc>
          <w:tcPr>
            <w:tcW w:w="21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December 8, 2021</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December 15, 2021</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425"/>
        </w:trPr>
        <w:tc>
          <w:tcPr>
            <w:tcW w:w="50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8"/>
        </w:trPr>
        <w:tc>
          <w:tcPr>
            <w:tcW w:w="5080" w:type="dxa"/>
            <w:vAlign w:val="bottom"/>
          </w:tcPr>
          <w:p>
            <w:pPr>
              <w:spacing w:after="0"/>
              <w:rPr>
                <w:sz w:val="20"/>
                <w:szCs w:val="20"/>
                <w:color w:val="auto"/>
              </w:rPr>
            </w:pPr>
            <w:r>
              <w:rPr>
                <w:rFonts w:ascii="Arial" w:cs="Arial" w:eastAsia="Arial" w:hAnsi="Arial"/>
                <w:sz w:val="18"/>
                <w:szCs w:val="18"/>
                <w:color w:val="auto"/>
              </w:rPr>
              <w:t>Joseph Nelson</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Head of Investor Relations</w:t>
            </w:r>
          </w:p>
        </w:tc>
        <w:tc>
          <w:tcPr>
            <w:tcW w:w="1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Phone: +1 212-223-0643</w:t>
            </w:r>
          </w:p>
        </w:tc>
        <w:tc>
          <w:tcPr>
            <w:tcW w:w="18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rPr>
              <w:t>Email: ir@gaslogmlp.com</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(including one vessel sold and leased back under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2021-11-17T05:46:54Z</dcterms:created>
  <dcterms:modified xsi:type="dcterms:W3CDTF">2021-11-17T05:46:54Z</dcterms:modified>
</cp:coreProperties>
</file>