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13G</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4)*</w:t>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GasLog Partners LP</w:t>
      </w: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Common Stock</w:t>
      </w: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Y2687W108</w:t>
      </w: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12/31/2017</w:t>
      </w: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ind w:right="9900" w:firstLine="8"/>
        <w:spacing w:after="0" w:line="237" w:lineRule="auto"/>
        <w:tabs>
          <w:tab w:leader="none" w:pos="297"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0"/>
          <w:szCs w:val="20"/>
          <w:color w:val="auto"/>
        </w:rPr>
        <w:t>[ ] Rule 13d-1(d)</w:t>
      </w:r>
    </w:p>
    <w:p>
      <w:pPr>
        <w:spacing w:after="0" w:line="175" w:lineRule="exact"/>
        <w:rPr>
          <w:sz w:val="24"/>
          <w:szCs w:val="24"/>
          <w:color w:val="auto"/>
        </w:rPr>
      </w:pPr>
    </w:p>
    <w:p>
      <w:pPr>
        <w:jc w:val="both"/>
        <w:ind w:right="420"/>
        <w:spacing w:after="0" w:line="232"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7" w:lineRule="exact"/>
        <w:rPr>
          <w:sz w:val="24"/>
          <w:szCs w:val="24"/>
          <w:color w:val="auto"/>
        </w:rPr>
      </w:pPr>
    </w:p>
    <w:p>
      <w:pPr>
        <w:ind w:right="260"/>
        <w:spacing w:after="0" w:line="232"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3731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73189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0"/>
        <w:spacing w:after="0"/>
        <w:rPr>
          <w:sz w:val="20"/>
          <w:szCs w:val="20"/>
          <w:color w:val="auto"/>
        </w:rPr>
      </w:pPr>
      <w:r>
        <w:rPr>
          <w:rFonts w:ascii="Arial" w:cs="Arial" w:eastAsia="Arial" w:hAnsi="Arial"/>
          <w:sz w:val="20"/>
          <w:szCs w:val="20"/>
          <w:color w:val="auto"/>
        </w:rPr>
        <w:t>CUSIP No.: Y2687W108</w:t>
      </w:r>
    </w:p>
    <w:p>
      <w:pPr>
        <w:spacing w:after="0" w:line="161" w:lineRule="exact"/>
        <w:rPr>
          <w:sz w:val="24"/>
          <w:szCs w:val="24"/>
          <w:color w:val="auto"/>
        </w:rPr>
      </w:pPr>
    </w:p>
    <w:p>
      <w:pPr>
        <w:ind w:left="1080"/>
        <w:spacing w:after="0"/>
        <w:rPr>
          <w:sz w:val="20"/>
          <w:szCs w:val="20"/>
          <w:color w:val="auto"/>
        </w:rPr>
      </w:pPr>
      <w:r>
        <w:rPr>
          <w:rFonts w:ascii="Arial" w:cs="Arial" w:eastAsia="Arial" w:hAnsi="Arial"/>
          <w:sz w:val="20"/>
          <w:szCs w:val="20"/>
          <w:color w:val="auto"/>
        </w:rPr>
        <w:t>Names of Reporting Persons:</w:t>
      </w:r>
    </w:p>
    <w:p>
      <w:pPr>
        <w:ind w:left="1080" w:hanging="628"/>
        <w:spacing w:after="0" w:line="225" w:lineRule="auto"/>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OppenheimerFunds, Inc.</w:t>
      </w:r>
    </w:p>
    <w:p>
      <w:pPr>
        <w:ind w:left="1080"/>
        <w:spacing w:after="0"/>
        <w:rPr>
          <w:rFonts w:ascii="Arial" w:cs="Arial" w:eastAsia="Arial" w:hAnsi="Arial"/>
          <w:sz w:val="20"/>
          <w:szCs w:val="20"/>
          <w:color w:val="auto"/>
        </w:rPr>
      </w:pPr>
      <w:r>
        <w:rPr>
          <w:rFonts w:ascii="Arial" w:cs="Arial" w:eastAsia="Arial" w:hAnsi="Arial"/>
          <w:sz w:val="20"/>
          <w:szCs w:val="20"/>
          <w:color w:val="auto"/>
        </w:rPr>
        <w:t>IRS Identification No: 13-2527171</w:t>
      </w:r>
    </w:p>
    <w:p>
      <w:pPr>
        <w:spacing w:after="0" w:line="7" w:lineRule="exact"/>
        <w:rPr>
          <w:rFonts w:ascii="Arial" w:cs="Arial" w:eastAsia="Arial" w:hAnsi="Arial"/>
          <w:sz w:val="20"/>
          <w:szCs w:val="20"/>
          <w:color w:val="auto"/>
        </w:rPr>
      </w:pPr>
    </w:p>
    <w:p>
      <w:pPr>
        <w:ind w:left="1080" w:hanging="628"/>
        <w:spacing w:after="0" w:line="211" w:lineRule="auto"/>
        <w:tabs>
          <w:tab w:leader="none" w:pos="1080" w:val="left"/>
        </w:tabs>
        <w:numPr>
          <w:ilvl w:val="0"/>
          <w:numId w:val="2"/>
        </w:numPr>
        <w:rPr>
          <w:rFonts w:ascii="Arial" w:cs="Arial" w:eastAsia="Arial" w:hAnsi="Arial"/>
          <w:sz w:val="40"/>
          <w:szCs w:val="40"/>
          <w:color w:val="auto"/>
          <w:vertAlign w:val="subscript"/>
        </w:rPr>
      </w:pPr>
      <w:r>
        <w:rPr>
          <w:rFonts w:ascii="Arial" w:cs="Arial" w:eastAsia="Arial" w:hAnsi="Arial"/>
          <w:sz w:val="20"/>
          <w:szCs w:val="20"/>
          <w:color w:val="auto"/>
        </w:rPr>
        <w:t>Check the Appropriate Box if a Member of a Group (See Instructions):</w:t>
      </w:r>
    </w:p>
    <w:p>
      <w:pPr>
        <w:spacing w:after="0" w:line="378" w:lineRule="exact"/>
        <w:rPr>
          <w:rFonts w:ascii="Arial" w:cs="Arial" w:eastAsia="Arial" w:hAnsi="Arial"/>
          <w:sz w:val="40"/>
          <w:szCs w:val="40"/>
          <w:color w:val="auto"/>
          <w:vertAlign w:val="subscript"/>
        </w:rPr>
      </w:pPr>
    </w:p>
    <w:p>
      <w:pPr>
        <w:ind w:left="1080" w:hanging="628"/>
        <w:spacing w:after="0"/>
        <w:tabs>
          <w:tab w:leader="none" w:pos="1080" w:val="left"/>
        </w:tabs>
        <w:numPr>
          <w:ilvl w:val="0"/>
          <w:numId w:val="2"/>
        </w:numPr>
        <w:rPr>
          <w:rFonts w:ascii="Arial" w:cs="Arial" w:eastAsia="Arial" w:hAnsi="Arial"/>
          <w:sz w:val="40"/>
          <w:szCs w:val="40"/>
          <w:color w:val="auto"/>
          <w:vertAlign w:val="superscript"/>
        </w:rPr>
      </w:pPr>
      <w:r>
        <w:rPr>
          <w:rFonts w:ascii="Arial" w:cs="Arial" w:eastAsia="Arial" w:hAnsi="Arial"/>
          <w:sz w:val="20"/>
          <w:szCs w:val="20"/>
          <w:color w:val="auto"/>
        </w:rPr>
        <w:t>SEC Use Only</w:t>
      </w:r>
    </w:p>
    <w:p>
      <w:pPr>
        <w:spacing w:after="0" w:line="167" w:lineRule="exact"/>
        <w:rPr>
          <w:rFonts w:ascii="Arial" w:cs="Arial" w:eastAsia="Arial" w:hAnsi="Arial"/>
          <w:sz w:val="40"/>
          <w:szCs w:val="40"/>
          <w:color w:val="auto"/>
          <w:vertAlign w:val="superscript"/>
        </w:rPr>
      </w:pPr>
    </w:p>
    <w:p>
      <w:pPr>
        <w:ind w:left="1080" w:right="7140" w:hanging="628"/>
        <w:spacing w:after="0" w:line="181" w:lineRule="auto"/>
        <w:tabs>
          <w:tab w:leader="none" w:pos="1080" w:val="left"/>
        </w:tabs>
        <w:numPr>
          <w:ilvl w:val="0"/>
          <w:numId w:val="2"/>
        </w:numPr>
        <w:rPr>
          <w:rFonts w:ascii="Arial" w:cs="Arial" w:eastAsia="Arial" w:hAnsi="Arial"/>
          <w:sz w:val="34"/>
          <w:szCs w:val="34"/>
          <w:color w:val="auto"/>
          <w:vertAlign w:val="subscript"/>
        </w:rPr>
      </w:pPr>
      <w:r>
        <w:rPr>
          <w:rFonts w:ascii="Arial" w:cs="Arial" w:eastAsia="Arial" w:hAnsi="Arial"/>
          <w:sz w:val="18"/>
          <w:szCs w:val="18"/>
          <w:color w:val="auto"/>
        </w:rPr>
        <w:t>Citizenship or Place of Organization: Colorado</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10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10120" w:type="dxa"/>
            <w:vAlign w:val="bottom"/>
            <w:tcBorders>
              <w:top w:val="single" w:sz="8" w:color="auto"/>
            </w:tcBorders>
            <w:gridSpan w:val="3"/>
          </w:tcPr>
          <w:p>
            <w:pPr>
              <w:ind w:left="40"/>
              <w:spacing w:after="0"/>
              <w:rPr>
                <w:sz w:val="20"/>
                <w:szCs w:val="20"/>
                <w:color w:val="auto"/>
              </w:rPr>
            </w:pPr>
            <w:r>
              <w:rPr>
                <w:rFonts w:ascii="Arial" w:cs="Arial" w:eastAsia="Arial" w:hAnsi="Arial"/>
                <w:sz w:val="20"/>
                <w:szCs w:val="20"/>
                <w:color w:val="auto"/>
              </w:rPr>
              <w:t>Sole Voting Power: 0</w:t>
            </w:r>
          </w:p>
        </w:tc>
        <w:tc>
          <w:tcPr>
            <w:tcW w:w="0" w:type="dxa"/>
            <w:vAlign w:val="bottom"/>
          </w:tcPr>
          <w:p>
            <w:pPr>
              <w:spacing w:after="0"/>
              <w:rPr>
                <w:sz w:val="1"/>
                <w:szCs w:val="1"/>
                <w:color w:val="auto"/>
              </w:rPr>
            </w:pPr>
          </w:p>
        </w:tc>
      </w:tr>
      <w:tr>
        <w:trPr>
          <w:trHeight w:val="259"/>
        </w:trPr>
        <w:tc>
          <w:tcPr>
            <w:tcW w:w="1040" w:type="dxa"/>
            <w:vAlign w:val="bottom"/>
          </w:tcPr>
          <w:p>
            <w:pPr>
              <w:jc w:val="center"/>
              <w:spacing w:after="0"/>
              <w:rPr>
                <w:sz w:val="20"/>
                <w:szCs w:val="20"/>
                <w:color w:val="auto"/>
              </w:rPr>
            </w:pPr>
            <w:r>
              <w:rPr>
                <w:rFonts w:ascii="Arial" w:cs="Arial" w:eastAsia="Arial" w:hAnsi="Arial"/>
                <w:sz w:val="20"/>
                <w:szCs w:val="20"/>
                <w:color w:val="auto"/>
                <w:w w:val="98"/>
              </w:rPr>
              <w:t>Number of</w:t>
            </w:r>
          </w:p>
        </w:tc>
        <w:tc>
          <w:tcPr>
            <w:tcW w:w="2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1040" w:type="dxa"/>
            <w:vAlign w:val="bottom"/>
            <w:vMerge w:val="restart"/>
          </w:tcPr>
          <w:p>
            <w:pPr>
              <w:jc w:val="center"/>
              <w:spacing w:after="0" w:line="216" w:lineRule="exact"/>
              <w:rPr>
                <w:sz w:val="20"/>
                <w:szCs w:val="20"/>
                <w:color w:val="auto"/>
              </w:rPr>
            </w:pPr>
            <w:r>
              <w:rPr>
                <w:rFonts w:ascii="Arial" w:cs="Arial" w:eastAsia="Arial" w:hAnsi="Arial"/>
                <w:sz w:val="20"/>
                <w:szCs w:val="20"/>
                <w:color w:val="auto"/>
                <w:w w:val="97"/>
              </w:rPr>
              <w:t>Shares</w:t>
            </w:r>
          </w:p>
        </w:tc>
        <w:tc>
          <w:tcPr>
            <w:tcW w:w="2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4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10120" w:type="dxa"/>
            <w:vAlign w:val="bottom"/>
            <w:gridSpan w:val="3"/>
            <w:vMerge w:val="restart"/>
          </w:tcPr>
          <w:p>
            <w:pPr>
              <w:ind w:left="4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color w:val="362B36"/>
              </w:rPr>
              <w:t>2,460,531</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line="216" w:lineRule="exact"/>
              <w:rPr>
                <w:sz w:val="20"/>
                <w:szCs w:val="20"/>
                <w:color w:val="auto"/>
              </w:rPr>
            </w:pPr>
            <w:r>
              <w:rPr>
                <w:rFonts w:ascii="Arial" w:cs="Arial" w:eastAsia="Arial" w:hAnsi="Arial"/>
                <w:sz w:val="20"/>
                <w:szCs w:val="20"/>
                <w:color w:val="auto"/>
                <w:w w:val="98"/>
              </w:rPr>
              <w:t>Beneficially</w:t>
            </w:r>
          </w:p>
        </w:tc>
        <w:tc>
          <w:tcPr>
            <w:tcW w:w="260" w:type="dxa"/>
            <w:vAlign w:val="bottom"/>
            <w:vMerge w:val="continue"/>
          </w:tcPr>
          <w:p>
            <w:pPr>
              <w:spacing w:after="0"/>
              <w:rPr>
                <w:sz w:val="18"/>
                <w:szCs w:val="18"/>
                <w:color w:val="auto"/>
              </w:rPr>
            </w:pPr>
          </w:p>
        </w:tc>
        <w:tc>
          <w:tcPr>
            <w:tcW w:w="10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line="216" w:lineRule="exact"/>
              <w:rPr>
                <w:sz w:val="20"/>
                <w:szCs w:val="20"/>
                <w:color w:val="auto"/>
              </w:rPr>
            </w:pPr>
            <w:r>
              <w:rPr>
                <w:rFonts w:ascii="Arial" w:cs="Arial" w:eastAsia="Arial" w:hAnsi="Arial"/>
                <w:sz w:val="20"/>
                <w:szCs w:val="20"/>
                <w:color w:val="auto"/>
                <w:w w:val="99"/>
              </w:rPr>
              <w:t>Owned by</w:t>
            </w: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1040" w:type="dxa"/>
            <w:vAlign w:val="bottom"/>
            <w:vMerge w:val="restart"/>
          </w:tcPr>
          <w:p>
            <w:pPr>
              <w:jc w:val="center"/>
              <w:spacing w:after="0" w:line="216" w:lineRule="exact"/>
              <w:rPr>
                <w:sz w:val="20"/>
                <w:szCs w:val="20"/>
                <w:color w:val="auto"/>
              </w:rPr>
            </w:pPr>
            <w:r>
              <w:rPr>
                <w:rFonts w:ascii="Arial" w:cs="Arial" w:eastAsia="Arial" w:hAnsi="Arial"/>
                <w:sz w:val="20"/>
                <w:szCs w:val="20"/>
                <w:color w:val="auto"/>
              </w:rPr>
              <w:t>Each</w:t>
            </w:r>
          </w:p>
        </w:tc>
        <w:tc>
          <w:tcPr>
            <w:tcW w:w="26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10120" w:type="dxa"/>
            <w:vAlign w:val="bottom"/>
            <w:gridSpan w:val="3"/>
            <w:vMerge w:val="restart"/>
          </w:tcPr>
          <w:p>
            <w:pPr>
              <w:ind w:left="40"/>
              <w:spacing w:after="0"/>
              <w:rPr>
                <w:sz w:val="20"/>
                <w:szCs w:val="20"/>
                <w:color w:val="auto"/>
              </w:rPr>
            </w:pPr>
            <w:r>
              <w:rPr>
                <w:rFonts w:ascii="Arial" w:cs="Arial" w:eastAsia="Arial" w:hAnsi="Arial"/>
                <w:sz w:val="20"/>
                <w:szCs w:val="20"/>
                <w:color w:val="auto"/>
              </w:rPr>
              <w:t>Sole Dispositive Power: 0</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line="216" w:lineRule="exact"/>
              <w:rPr>
                <w:sz w:val="20"/>
                <w:szCs w:val="20"/>
                <w:color w:val="auto"/>
              </w:rPr>
            </w:pPr>
            <w:r>
              <w:rPr>
                <w:rFonts w:ascii="Arial" w:cs="Arial" w:eastAsia="Arial" w:hAnsi="Arial"/>
                <w:sz w:val="20"/>
                <w:szCs w:val="20"/>
                <w:color w:val="auto"/>
                <w:w w:val="99"/>
              </w:rPr>
              <w:t>Reporting</w:t>
            </w:r>
          </w:p>
        </w:tc>
        <w:tc>
          <w:tcPr>
            <w:tcW w:w="260" w:type="dxa"/>
            <w:vAlign w:val="bottom"/>
            <w:vMerge w:val="continue"/>
          </w:tcPr>
          <w:p>
            <w:pPr>
              <w:spacing w:after="0"/>
              <w:rPr>
                <w:sz w:val="18"/>
                <w:szCs w:val="18"/>
                <w:color w:val="auto"/>
              </w:rPr>
            </w:pPr>
          </w:p>
        </w:tc>
        <w:tc>
          <w:tcPr>
            <w:tcW w:w="10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line="216" w:lineRule="exact"/>
              <w:rPr>
                <w:sz w:val="20"/>
                <w:szCs w:val="20"/>
                <w:color w:val="auto"/>
              </w:rPr>
            </w:pPr>
            <w:r>
              <w:rPr>
                <w:rFonts w:ascii="Arial" w:cs="Arial" w:eastAsia="Arial" w:hAnsi="Arial"/>
                <w:sz w:val="20"/>
                <w:szCs w:val="20"/>
                <w:color w:val="auto"/>
                <w:w w:val="97"/>
              </w:rPr>
              <w:t>Person</w:t>
            </w:r>
          </w:p>
        </w:tc>
        <w:tc>
          <w:tcPr>
            <w:tcW w:w="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040" w:type="dxa"/>
            <w:vAlign w:val="bottom"/>
            <w:vMerge w:val="restart"/>
          </w:tcPr>
          <w:p>
            <w:pPr>
              <w:jc w:val="center"/>
              <w:spacing w:after="0"/>
              <w:rPr>
                <w:sz w:val="20"/>
                <w:szCs w:val="20"/>
                <w:color w:val="auto"/>
              </w:rPr>
            </w:pPr>
            <w:r>
              <w:rPr>
                <w:rFonts w:ascii="Arial" w:cs="Arial" w:eastAsia="Arial" w:hAnsi="Arial"/>
                <w:sz w:val="20"/>
                <w:szCs w:val="20"/>
                <w:color w:val="auto"/>
                <w:w w:val="99"/>
              </w:rPr>
              <w:t>With</w:t>
            </w:r>
          </w:p>
        </w:tc>
        <w:tc>
          <w:tcPr>
            <w:tcW w:w="2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040" w:type="dxa"/>
            <w:vAlign w:val="bottom"/>
            <w:vMerge w:val="continue"/>
          </w:tcPr>
          <w:p>
            <w:pPr>
              <w:spacing w:after="0"/>
              <w:rPr>
                <w:sz w:val="13"/>
                <w:szCs w:val="13"/>
                <w:color w:val="auto"/>
              </w:rPr>
            </w:pPr>
          </w:p>
        </w:tc>
        <w:tc>
          <w:tcPr>
            <w:tcW w:w="260" w:type="dxa"/>
            <w:vAlign w:val="bottom"/>
            <w:vMerge w:val="restart"/>
          </w:tcPr>
          <w:p>
            <w:pPr>
              <w:jc w:val="right"/>
              <w:spacing w:after="0" w:line="209" w:lineRule="exact"/>
              <w:rPr>
                <w:sz w:val="20"/>
                <w:szCs w:val="20"/>
                <w:color w:val="auto"/>
              </w:rPr>
            </w:pPr>
            <w:r>
              <w:rPr>
                <w:rFonts w:ascii="Arial" w:cs="Arial" w:eastAsia="Arial" w:hAnsi="Arial"/>
                <w:sz w:val="20"/>
                <w:szCs w:val="20"/>
                <w:color w:val="auto"/>
              </w:rPr>
              <w:t>8.</w:t>
            </w:r>
          </w:p>
        </w:tc>
        <w:tc>
          <w:tcPr>
            <w:tcW w:w="3300" w:type="dxa"/>
            <w:vAlign w:val="bottom"/>
            <w:vMerge w:val="restart"/>
          </w:tcPr>
          <w:p>
            <w:pPr>
              <w:ind w:left="40"/>
              <w:spacing w:after="0" w:line="209" w:lineRule="exact"/>
              <w:rPr>
                <w:sz w:val="20"/>
                <w:szCs w:val="20"/>
                <w:color w:val="auto"/>
              </w:rPr>
            </w:pPr>
            <w:r>
              <w:rPr>
                <w:rFonts w:ascii="Arial" w:cs="Arial" w:eastAsia="Arial" w:hAnsi="Arial"/>
                <w:sz w:val="20"/>
                <w:szCs w:val="20"/>
                <w:color w:val="auto"/>
                <w:w w:val="98"/>
              </w:rPr>
              <w:t>Shared Dispositive Power: 2,460,531</w:t>
            </w:r>
          </w:p>
        </w:tc>
        <w:tc>
          <w:tcPr>
            <w:tcW w:w="560" w:type="dxa"/>
            <w:vAlign w:val="bottom"/>
            <w:shd w:val="clear" w:color="auto" w:fill="FFFF00"/>
          </w:tcPr>
          <w:p>
            <w:pPr>
              <w:spacing w:after="0"/>
              <w:rPr>
                <w:sz w:val="13"/>
                <w:szCs w:val="13"/>
                <w:color w:val="auto"/>
              </w:rPr>
            </w:pPr>
          </w:p>
        </w:tc>
        <w:tc>
          <w:tcPr>
            <w:tcW w:w="6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0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3300" w:type="dxa"/>
            <w:vAlign w:val="bottom"/>
            <w:vMerge w:val="continue"/>
          </w:tcPr>
          <w:p>
            <w:pPr>
              <w:spacing w:after="0"/>
              <w:rPr>
                <w:sz w:val="4"/>
                <w:szCs w:val="4"/>
                <w:color w:val="auto"/>
              </w:rPr>
            </w:pPr>
          </w:p>
        </w:tc>
        <w:tc>
          <w:tcPr>
            <w:tcW w:w="560" w:type="dxa"/>
            <w:vAlign w:val="bottom"/>
            <w:shd w:val="clear" w:color="auto" w:fill="FFFF00"/>
          </w:tcPr>
          <w:p>
            <w:pPr>
              <w:spacing w:after="0"/>
              <w:rPr>
                <w:sz w:val="4"/>
                <w:szCs w:val="4"/>
                <w:color w:val="auto"/>
              </w:rPr>
            </w:pPr>
          </w:p>
        </w:tc>
        <w:tc>
          <w:tcPr>
            <w:tcW w:w="6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2" w:lineRule="exact"/>
        <w:rPr>
          <w:sz w:val="24"/>
          <w:szCs w:val="24"/>
          <w:color w:val="auto"/>
        </w:rPr>
      </w:pPr>
    </w:p>
    <w:p>
      <w:pPr>
        <w:ind w:left="1080" w:hanging="628"/>
        <w:spacing w:after="0"/>
        <w:tabs>
          <w:tab w:leader="none" w:pos="10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ectPr>
          <w:pgSz w:w="11900" w:h="16854" w:orient="portrait"/>
          <w:cols w:equalWidth="0" w:num="1">
            <w:col w:w="11420"/>
          </w:cols>
          <w:pgMar w:left="240" w:top="225" w:right="239" w:bottom="0" w:gutter="0" w:footer="0" w:header="0"/>
        </w:sectPr>
      </w:pPr>
    </w:p>
    <w:bookmarkStart w:id="1" w:name="page2"/>
    <w:bookmarkEnd w:id="1"/>
    <w:p>
      <w:pPr>
        <w:ind w:left="1040"/>
        <w:spacing w:after="0"/>
        <w:rPr>
          <w:sz w:val="20"/>
          <w:szCs w:val="20"/>
          <w:color w:val="auto"/>
        </w:rPr>
      </w:pPr>
      <w:r>
        <w:rPr>
          <w:rFonts w:ascii="Arial" w:cs="Arial" w:eastAsia="Arial" w:hAnsi="Arial"/>
          <w:sz w:val="20"/>
          <w:szCs w:val="20"/>
          <w:color w:val="auto"/>
        </w:rPr>
        <w:t>2,460,531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-142875</wp:posOffset>
            </wp:positionV>
            <wp:extent cx="7246620" cy="185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52295"/>
                    </a:xfrm>
                    <a:prstGeom prst="rect">
                      <a:avLst/>
                    </a:prstGeom>
                    <a:noFill/>
                  </pic:spPr>
                </pic:pic>
              </a:graphicData>
            </a:graphic>
          </wp:anchor>
        </w:drawing>
      </w:r>
    </w:p>
    <w:p>
      <w:pPr>
        <w:spacing w:after="0" w:line="142"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Check if the Aggregate Amount in Row (9) Excludes Certain Shares (See Instructions)</w:t>
      </w:r>
    </w:p>
    <w:p>
      <w:pPr>
        <w:ind w:left="1040" w:hanging="683"/>
        <w:spacing w:after="0"/>
        <w:tabs>
          <w:tab w:leader="none" w:pos="1040" w:val="left"/>
        </w:tabs>
        <w:numPr>
          <w:ilvl w:val="0"/>
          <w:numId w:val="4"/>
        </w:numPr>
        <w:rPr>
          <w:rFonts w:ascii="Arial" w:cs="Arial" w:eastAsia="Arial" w:hAnsi="Arial"/>
          <w:sz w:val="20"/>
          <w:szCs w:val="20"/>
          <w:color w:val="auto"/>
        </w:rPr>
      </w:pPr>
      <w:r>
        <w:rPr>
          <w:rFonts w:ascii="Arial" w:cs="Arial" w:eastAsia="Arial" w:hAnsi="Arial"/>
          <w:sz w:val="20"/>
          <w:szCs w:val="20"/>
          <w:color w:val="auto"/>
        </w:rPr>
        <w:t>[ ]</w:t>
      </w:r>
    </w:p>
    <w:p>
      <w:pPr>
        <w:spacing w:after="0" w:line="377" w:lineRule="exact"/>
        <w:rPr>
          <w:rFonts w:ascii="Arial" w:cs="Arial" w:eastAsia="Arial" w:hAnsi="Arial"/>
          <w:sz w:val="20"/>
          <w:szCs w:val="20"/>
          <w:color w:val="auto"/>
        </w:rPr>
      </w:pPr>
    </w:p>
    <w:p>
      <w:pPr>
        <w:ind w:left="1040"/>
        <w:spacing w:after="0"/>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ind w:left="1040" w:hanging="683"/>
        <w:spacing w:after="0"/>
        <w:tabs>
          <w:tab w:leader="none" w:pos="1040" w:val="left"/>
        </w:tabs>
        <w:numPr>
          <w:ilvl w:val="0"/>
          <w:numId w:val="4"/>
        </w:numPr>
        <w:rPr>
          <w:rFonts w:ascii="Arial" w:cs="Arial" w:eastAsia="Arial" w:hAnsi="Arial"/>
          <w:sz w:val="20"/>
          <w:szCs w:val="20"/>
          <w:color w:val="auto"/>
        </w:rPr>
      </w:pPr>
      <w:r>
        <w:rPr>
          <w:rFonts w:ascii="Arial" w:cs="Arial" w:eastAsia="Arial" w:hAnsi="Arial"/>
          <w:sz w:val="20"/>
          <w:szCs w:val="20"/>
          <w:color w:val="auto"/>
        </w:rPr>
        <w:t>6.06%</w:t>
      </w:r>
    </w:p>
    <w:p>
      <w:pPr>
        <w:spacing w:after="0" w:line="377" w:lineRule="exact"/>
        <w:rPr>
          <w:rFonts w:ascii="Arial" w:cs="Arial" w:eastAsia="Arial" w:hAnsi="Arial"/>
          <w:sz w:val="20"/>
          <w:szCs w:val="20"/>
          <w:color w:val="auto"/>
        </w:rPr>
      </w:pPr>
    </w:p>
    <w:p>
      <w:pPr>
        <w:ind w:left="1040"/>
        <w:spacing w:after="0"/>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ind w:left="1040" w:hanging="683"/>
        <w:spacing w:after="0"/>
        <w:tabs>
          <w:tab w:leader="none" w:pos="10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748030</wp:posOffset>
            </wp:positionV>
            <wp:extent cx="7246620" cy="8166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16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Item:</w:t>
      </w:r>
    </w:p>
    <w:p>
      <w:pPr>
        <w:spacing w:after="0" w:line="209" w:lineRule="auto"/>
        <w:rPr>
          <w:sz w:val="20"/>
          <w:szCs w:val="20"/>
          <w:color w:val="auto"/>
        </w:rPr>
      </w:pPr>
      <w:r>
        <w:rPr>
          <w:rFonts w:ascii="Arial" w:cs="Arial" w:eastAsia="Arial" w:hAnsi="Arial"/>
          <w:sz w:val="39"/>
          <w:szCs w:val="39"/>
          <w:color w:val="auto"/>
          <w:vertAlign w:val="subscript"/>
        </w:rPr>
        <w:t>1(a)</w:t>
      </w:r>
      <w:r>
        <w:rPr>
          <w:rFonts w:ascii="Arial" w:cs="Arial" w:eastAsia="Arial" w:hAnsi="Arial"/>
          <w:sz w:val="20"/>
          <w:szCs w:val="20"/>
          <w:color w:val="auto"/>
        </w:rPr>
        <w:t xml:space="preserve"> Name of Issuer: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GasLog Partners LP</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Address of Issuer's Principal Executive Offices:</w:t>
      </w:r>
    </w:p>
    <w:p>
      <w:pPr>
        <w:spacing w:after="0" w:line="180" w:lineRule="auto"/>
        <w:rPr>
          <w:sz w:val="20"/>
          <w:szCs w:val="20"/>
          <w:color w:val="auto"/>
        </w:rPr>
      </w:pPr>
      <w:r>
        <w:rPr>
          <w:rFonts w:ascii="Arial" w:cs="Arial" w:eastAsia="Arial" w:hAnsi="Arial"/>
          <w:sz w:val="25"/>
          <w:szCs w:val="25"/>
          <w:color w:val="auto"/>
          <w:vertAlign w:val="subscript"/>
        </w:rPr>
        <w:t>1(b)</w:t>
      </w:r>
      <w:r>
        <w:rPr>
          <w:rFonts w:ascii="Arial" w:cs="Arial" w:eastAsia="Arial" w:hAnsi="Arial"/>
          <w:sz w:val="15"/>
          <w:szCs w:val="15"/>
          <w:color w:val="auto"/>
        </w:rPr>
        <w:t xml:space="preserve"> C/O GASLOG SERVICES UK LTD</w:t>
      </w:r>
    </w:p>
    <w:p>
      <w:pPr>
        <w:ind w:left="380"/>
        <w:spacing w:after="0" w:line="225" w:lineRule="auto"/>
        <w:rPr>
          <w:sz w:val="20"/>
          <w:szCs w:val="20"/>
          <w:color w:val="auto"/>
        </w:rPr>
      </w:pPr>
      <w:r>
        <w:rPr>
          <w:rFonts w:ascii="Arial" w:cs="Arial" w:eastAsia="Arial" w:hAnsi="Arial"/>
          <w:sz w:val="20"/>
          <w:szCs w:val="20"/>
          <w:color w:val="auto"/>
        </w:rPr>
        <w:t>81 KINGS ROAD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LONDON X0 SW3 4NX</w:t>
      </w:r>
    </w:p>
    <w:p>
      <w:pPr>
        <w:spacing w:after="0" w:line="209" w:lineRule="auto"/>
        <w:rPr>
          <w:sz w:val="20"/>
          <w:szCs w:val="20"/>
          <w:color w:val="auto"/>
        </w:rPr>
      </w:pPr>
      <w:r>
        <w:rPr>
          <w:rFonts w:ascii="Arial" w:cs="Arial" w:eastAsia="Arial" w:hAnsi="Arial"/>
          <w:sz w:val="39"/>
          <w:szCs w:val="39"/>
          <w:color w:val="auto"/>
          <w:vertAlign w:val="subscript"/>
        </w:rPr>
        <w:t>2(a)</w:t>
      </w:r>
      <w:r>
        <w:rPr>
          <w:rFonts w:ascii="Arial" w:cs="Arial" w:eastAsia="Arial" w:hAnsi="Arial"/>
          <w:sz w:val="20"/>
          <w:szCs w:val="20"/>
          <w:color w:val="auto"/>
        </w:rPr>
        <w:t xml:space="preserve"> Name of Person Filing:</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OppenheimerFunds, Inc.</w:t>
      </w:r>
    </w:p>
    <w:p>
      <w:pPr>
        <w:spacing w:after="0" w:line="209" w:lineRule="auto"/>
        <w:rPr>
          <w:sz w:val="20"/>
          <w:szCs w:val="20"/>
          <w:color w:val="auto"/>
        </w:rPr>
      </w:pPr>
      <w:r>
        <w:rPr>
          <w:rFonts w:ascii="Arial" w:cs="Arial" w:eastAsia="Arial" w:hAnsi="Arial"/>
          <w:sz w:val="39"/>
          <w:szCs w:val="39"/>
          <w:color w:val="auto"/>
          <w:vertAlign w:val="subscript"/>
        </w:rPr>
        <w:t>2(b)</w:t>
      </w:r>
      <w:r>
        <w:rPr>
          <w:rFonts w:ascii="Arial" w:cs="Arial" w:eastAsia="Arial" w:hAnsi="Arial"/>
          <w:sz w:val="20"/>
          <w:szCs w:val="20"/>
          <w:color w:val="auto"/>
        </w:rPr>
        <w:t xml:space="preserve"> Address of Principal Business Office or, if none, Residence: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225 Liberty Street New York, NY 10281</w:t>
      </w:r>
    </w:p>
    <w:p>
      <w:pPr>
        <w:spacing w:after="0" w:line="209" w:lineRule="auto"/>
        <w:rPr>
          <w:sz w:val="20"/>
          <w:szCs w:val="20"/>
          <w:color w:val="auto"/>
        </w:rPr>
      </w:pPr>
      <w:r>
        <w:rPr>
          <w:rFonts w:ascii="Arial" w:cs="Arial" w:eastAsia="Arial" w:hAnsi="Arial"/>
          <w:sz w:val="39"/>
          <w:szCs w:val="39"/>
          <w:color w:val="auto"/>
          <w:vertAlign w:val="subscript"/>
        </w:rPr>
        <w:t>2(c)</w:t>
      </w:r>
      <w:r>
        <w:rPr>
          <w:rFonts w:ascii="Arial" w:cs="Arial" w:eastAsia="Arial" w:hAnsi="Arial"/>
          <w:sz w:val="20"/>
          <w:szCs w:val="20"/>
          <w:color w:val="auto"/>
        </w:rPr>
        <w:t xml:space="preserve"> Citizenship:</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See Item 4 on the cover page(s) hereto.</w:t>
      </w:r>
    </w:p>
    <w:p>
      <w:pPr>
        <w:spacing w:after="0" w:line="209" w:lineRule="auto"/>
        <w:rPr>
          <w:sz w:val="20"/>
          <w:szCs w:val="20"/>
          <w:color w:val="auto"/>
        </w:rPr>
      </w:pPr>
      <w:r>
        <w:rPr>
          <w:rFonts w:ascii="Arial" w:cs="Arial" w:eastAsia="Arial" w:hAnsi="Arial"/>
          <w:sz w:val="39"/>
          <w:szCs w:val="39"/>
          <w:color w:val="auto"/>
          <w:vertAlign w:val="subscript"/>
        </w:rPr>
        <w:t>2(d)</w:t>
      </w:r>
      <w:r>
        <w:rPr>
          <w:rFonts w:ascii="Arial" w:cs="Arial" w:eastAsia="Arial" w:hAnsi="Arial"/>
          <w:sz w:val="20"/>
          <w:szCs w:val="20"/>
          <w:color w:val="auto"/>
        </w:rPr>
        <w:t xml:space="preserve"> Title of Class of Securities: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Common Stock</w:t>
      </w:r>
    </w:p>
    <w:p>
      <w:pPr>
        <w:spacing w:after="0" w:line="209" w:lineRule="auto"/>
        <w:rPr>
          <w:sz w:val="20"/>
          <w:szCs w:val="20"/>
          <w:color w:val="auto"/>
        </w:rPr>
      </w:pPr>
      <w:r>
        <w:rPr>
          <w:rFonts w:ascii="Arial" w:cs="Arial" w:eastAsia="Arial" w:hAnsi="Arial"/>
          <w:sz w:val="39"/>
          <w:szCs w:val="39"/>
          <w:color w:val="auto"/>
          <w:vertAlign w:val="subscript"/>
        </w:rPr>
        <w:t>2(e)</w:t>
      </w:r>
      <w:r>
        <w:rPr>
          <w:rFonts w:ascii="Arial" w:cs="Arial" w:eastAsia="Arial" w:hAnsi="Arial"/>
          <w:sz w:val="20"/>
          <w:szCs w:val="20"/>
          <w:color w:val="auto"/>
        </w:rPr>
        <w:t xml:space="preserve"> CUSIP Number: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Y2687W108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3  OppenheimerFunds, Inc. is an investment adviser in accordance with Rule 13d-1(b)(1)(ii)(E).</w:t>
      </w:r>
    </w:p>
    <w:p>
      <w:pPr>
        <w:spacing w:after="0" w:line="209" w:lineRule="auto"/>
        <w:rPr>
          <w:sz w:val="20"/>
          <w:szCs w:val="20"/>
          <w:color w:val="auto"/>
        </w:rPr>
      </w:pPr>
      <w:r>
        <w:rPr>
          <w:rFonts w:ascii="Arial" w:cs="Arial" w:eastAsia="Arial" w:hAnsi="Arial"/>
          <w:sz w:val="39"/>
          <w:szCs w:val="39"/>
          <w:color w:val="auto"/>
          <w:vertAlign w:val="subscript"/>
        </w:rPr>
        <w:t>4(a)</w:t>
      </w:r>
      <w:r>
        <w:rPr>
          <w:rFonts w:ascii="Arial" w:cs="Arial" w:eastAsia="Arial" w:hAnsi="Arial"/>
          <w:sz w:val="20"/>
          <w:szCs w:val="20"/>
          <w:color w:val="auto"/>
        </w:rPr>
        <w:t xml:space="preserve"> Amount beneficially owned: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See Item 9 on the cover page(s) hereto.</w:t>
      </w:r>
    </w:p>
    <w:p>
      <w:pPr>
        <w:spacing w:after="0" w:line="209" w:lineRule="auto"/>
        <w:rPr>
          <w:sz w:val="20"/>
          <w:szCs w:val="20"/>
          <w:color w:val="auto"/>
        </w:rPr>
      </w:pPr>
      <w:r>
        <w:rPr>
          <w:rFonts w:ascii="Arial" w:cs="Arial" w:eastAsia="Arial" w:hAnsi="Arial"/>
          <w:sz w:val="39"/>
          <w:szCs w:val="39"/>
          <w:color w:val="auto"/>
          <w:vertAlign w:val="subscript"/>
        </w:rPr>
        <w:t>4(b)</w:t>
      </w:r>
      <w:r>
        <w:rPr>
          <w:rFonts w:ascii="Arial" w:cs="Arial" w:eastAsia="Arial" w:hAnsi="Arial"/>
          <w:sz w:val="20"/>
          <w:szCs w:val="20"/>
          <w:color w:val="auto"/>
        </w:rPr>
        <w:t xml:space="preserve"> Percent of class: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See Item 11 on the cover page(s) hereto.</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Number of shares as to which the person has:</w:t>
      </w:r>
    </w:p>
    <w:p>
      <w:pPr>
        <w:jc w:val="both"/>
        <w:ind w:left="540" w:right="7220" w:hanging="158"/>
        <w:spacing w:after="0" w:line="237" w:lineRule="auto"/>
        <w:tabs>
          <w:tab w:leader="none" w:pos="606" w:val="left"/>
        </w:tabs>
        <w:numPr>
          <w:ilvl w:val="0"/>
          <w:numId w:val="5"/>
        </w:numPr>
        <w:rPr>
          <w:rFonts w:ascii="Arial" w:cs="Arial" w:eastAsia="Arial" w:hAnsi="Arial"/>
          <w:sz w:val="19"/>
          <w:szCs w:val="19"/>
          <w:color w:val="auto"/>
        </w:rPr>
      </w:pPr>
      <w:r>
        <w:rPr>
          <w:rFonts w:ascii="Arial" w:cs="Arial" w:eastAsia="Arial" w:hAnsi="Arial"/>
          <w:sz w:val="19"/>
          <w:szCs w:val="19"/>
          <w:color w:val="auto"/>
        </w:rPr>
        <w:t>Sole power to vote or to direct the vote: See Item 5 on the cover page(s) hereto.</w:t>
      </w:r>
    </w:p>
    <w:p>
      <w:pPr>
        <w:ind w:right="6940" w:firstLine="382"/>
        <w:spacing w:after="0" w:line="237" w:lineRule="auto"/>
        <w:tabs>
          <w:tab w:leader="none" w:pos="657" w:val="left"/>
        </w:tabs>
        <w:numPr>
          <w:ilvl w:val="0"/>
          <w:numId w:val="5"/>
        </w:numPr>
        <w:rPr>
          <w:rFonts w:ascii="Arial" w:cs="Arial" w:eastAsia="Arial" w:hAnsi="Arial"/>
          <w:sz w:val="19"/>
          <w:szCs w:val="19"/>
          <w:color w:val="auto"/>
        </w:rPr>
      </w:pPr>
      <w:r>
        <w:rPr>
          <w:rFonts w:ascii="Arial" w:cs="Arial" w:eastAsia="Arial" w:hAnsi="Arial"/>
          <w:sz w:val="19"/>
          <w:szCs w:val="19"/>
          <w:color w:val="auto"/>
        </w:rPr>
        <w:t>Shared power to vote or to direct the vote: 4(c) See Item 6 on the cover page(s) hereto.</w:t>
      </w:r>
    </w:p>
    <w:p>
      <w:pPr>
        <w:ind w:left="540" w:right="6040" w:hanging="158"/>
        <w:spacing w:after="0" w:line="225" w:lineRule="auto"/>
        <w:tabs>
          <w:tab w:leader="none" w:pos="694"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See Item 7 on the cover page(s) hereto.</w:t>
      </w:r>
    </w:p>
    <w:p>
      <w:pPr>
        <w:ind w:left="540" w:right="5800" w:hanging="158"/>
        <w:spacing w:after="0" w:line="236" w:lineRule="auto"/>
        <w:tabs>
          <w:tab w:leader="none" w:pos="705"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See Item 8 on the cover page(s) hereto.</w:t>
      </w:r>
    </w:p>
    <w:p>
      <w:pPr>
        <w:spacing w:after="0" w:line="169" w:lineRule="exact"/>
        <w:rPr>
          <w:sz w:val="20"/>
          <w:szCs w:val="20"/>
          <w:color w:val="auto"/>
        </w:rPr>
      </w:pPr>
    </w:p>
    <w:p>
      <w:pPr>
        <w:ind w:left="380" w:right="6880" w:hanging="264"/>
        <w:spacing w:after="0"/>
        <w:tabs>
          <w:tab w:leader="none" w:pos="380" w:val="left"/>
        </w:tabs>
        <w:numPr>
          <w:ilvl w:val="0"/>
          <w:numId w:val="6"/>
        </w:numPr>
        <w:rPr>
          <w:rFonts w:ascii="Arial" w:cs="Arial" w:eastAsia="Arial" w:hAnsi="Arial"/>
          <w:sz w:val="35"/>
          <w:szCs w:val="35"/>
          <w:color w:val="auto"/>
          <w:vertAlign w:val="subscript"/>
        </w:rPr>
      </w:pPr>
      <w:r>
        <w:rPr>
          <w:rFonts w:ascii="Arial" w:cs="Arial" w:eastAsia="Arial" w:hAnsi="Arial"/>
          <w:sz w:val="18"/>
          <w:szCs w:val="18"/>
          <w:color w:val="auto"/>
        </w:rPr>
        <w:t>Ownership of Five Percent or Less of a Class: [ ]</w:t>
      </w:r>
    </w:p>
    <w:p>
      <w:pPr>
        <w:spacing w:after="0" w:line="204" w:lineRule="exact"/>
        <w:rPr>
          <w:rFonts w:ascii="Arial" w:cs="Arial" w:eastAsia="Arial" w:hAnsi="Arial"/>
          <w:sz w:val="35"/>
          <w:szCs w:val="35"/>
          <w:color w:val="auto"/>
          <w:vertAlign w:val="subscript"/>
        </w:rPr>
      </w:pPr>
    </w:p>
    <w:p>
      <w:pPr>
        <w:ind w:left="380"/>
        <w:spacing w:after="0"/>
        <w:rPr>
          <w:rFonts w:ascii="Arial" w:cs="Arial" w:eastAsia="Arial" w:hAnsi="Arial"/>
          <w:sz w:val="35"/>
          <w:szCs w:val="35"/>
          <w:color w:val="auto"/>
          <w:vertAlign w:val="subscript"/>
        </w:rPr>
      </w:pPr>
      <w:r>
        <w:rPr>
          <w:rFonts w:ascii="Arial" w:cs="Arial" w:eastAsia="Arial" w:hAnsi="Arial"/>
          <w:sz w:val="20"/>
          <w:szCs w:val="20"/>
          <w:color w:val="auto"/>
        </w:rPr>
        <w:t>Ownership of More than Five Percent on Behalf of Another Person.:</w:t>
      </w:r>
    </w:p>
    <w:p>
      <w:pPr>
        <w:ind w:left="380" w:right="100"/>
        <w:spacing w:after="0" w:line="229" w:lineRule="auto"/>
        <w:rPr>
          <w:sz w:val="20"/>
          <w:szCs w:val="20"/>
          <w:color w:val="auto"/>
        </w:rPr>
      </w:pPr>
      <w:r>
        <w:rPr>
          <w:rFonts w:ascii="Arial" w:cs="Arial" w:eastAsia="Arial" w:hAnsi="Arial"/>
          <w:sz w:val="19"/>
          <w:szCs w:val="19"/>
          <w:color w:val="auto"/>
        </w:rPr>
        <w:t>Securities reported on this Schedule 13G as being beneficially owned by OppenheimerFunds, Inc., are held in the accounts of investment advisory clients (which may include investment companies registered under the Investment Company Act of</w:t>
      </w:r>
    </w:p>
    <w:p>
      <w:pPr>
        <w:spacing w:after="0" w:line="15" w:lineRule="exact"/>
        <w:rPr>
          <w:sz w:val="20"/>
          <w:szCs w:val="20"/>
          <w:color w:val="auto"/>
        </w:rPr>
      </w:pPr>
    </w:p>
    <w:p>
      <w:pPr>
        <w:ind w:left="380" w:hanging="264"/>
        <w:spacing w:after="0" w:line="236" w:lineRule="auto"/>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1940, employee benefit plans, pension funds and other institutional clients) advised by OppenheimerFunds, Inc., directly and through its subsidiaries.</w:t>
      </w:r>
    </w:p>
    <w:p>
      <w:pPr>
        <w:spacing w:after="0" w:line="168" w:lineRule="exact"/>
        <w:rPr>
          <w:rFonts w:ascii="Arial" w:cs="Arial" w:eastAsia="Arial" w:hAnsi="Arial"/>
          <w:sz w:val="20"/>
          <w:szCs w:val="20"/>
          <w:color w:val="auto"/>
        </w:rPr>
      </w:pPr>
    </w:p>
    <w:p>
      <w:pPr>
        <w:ind w:left="380"/>
        <w:spacing w:after="0"/>
        <w:rPr>
          <w:rFonts w:ascii="Arial" w:cs="Arial" w:eastAsia="Arial" w:hAnsi="Arial"/>
          <w:sz w:val="20"/>
          <w:szCs w:val="20"/>
          <w:color w:val="auto"/>
        </w:rPr>
      </w:pPr>
      <w:r>
        <w:rPr>
          <w:rFonts w:ascii="Arial" w:cs="Arial" w:eastAsia="Arial" w:hAnsi="Arial"/>
          <w:sz w:val="20"/>
          <w:szCs w:val="20"/>
          <w:color w:val="auto"/>
        </w:rPr>
        <w:t>Not applicable.</w:t>
      </w:r>
    </w:p>
    <w:p>
      <w:pPr>
        <w:spacing w:after="0" w:line="161"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Identification and Classification of the Subsidiary Which Acquired the Security Being Reported on By the Parent Holding</w:t>
      </w:r>
    </w:p>
    <w:p>
      <w:pPr>
        <w:ind w:left="380" w:right="9580" w:hanging="264"/>
        <w:spacing w:after="0" w:line="236"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Company: Not applicable.</w:t>
      </w:r>
    </w:p>
    <w:p>
      <w:pPr>
        <w:spacing w:after="0" w:line="169" w:lineRule="exact"/>
        <w:rPr>
          <w:sz w:val="20"/>
          <w:szCs w:val="20"/>
          <w:color w:val="auto"/>
        </w:rPr>
      </w:pPr>
    </w:p>
    <w:p>
      <w:pPr>
        <w:ind w:left="380" w:right="5860" w:hanging="264"/>
        <w:spacing w:after="0" w:line="181" w:lineRule="auto"/>
        <w:tabs>
          <w:tab w:leader="none" w:pos="380" w:val="left"/>
        </w:tabs>
        <w:numPr>
          <w:ilvl w:val="0"/>
          <w:numId w:val="9"/>
        </w:numPr>
        <w:rPr>
          <w:rFonts w:ascii="Arial" w:cs="Arial" w:eastAsia="Arial" w:hAnsi="Arial"/>
          <w:sz w:val="34"/>
          <w:szCs w:val="34"/>
          <w:color w:val="auto"/>
          <w:vertAlign w:val="subscript"/>
        </w:rPr>
      </w:pPr>
      <w:r>
        <w:rPr>
          <w:rFonts w:ascii="Arial" w:cs="Arial" w:eastAsia="Arial" w:hAnsi="Arial"/>
          <w:sz w:val="18"/>
          <w:szCs w:val="18"/>
          <w:color w:val="auto"/>
        </w:rPr>
        <w:t>Identification and Classification of Members of the Group: Not applicable.</w:t>
      </w:r>
    </w:p>
    <w:p>
      <w:pPr>
        <w:sectPr>
          <w:pgSz w:w="11900" w:h="16838" w:orient="portrait"/>
          <w:cols w:equalWidth="0" w:num="1">
            <w:col w:w="11280"/>
          </w:cols>
          <w:pgMar w:left="280" w:top="135" w:right="339" w:bottom="0" w:gutter="0" w:footer="0" w:header="0"/>
        </w:sectPr>
      </w:pPr>
    </w:p>
    <w:bookmarkStart w:id="2" w:name="page3"/>
    <w:bookmarkEnd w:id="2"/>
    <w:p>
      <w:pPr>
        <w:ind w:left="420" w:right="8280" w:hanging="264"/>
        <w:spacing w:after="0" w:line="236" w:lineRule="auto"/>
        <w:tabs>
          <w:tab w:leader="none" w:pos="4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Notice of Dissolution of Group: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1200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200785"/>
                    </a:xfrm>
                    <a:prstGeom prst="rect">
                      <a:avLst/>
                    </a:prstGeom>
                    <a:noFill/>
                  </pic:spPr>
                </pic:pic>
              </a:graphicData>
            </a:graphic>
          </wp:anchor>
        </w:drawing>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Certification:</w:t>
      </w:r>
    </w:p>
    <w:p>
      <w:pPr>
        <w:ind w:left="420"/>
        <w:spacing w:after="0" w:line="23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w:t>
      </w:r>
    </w:p>
    <w:p>
      <w:pPr>
        <w:ind w:left="420" w:hanging="320"/>
        <w:spacing w:after="0" w:line="232" w:lineRule="auto"/>
        <w:tabs>
          <w:tab w:leader="none" w:pos="4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35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2/7/2018</w:t>
      </w:r>
    </w:p>
    <w:p>
      <w:pPr>
        <w:jc w:val="center"/>
        <w:ind w:right="-59"/>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 Mary Ann Picciotto</w:t>
      </w:r>
    </w:p>
    <w:p>
      <w:pPr>
        <w:jc w:val="center"/>
        <w:ind w:right="-5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Mary Ann Picciotto, Sr. Vice President and Chief Compliance Officer</w:t>
      </w:r>
    </w:p>
    <w:p>
      <w:pPr>
        <w:jc w:val="center"/>
        <w:ind w:right="-59"/>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If you have questions please contact Judith Gottlieb at 212-323-4858 or by email at jgottlieb@ofiglobal.com</w:t>
      </w:r>
    </w:p>
    <w:sectPr>
      <w:pgSz w:w="11900" w:h="16838" w:orient="portrait"/>
      <w:cols w:equalWidth="0" w:num="1">
        <w:col w:w="11380"/>
      </w:cols>
      <w:pgMar w:left="240" w:top="1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8"/>
      <w:numFmt w:val="bullet"/>
      <w:start w:val="1"/>
    </w:lvl>
  </w:abstractNum>
  <w:abstractNum w:abstractNumId="9">
    <w:nsid w:val="216231B"/>
    <w:multiLevelType w:val="hybridMultilevel"/>
    <w:lvl w:ilvl="0">
      <w:lvlJc w:val="left"/>
      <w:lvlText w:val="9"/>
      <w:numFmt w:val="bullet"/>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2019-12-08T09:04:39Z</dcterms:created>
  <dcterms:modified xsi:type="dcterms:W3CDTF">2019-12-08T09:04:39Z</dcterms:modified>
</cp:coreProperties>
</file>