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6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333-220736</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144145</wp:posOffset>
            </wp:positionV>
            <wp:extent cx="1543050" cy="728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7283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GasLog Partners LP</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Units Representing Limited Partner Interests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Having an Aggregate Offering Price of up to $250,000,000</w:t>
      </w:r>
    </w:p>
    <w:p>
      <w:pPr>
        <w:spacing w:after="0" w:line="201" w:lineRule="exact"/>
        <w:rPr>
          <w:sz w:val="24"/>
          <w:szCs w:val="24"/>
          <w:color w:val="auto"/>
        </w:rPr>
      </w:pPr>
    </w:p>
    <w:p>
      <w:pPr>
        <w:ind w:right="180" w:firstLine="348"/>
        <w:spacing w:after="0" w:line="288" w:lineRule="auto"/>
        <w:rPr>
          <w:sz w:val="20"/>
          <w:szCs w:val="20"/>
          <w:color w:val="auto"/>
        </w:rPr>
      </w:pPr>
      <w:r>
        <w:rPr>
          <w:rFonts w:ascii="Arial" w:cs="Arial" w:eastAsia="Arial" w:hAnsi="Arial"/>
          <w:sz w:val="16"/>
          <w:szCs w:val="16"/>
          <w:color w:val="auto"/>
        </w:rPr>
        <w:t>We have entered into a third amended and restated equity distribution agreement (the "Third Amended and Restated Equity Distribution Agreement") with Citigroup Global Markets Inc., Merrill Lynch, Pierce, Fenner &amp; Smith Incorporated, Credit Suisse Securities (USA) LLC, Morgan Stanley &amp; Co. LLC and UBS Securities LLC relating to the common units representing limited partner interests in GasLog Partners LP offered by this prospectus supplement and the accompanying prospectus. In accordance with the terms of the Third Amended and Restated Equity Distribution Agreement, we may offer and sell common units having an aggregate offering price of up to $250,000,000 from time to time through Citigroup Global Markets Inc., Merrill Lynch, Pierce, Fenner &amp; Smith Incorporated, Credit Suisse Securities (USA) LLC, Morgan Stanley &amp; Co. LLC and UBS Securities LLC as our sales agents. As of the date of this prospectus supplement, we have issued and sold common units having an aggregate offering price of $123,444,179, which means that we may sell common units having an aggregate offering price of up to $126,555,821.</w:t>
      </w:r>
    </w:p>
    <w:p>
      <w:pPr>
        <w:spacing w:after="0" w:line="178" w:lineRule="exact"/>
        <w:rPr>
          <w:sz w:val="24"/>
          <w:szCs w:val="24"/>
          <w:color w:val="auto"/>
        </w:rPr>
      </w:pPr>
    </w:p>
    <w:p>
      <w:pPr>
        <w:ind w:right="180" w:firstLine="351"/>
        <w:spacing w:after="0" w:line="268" w:lineRule="auto"/>
        <w:rPr>
          <w:sz w:val="20"/>
          <w:szCs w:val="20"/>
          <w:color w:val="auto"/>
        </w:rPr>
      </w:pPr>
      <w:r>
        <w:rPr>
          <w:rFonts w:ascii="Arial" w:cs="Arial" w:eastAsia="Arial" w:hAnsi="Arial"/>
          <w:sz w:val="18"/>
          <w:szCs w:val="18"/>
          <w:color w:val="auto"/>
        </w:rPr>
        <w:t>Sales of the common units, if any, will be made by means of ordinary brokers' transactions on the New York Stock Exchange, or the NYSE, at market prices, in block transactions, or as otherwise agreed upon by the sales agents and us.</w:t>
      </w:r>
    </w:p>
    <w:p>
      <w:pPr>
        <w:spacing w:after="0" w:line="186" w:lineRule="exact"/>
        <w:rPr>
          <w:sz w:val="24"/>
          <w:szCs w:val="24"/>
          <w:color w:val="auto"/>
        </w:rPr>
      </w:pPr>
    </w:p>
    <w:p>
      <w:pPr>
        <w:ind w:right="440" w:firstLine="348"/>
        <w:spacing w:after="0" w:line="268" w:lineRule="auto"/>
        <w:rPr>
          <w:sz w:val="20"/>
          <w:szCs w:val="20"/>
          <w:color w:val="auto"/>
        </w:rPr>
      </w:pPr>
      <w:r>
        <w:rPr>
          <w:rFonts w:ascii="Arial" w:cs="Arial" w:eastAsia="Arial" w:hAnsi="Arial"/>
          <w:sz w:val="18"/>
          <w:szCs w:val="18"/>
          <w:color w:val="auto"/>
        </w:rPr>
        <w:t>We will pay the sales agents a commission of up to 2.0% of the gross sales price per unit sold through them as sales agents under the Third Amended and Restated Equity Distribution Agreement.</w:t>
      </w:r>
    </w:p>
    <w:p>
      <w:pPr>
        <w:spacing w:after="0" w:line="186" w:lineRule="exact"/>
        <w:rPr>
          <w:sz w:val="24"/>
          <w:szCs w:val="24"/>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Under the terms of the Third Amended and Restated Equity Distribution Agreement, we also may sell common units to the sales agents as principals for their own account at a price agreed upon at the time of sale. If we sell common units to the sales agents as principals, we will enter into a separate terms agreement with the sales agents, and we will describe this agreement in a separate prospectus supplement or pricing supplement.</w:t>
      </w:r>
    </w:p>
    <w:p>
      <w:pPr>
        <w:spacing w:after="0" w:line="160" w:lineRule="exact"/>
        <w:rPr>
          <w:sz w:val="24"/>
          <w:szCs w:val="24"/>
          <w:color w:val="auto"/>
        </w:rPr>
      </w:pPr>
    </w:p>
    <w:p>
      <w:pPr>
        <w:ind w:right="40" w:firstLine="348"/>
        <w:spacing w:after="0" w:line="254" w:lineRule="auto"/>
        <w:rPr>
          <w:sz w:val="20"/>
          <w:szCs w:val="20"/>
          <w:color w:val="auto"/>
        </w:rPr>
      </w:pPr>
      <w:r>
        <w:rPr>
          <w:rFonts w:ascii="Arial" w:cs="Arial" w:eastAsia="Arial" w:hAnsi="Arial"/>
          <w:sz w:val="18"/>
          <w:szCs w:val="18"/>
          <w:color w:val="auto"/>
        </w:rPr>
        <w:t>The sales agents are not required to sell any specific number or dollar amount of our common units but will use their reasonable efforts, as our agents and subject to the terms of the Third Amended and Restated Equity Distribution Agreement, to sell the common units offered, as instructed by us. The offering of our common units pursuant to the Third Amended and Restated Equity Distribution Agreement will terminate upon the earlier of (1) the sale of all of the common units subject to the Third Amended and Restated Equity Distribution Agreement and (2) the termination of the Third Amended and Restated Equity Distribution Agreement by either the sales agents or us.</w:t>
      </w:r>
    </w:p>
    <w:p>
      <w:pPr>
        <w:spacing w:after="0" w:line="201"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units are listed on the New York Stock Exchange under the symbol "GLOP". The last reported sales price of our common units on the New York Stock Exchange on February 25, 2019 was $22.46.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123190</wp:posOffset>
            </wp:positionV>
            <wp:extent cx="185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right="60" w:firstLine="351"/>
        <w:spacing w:after="0" w:line="256" w:lineRule="auto"/>
        <w:rPr>
          <w:sz w:val="20"/>
          <w:szCs w:val="20"/>
          <w:color w:val="auto"/>
        </w:rPr>
      </w:pPr>
      <w:r>
        <w:rPr>
          <w:rFonts w:ascii="Arial" w:cs="Arial" w:eastAsia="Arial" w:hAnsi="Arial"/>
          <w:sz w:val="22"/>
          <w:szCs w:val="22"/>
          <w:b w:val="1"/>
          <w:bCs w:val="1"/>
          <w:color w:val="auto"/>
        </w:rPr>
        <w:t>Investing in our common units involves risks. Limited partnerships are inherently different from corporations. See "Risk Factors" beginning on page S-18 and page 8 of our Annual Report on Form 20-F.</w:t>
      </w:r>
    </w:p>
    <w:p>
      <w:pPr>
        <w:spacing w:after="0" w:line="181" w:lineRule="exact"/>
        <w:rPr>
          <w:sz w:val="24"/>
          <w:szCs w:val="24"/>
          <w:color w:val="auto"/>
        </w:rPr>
      </w:pPr>
    </w:p>
    <w:p>
      <w:pPr>
        <w:ind w:right="340" w:firstLine="351"/>
        <w:spacing w:after="0" w:line="331"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94615</wp:posOffset>
            </wp:positionV>
            <wp:extent cx="185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tabs>
          <w:tab w:leader="none" w:pos="2660" w:val="left"/>
          <w:tab w:leader="none" w:pos="6300" w:val="left"/>
          <w:tab w:leader="none" w:pos="7760" w:val="left"/>
          <w:tab w:leader="none" w:pos="9500" w:val="left"/>
        </w:tabs>
        <w:rPr>
          <w:sz w:val="20"/>
          <w:szCs w:val="20"/>
          <w:color w:val="auto"/>
        </w:rPr>
      </w:pP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Credit Suisse</w:t>
        <w:tab/>
        <w:t>Morgan Stanley</w:t>
      </w:r>
      <w:r>
        <w:rPr>
          <w:sz w:val="20"/>
          <w:szCs w:val="20"/>
          <w:color w:val="auto"/>
        </w:rPr>
        <w:tab/>
      </w:r>
      <w:r>
        <w:rPr>
          <w:rFonts w:ascii="Arial" w:cs="Arial" w:eastAsia="Arial" w:hAnsi="Arial"/>
          <w:sz w:val="19"/>
          <w:szCs w:val="19"/>
          <w:b w:val="1"/>
          <w:bCs w:val="1"/>
          <w:color w:val="auto"/>
        </w:rPr>
        <w:t>UBS Investment Bank</w:t>
      </w:r>
    </w:p>
    <w:p>
      <w:pPr>
        <w:sectPr>
          <w:pgSz w:w="11900" w:h="16838" w:orient="portrait"/>
          <w:cols w:equalWidth="0" w:num="1">
            <w:col w:w="11560"/>
          </w:cols>
          <w:pgMar w:left="160" w:top="605" w:right="179" w:bottom="1051" w:gutter="0" w:footer="0" w:header="0"/>
        </w:sect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February 26,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34187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605" w:right="179" w:bottom="1051" w:gutter="0" w:footer="0" w:header="0"/>
          <w:type w:val="continuous"/>
        </w:sectPr>
      </w:pPr>
    </w:p>
    <w:bookmarkStart w:id="1" w:name="page2"/>
    <w:bookmarkEnd w:id="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341870" cy="7794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41870" cy="7794625"/>
                    </a:xfrm>
                    <a:prstGeom prst="rect">
                      <a:avLst/>
                    </a:prstGeom>
                    <a:noFill/>
                  </pic:spPr>
                </pic:pic>
              </a:graphicData>
            </a:graphic>
          </wp:anchor>
        </w:drawing>
      </w:r>
    </w:p>
    <w:p>
      <w:pPr>
        <w:sectPr>
          <w:pgSz w:w="11900" w:h="16838" w:orient="portrait"/>
          <w:cols w:equalWidth="0" w:num="1">
            <w:col w:w="10299"/>
          </w:cols>
          <w:pgMar w:left="160" w:top="5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98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6"/>
        </w:trPr>
        <w:tc>
          <w:tcPr>
            <w:tcW w:w="1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9"/>
          </w:tcPr>
          <w:p>
            <w:pPr>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74"/>
        </w:trPr>
        <w:tc>
          <w:tcPr>
            <w:tcW w:w="1160" w:type="dxa"/>
            <w:vAlign w:val="bottom"/>
          </w:tcPr>
          <w:p>
            <w:pPr>
              <w:spacing w:after="0"/>
              <w:rPr>
                <w:sz w:val="24"/>
                <w:szCs w:val="24"/>
                <w:color w:val="auto"/>
              </w:rPr>
            </w:pPr>
          </w:p>
        </w:tc>
        <w:tc>
          <w:tcPr>
            <w:tcW w:w="6820" w:type="dxa"/>
            <w:vAlign w:val="bottom"/>
            <w:gridSpan w:val="27"/>
          </w:tcPr>
          <w:p>
            <w:pPr>
              <w:spacing w:after="0"/>
              <w:rPr>
                <w:sz w:val="20"/>
                <w:szCs w:val="20"/>
                <w:color w:val="auto"/>
              </w:rPr>
            </w:pPr>
            <w:r>
              <w:rPr>
                <w:rFonts w:ascii="Arial" w:cs="Arial" w:eastAsia="Arial" w:hAnsi="Arial"/>
                <w:sz w:val="18"/>
                <w:szCs w:val="18"/>
                <w:b w:val="1"/>
                <w:bCs w:val="1"/>
                <w:color w:val="auto"/>
              </w:rPr>
              <w:t>PROSPECTUS SUPPLEMENT</w:t>
            </w: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160" w:type="dxa"/>
            <w:vAlign w:val="bottom"/>
          </w:tcPr>
          <w:p>
            <w:pPr>
              <w:spacing w:after="0"/>
              <w:rPr>
                <w:sz w:val="15"/>
                <w:szCs w:val="15"/>
                <w:color w:val="auto"/>
              </w:rPr>
            </w:pPr>
          </w:p>
        </w:tc>
        <w:tc>
          <w:tcPr>
            <w:tcW w:w="3360" w:type="dxa"/>
            <w:vAlign w:val="bottom"/>
            <w:tcBorders>
              <w:bottom w:val="single" w:sz="8" w:color="0000EE"/>
            </w:tcBorders>
            <w:gridSpan w:val="17"/>
          </w:tcPr>
          <w:p>
            <w:pPr>
              <w:spacing w:after="0" w:line="184"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ABOUT THIS PROSPECTUS SUPPLEMENT</w:t>
              </w:r>
            </w:hyperlink>
          </w:p>
        </w:tc>
        <w:tc>
          <w:tcPr>
            <w:tcW w:w="3460" w:type="dxa"/>
            <w:vAlign w:val="bottom"/>
            <w:gridSpan w:val="10"/>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0000EE"/>
            </w:tcBorders>
            <w:gridSpan w:val="2"/>
          </w:tcPr>
          <w:p>
            <w:pPr>
              <w:jc w:val="right"/>
              <w:spacing w:after="0" w:line="184"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ii</w:t>
              </w:r>
            </w:hyperlink>
          </w:p>
        </w:tc>
      </w:tr>
      <w:tr>
        <w:trPr>
          <w:trHeight w:val="196"/>
        </w:trPr>
        <w:tc>
          <w:tcPr>
            <w:tcW w:w="1160" w:type="dxa"/>
            <w:vAlign w:val="bottom"/>
          </w:tcPr>
          <w:p>
            <w:pPr>
              <w:spacing w:after="0"/>
              <w:rPr>
                <w:sz w:val="17"/>
                <w:szCs w:val="17"/>
                <w:color w:val="auto"/>
              </w:rPr>
            </w:pPr>
          </w:p>
        </w:tc>
        <w:tc>
          <w:tcPr>
            <w:tcW w:w="6820" w:type="dxa"/>
            <w:vAlign w:val="bottom"/>
            <w:gridSpan w:val="2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gridSpan w:val="3"/>
          </w:tcPr>
          <w:p>
            <w:pPr>
              <w:jc w:val="right"/>
              <w:spacing w:after="0"/>
              <w:rPr>
                <w:rFonts w:ascii="Arial" w:cs="Arial" w:eastAsia="Arial" w:hAnsi="Arial"/>
                <w:sz w:val="14"/>
                <w:szCs w:val="14"/>
                <w:color w:val="0000EE"/>
                <w:w w:val="73"/>
              </w:rPr>
            </w:pPr>
            <w:hyperlink w:anchor="page5">
              <w:r>
                <w:rPr>
                  <w:rFonts w:ascii="Arial" w:cs="Arial" w:eastAsia="Arial" w:hAnsi="Arial"/>
                  <w:sz w:val="14"/>
                  <w:szCs w:val="14"/>
                  <w:color w:val="0000EE"/>
                  <w:w w:val="73"/>
                </w:rPr>
                <w:t>S-1</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820" w:type="dxa"/>
            <w:vAlign w:val="bottom"/>
            <w:gridSpan w:val="2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2420" w:type="dxa"/>
            <w:vAlign w:val="bottom"/>
            <w:gridSpan w:val="5"/>
          </w:tcPr>
          <w:p>
            <w:pPr>
              <w:jc w:val="right"/>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S-18</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820" w:type="dxa"/>
            <w:vAlign w:val="bottom"/>
            <w:gridSpan w:val="2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FORWARD-LOOKING STATEMENTS</w:t>
              </w:r>
            </w:hyperlink>
          </w:p>
        </w:tc>
        <w:tc>
          <w:tcPr>
            <w:tcW w:w="2420" w:type="dxa"/>
            <w:vAlign w:val="bottom"/>
            <w:gridSpan w:val="5"/>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S-19</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860" w:type="dxa"/>
            <w:vAlign w:val="bottom"/>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USE OF PROCEEDS</w:t>
              </w:r>
            </w:hyperlink>
          </w:p>
        </w:tc>
        <w:tc>
          <w:tcPr>
            <w:tcW w:w="3960" w:type="dxa"/>
            <w:vAlign w:val="bottom"/>
            <w:gridSpan w:val="14"/>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S-21</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820" w:type="dxa"/>
            <w:vAlign w:val="bottom"/>
            <w:gridSpan w:val="2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CASH AND CAPITALIZATION</w:t>
              </w:r>
            </w:hyperlink>
          </w:p>
        </w:tc>
        <w:tc>
          <w:tcPr>
            <w:tcW w:w="2420" w:type="dxa"/>
            <w:vAlign w:val="bottom"/>
            <w:gridSpan w:val="5"/>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S-22</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220" w:type="dxa"/>
            <w:vAlign w:val="bottom"/>
            <w:gridSpan w:val="15"/>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DESCRIPTION OF THE COMMON UNITS</w:t>
              </w:r>
            </w:hyperlink>
          </w:p>
        </w:tc>
        <w:tc>
          <w:tcPr>
            <w:tcW w:w="3600" w:type="dxa"/>
            <w:vAlign w:val="bottom"/>
            <w:gridSpan w:val="12"/>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S-23</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920" w:type="dxa"/>
            <w:vAlign w:val="bottom"/>
            <w:gridSpan w:val="19"/>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SUMMARY OF OUR PARTNERSHIP AGREEMENT</w:t>
              </w:r>
            </w:hyperlink>
          </w:p>
        </w:tc>
        <w:tc>
          <w:tcPr>
            <w:tcW w:w="2900" w:type="dxa"/>
            <w:vAlign w:val="bottom"/>
            <w:gridSpan w:val="8"/>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S-25</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220" w:type="dxa"/>
            <w:vAlign w:val="bottom"/>
            <w:gridSpan w:val="26"/>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OUR CASH DISTRIBUTION POLICY AND RESTRICTIONS ON DISTRIBUTIONS</w:t>
              </w:r>
            </w:hyperlink>
          </w:p>
        </w:tc>
        <w:tc>
          <w:tcPr>
            <w:tcW w:w="600" w:type="dxa"/>
            <w:vAlign w:val="bottom"/>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S-42</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60" w:type="dxa"/>
            <w:vAlign w:val="bottom"/>
            <w:gridSpan w:val="23"/>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MATERIAL U.S. FEDERAL INCOME TAX CONSIDERATIONS</w:t>
              </w:r>
            </w:hyperlink>
          </w:p>
        </w:tc>
        <w:tc>
          <w:tcPr>
            <w:tcW w:w="146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S-44</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700" w:type="dxa"/>
            <w:vAlign w:val="bottom"/>
            <w:gridSpan w:val="18"/>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NON-UNITED STATES TAX CONSIDERATIONS</w:t>
              </w:r>
            </w:hyperlink>
          </w:p>
        </w:tc>
        <w:tc>
          <w:tcPr>
            <w:tcW w:w="1060" w:type="dxa"/>
            <w:vAlign w:val="bottom"/>
            <w:gridSpan w:val="5"/>
          </w:tcPr>
          <w:p>
            <w:pPr>
              <w:spacing w:after="0"/>
              <w:rPr>
                <w:sz w:val="17"/>
                <w:szCs w:val="17"/>
                <w:color w:val="auto"/>
              </w:rPr>
            </w:pPr>
          </w:p>
        </w:tc>
        <w:tc>
          <w:tcPr>
            <w:tcW w:w="2060" w:type="dxa"/>
            <w:vAlign w:val="bottom"/>
            <w:gridSpan w:val="4"/>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S-53</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700" w:type="dxa"/>
            <w:vAlign w:val="bottom"/>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PLAN OF DISTRIBUTION</w:t>
              </w:r>
            </w:hyperlink>
          </w:p>
        </w:tc>
        <w:tc>
          <w:tcPr>
            <w:tcW w:w="3120" w:type="dxa"/>
            <w:vAlign w:val="bottom"/>
            <w:gridSpan w:val="9"/>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S-54</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000" w:type="dxa"/>
            <w:vAlign w:val="bottom"/>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LEGAL MATTERS</w:t>
              </w:r>
            </w:hyperlink>
          </w:p>
        </w:tc>
        <w:tc>
          <w:tcPr>
            <w:tcW w:w="4820" w:type="dxa"/>
            <w:vAlign w:val="bottom"/>
            <w:gridSpan w:val="19"/>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S-56</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60" w:type="dxa"/>
            <w:vAlign w:val="bottom"/>
            <w:gridSpan w:val="2"/>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EXPERTS</w:t>
              </w:r>
            </w:hyperlink>
          </w:p>
        </w:tc>
        <w:tc>
          <w:tcPr>
            <w:tcW w:w="660" w:type="dxa"/>
            <w:vAlign w:val="bottom"/>
            <w:gridSpan w:val="4"/>
          </w:tcPr>
          <w:p>
            <w:pPr>
              <w:spacing w:after="0"/>
              <w:rPr>
                <w:sz w:val="17"/>
                <w:szCs w:val="17"/>
                <w:color w:val="auto"/>
              </w:rPr>
            </w:pPr>
          </w:p>
        </w:tc>
        <w:tc>
          <w:tcPr>
            <w:tcW w:w="5400" w:type="dxa"/>
            <w:vAlign w:val="bottom"/>
            <w:gridSpan w:val="21"/>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S-56</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320" w:type="dxa"/>
            <w:vAlign w:val="bottom"/>
            <w:gridSpan w:val="16"/>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EXPENSES RELATED TO THIS OFFERING</w:t>
              </w:r>
            </w:hyperlink>
          </w:p>
        </w:tc>
        <w:tc>
          <w:tcPr>
            <w:tcW w:w="3500" w:type="dxa"/>
            <w:vAlign w:val="bottom"/>
            <w:gridSpan w:val="11"/>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S-56</w:t>
              </w:r>
            </w:hyperlink>
          </w:p>
        </w:tc>
      </w:tr>
      <w:tr>
        <w:trPr>
          <w:trHeight w:val="20"/>
        </w:trPr>
        <w:tc>
          <w:tcPr>
            <w:tcW w:w="116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320" w:type="dxa"/>
            <w:vAlign w:val="bottom"/>
            <w:gridSpan w:val="22"/>
          </w:tcPr>
          <w:p>
            <w:pPr>
              <w:spacing w:after="0" w:line="196"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WHERE YOU CAN FIND ADDITIONAL INFORMATION</w:t>
              </w:r>
            </w:hyperlink>
          </w:p>
        </w:tc>
        <w:tc>
          <w:tcPr>
            <w:tcW w:w="2500" w:type="dxa"/>
            <w:vAlign w:val="bottom"/>
            <w:gridSpan w:val="5"/>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S-56</w:t>
              </w:r>
            </w:hyperlink>
          </w:p>
        </w:tc>
      </w:tr>
      <w:tr>
        <w:trPr>
          <w:trHeight w:val="20"/>
        </w:trPr>
        <w:tc>
          <w:tcPr>
            <w:tcW w:w="116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060" w:type="dxa"/>
            <w:vAlign w:val="bottom"/>
            <w:gridSpan w:val="25"/>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INCORPORATION OF CERTAIN INFORMATION BY REFERENCE</w:t>
              </w:r>
            </w:hyperlink>
          </w:p>
        </w:tc>
        <w:tc>
          <w:tcPr>
            <w:tcW w:w="1760" w:type="dxa"/>
            <w:vAlign w:val="bottom"/>
            <w:gridSpan w:val="2"/>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S-57</w:t>
              </w:r>
            </w:hyperlink>
          </w:p>
        </w:tc>
      </w:tr>
      <w:tr>
        <w:trPr>
          <w:trHeight w:val="809"/>
        </w:trPr>
        <w:tc>
          <w:tcPr>
            <w:tcW w:w="1160" w:type="dxa"/>
            <w:vAlign w:val="bottom"/>
          </w:tcPr>
          <w:p>
            <w:pPr>
              <w:spacing w:after="0"/>
              <w:rPr>
                <w:sz w:val="24"/>
                <w:szCs w:val="24"/>
                <w:color w:val="auto"/>
              </w:rPr>
            </w:pPr>
          </w:p>
        </w:tc>
        <w:tc>
          <w:tcPr>
            <w:tcW w:w="5060" w:type="dxa"/>
            <w:vAlign w:val="bottom"/>
            <w:tcBorders>
              <w:top w:val="single" w:sz="8" w:color="0000EE"/>
            </w:tcBorders>
            <w:gridSpan w:val="25"/>
          </w:tcPr>
          <w:p>
            <w:pPr>
              <w:spacing w:after="0"/>
              <w:rPr>
                <w:sz w:val="20"/>
                <w:szCs w:val="20"/>
                <w:color w:val="auto"/>
              </w:rPr>
            </w:pPr>
            <w:r>
              <w:rPr>
                <w:rFonts w:ascii="Arial" w:cs="Arial" w:eastAsia="Arial" w:hAnsi="Arial"/>
                <w:sz w:val="18"/>
                <w:szCs w:val="18"/>
                <w:b w:val="1"/>
                <w:bCs w:val="1"/>
                <w:color w:val="auto"/>
              </w:rPr>
              <w:t>PROSPECTUS</w:t>
            </w:r>
          </w:p>
        </w:tc>
        <w:tc>
          <w:tcPr>
            <w:tcW w:w="1760" w:type="dxa"/>
            <w:vAlign w:val="bottom"/>
            <w:gridSpan w:val="2"/>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84"/>
        </w:trPr>
        <w:tc>
          <w:tcPr>
            <w:tcW w:w="1160" w:type="dxa"/>
            <w:vAlign w:val="bottom"/>
          </w:tcPr>
          <w:p>
            <w:pPr>
              <w:spacing w:after="0"/>
              <w:rPr>
                <w:sz w:val="15"/>
                <w:szCs w:val="15"/>
                <w:color w:val="auto"/>
              </w:rPr>
            </w:pPr>
          </w:p>
        </w:tc>
        <w:tc>
          <w:tcPr>
            <w:tcW w:w="6820" w:type="dxa"/>
            <w:vAlign w:val="bottom"/>
            <w:gridSpan w:val="27"/>
          </w:tcPr>
          <w:p>
            <w:pPr>
              <w:spacing w:after="0" w:line="184" w:lineRule="exact"/>
              <w:rPr>
                <w:rFonts w:ascii="Arial" w:cs="Arial" w:eastAsia="Arial" w:hAnsi="Arial"/>
                <w:sz w:val="18"/>
                <w:szCs w:val="18"/>
                <w:color w:val="0000EE"/>
              </w:rPr>
            </w:pPr>
            <w:hyperlink w:anchor="page64">
              <w:r>
                <w:rPr>
                  <w:rFonts w:ascii="Arial" w:cs="Arial" w:eastAsia="Arial" w:hAnsi="Arial"/>
                  <w:sz w:val="18"/>
                  <w:szCs w:val="18"/>
                  <w:color w:val="0000EE"/>
                </w:rPr>
                <w:t>FORWARD-LOOKING STATEMENTS</w:t>
              </w:r>
            </w:hyperlink>
          </w:p>
        </w:tc>
        <w:tc>
          <w:tcPr>
            <w:tcW w:w="2420" w:type="dxa"/>
            <w:vAlign w:val="bottom"/>
            <w:gridSpan w:val="5"/>
          </w:tcPr>
          <w:p>
            <w:pPr>
              <w:jc w:val="right"/>
              <w:spacing w:after="0" w:line="184" w:lineRule="exact"/>
              <w:rPr>
                <w:rFonts w:ascii="Arial" w:cs="Arial" w:eastAsia="Arial" w:hAnsi="Arial"/>
                <w:sz w:val="18"/>
                <w:szCs w:val="18"/>
                <w:color w:val="0000EE"/>
              </w:rPr>
            </w:pPr>
            <w:hyperlink w:anchor="page64">
              <w:r>
                <w:rPr>
                  <w:rFonts w:ascii="Arial" w:cs="Arial" w:eastAsia="Arial" w:hAnsi="Arial"/>
                  <w:sz w:val="18"/>
                  <w:szCs w:val="18"/>
                  <w:color w:val="0000EE"/>
                </w:rPr>
                <w:t>1</w:t>
              </w:r>
            </w:hyperlink>
          </w:p>
        </w:tc>
      </w:tr>
      <w:tr>
        <w:trPr>
          <w:trHeight w:val="20"/>
        </w:trPr>
        <w:tc>
          <w:tcPr>
            <w:tcW w:w="116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60" w:type="dxa"/>
            <w:vAlign w:val="bottom"/>
            <w:gridSpan w:val="5"/>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THE COMPANY</w:t>
              </w:r>
            </w:hyperlink>
          </w:p>
        </w:tc>
        <w:tc>
          <w:tcPr>
            <w:tcW w:w="1600" w:type="dxa"/>
            <w:vAlign w:val="bottom"/>
            <w:gridSpan w:val="8"/>
          </w:tcPr>
          <w:p>
            <w:pPr>
              <w:spacing w:after="0"/>
              <w:rPr>
                <w:sz w:val="17"/>
                <w:szCs w:val="17"/>
                <w:color w:val="auto"/>
              </w:rPr>
            </w:pPr>
          </w:p>
        </w:tc>
        <w:tc>
          <w:tcPr>
            <w:tcW w:w="3960" w:type="dxa"/>
            <w:vAlign w:val="bottom"/>
            <w:gridSpan w:val="14"/>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3</w:t>
              </w:r>
            </w:hyperlink>
          </w:p>
        </w:tc>
      </w:tr>
      <w:tr>
        <w:trPr>
          <w:trHeight w:val="20"/>
        </w:trPr>
        <w:tc>
          <w:tcPr>
            <w:tcW w:w="116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60" w:type="dxa"/>
            <w:vAlign w:val="bottom"/>
            <w:gridSpan w:val="5"/>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RISK FACTORS</w:t>
              </w:r>
            </w:hyperlink>
          </w:p>
        </w:tc>
        <w:tc>
          <w:tcPr>
            <w:tcW w:w="5560" w:type="dxa"/>
            <w:vAlign w:val="bottom"/>
            <w:gridSpan w:val="22"/>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5</w:t>
              </w:r>
            </w:hyperlink>
          </w:p>
        </w:tc>
      </w:tr>
      <w:tr>
        <w:trPr>
          <w:trHeight w:val="20"/>
        </w:trPr>
        <w:tc>
          <w:tcPr>
            <w:tcW w:w="116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880" w:type="dxa"/>
            <w:vAlign w:val="bottom"/>
            <w:gridSpan w:val="24"/>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SERVICE OF PROCESS AND ENFORCEMENT OF LIABILITIES</w:t>
              </w:r>
            </w:hyperlink>
          </w:p>
        </w:tc>
        <w:tc>
          <w:tcPr>
            <w:tcW w:w="1940" w:type="dxa"/>
            <w:vAlign w:val="bottom"/>
            <w:gridSpan w:val="3"/>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6</w:t>
              </w:r>
            </w:hyperlink>
          </w:p>
        </w:tc>
      </w:tr>
      <w:tr>
        <w:trPr>
          <w:trHeight w:val="20"/>
        </w:trPr>
        <w:tc>
          <w:tcPr>
            <w:tcW w:w="116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880" w:type="dxa"/>
            <w:vAlign w:val="bottom"/>
            <w:gridSpan w:val="2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ABOUT THIS PROSPECTUS</w:t>
              </w:r>
            </w:hyperlink>
          </w:p>
        </w:tc>
        <w:tc>
          <w:tcPr>
            <w:tcW w:w="1940" w:type="dxa"/>
            <w:vAlign w:val="bottom"/>
            <w:gridSpan w:val="3"/>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7</w:t>
              </w:r>
            </w:hyperlink>
          </w:p>
        </w:tc>
      </w:tr>
      <w:tr>
        <w:trPr>
          <w:trHeight w:val="20"/>
        </w:trPr>
        <w:tc>
          <w:tcPr>
            <w:tcW w:w="116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320" w:type="dxa"/>
            <w:vAlign w:val="bottom"/>
            <w:gridSpan w:val="22"/>
          </w:tcPr>
          <w:p>
            <w:pPr>
              <w:spacing w:after="0" w:line="196"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WHERE YOU CAN FIND ADDITIONAL INFORMATION</w:t>
              </w:r>
            </w:hyperlink>
          </w:p>
        </w:tc>
        <w:tc>
          <w:tcPr>
            <w:tcW w:w="2500" w:type="dxa"/>
            <w:vAlign w:val="bottom"/>
            <w:gridSpan w:val="5"/>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7</w:t>
              </w:r>
            </w:hyperlink>
          </w:p>
        </w:tc>
      </w:tr>
      <w:tr>
        <w:trPr>
          <w:trHeight w:val="20"/>
        </w:trPr>
        <w:tc>
          <w:tcPr>
            <w:tcW w:w="116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060" w:type="dxa"/>
            <w:vAlign w:val="bottom"/>
            <w:gridSpan w:val="25"/>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INCORPORATION OF CERTAIN INFORMATION BY REFERENCE</w:t>
              </w:r>
            </w:hyperlink>
          </w:p>
        </w:tc>
        <w:tc>
          <w:tcPr>
            <w:tcW w:w="1760" w:type="dxa"/>
            <w:vAlign w:val="bottom"/>
            <w:gridSpan w:val="2"/>
          </w:tcPr>
          <w:p>
            <w:pPr>
              <w:spacing w:after="0"/>
              <w:rPr>
                <w:sz w:val="17"/>
                <w:szCs w:val="17"/>
                <w:color w:val="auto"/>
              </w:rPr>
            </w:pPr>
          </w:p>
        </w:tc>
        <w:tc>
          <w:tcPr>
            <w:tcW w:w="2420" w:type="dxa"/>
            <w:vAlign w:val="bottom"/>
            <w:gridSpan w:val="5"/>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8</w:t>
              </w:r>
            </w:hyperlink>
          </w:p>
        </w:tc>
      </w:tr>
      <w:tr>
        <w:trPr>
          <w:trHeight w:val="20"/>
        </w:trPr>
        <w:tc>
          <w:tcPr>
            <w:tcW w:w="116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820" w:type="dxa"/>
            <w:vAlign w:val="bottom"/>
            <w:gridSpan w:val="27"/>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RATIO OF EARNINGS TO FIXED CHARGES AND PREFERENCE UNIT DISTRIBUTIONS</w:t>
              </w:r>
            </w:hyperlink>
          </w:p>
        </w:tc>
        <w:tc>
          <w:tcPr>
            <w:tcW w:w="2420" w:type="dxa"/>
            <w:vAlign w:val="bottom"/>
            <w:gridSpan w:val="5"/>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9</w:t>
              </w:r>
            </w:hyperlink>
          </w:p>
        </w:tc>
      </w:tr>
      <w:tr>
        <w:trPr>
          <w:trHeight w:val="20"/>
        </w:trPr>
        <w:tc>
          <w:tcPr>
            <w:tcW w:w="116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820" w:type="dxa"/>
            <w:vAlign w:val="bottom"/>
            <w:gridSpan w:val="2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USE OF PROCEEDS</w:t>
              </w:r>
            </w:hyperlink>
          </w:p>
        </w:tc>
        <w:tc>
          <w:tcPr>
            <w:tcW w:w="2420" w:type="dxa"/>
            <w:vAlign w:val="bottom"/>
            <w:gridSpan w:val="5"/>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10</w:t>
              </w:r>
            </w:hyperlink>
          </w:p>
        </w:tc>
      </w:tr>
      <w:tr>
        <w:trPr>
          <w:trHeight w:val="20"/>
        </w:trPr>
        <w:tc>
          <w:tcPr>
            <w:tcW w:w="116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820" w:type="dxa"/>
            <w:vAlign w:val="bottom"/>
            <w:gridSpan w:val="2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CAPITALIZATION AND INDEBTEDNESS</w:t>
              </w:r>
            </w:hyperlink>
          </w:p>
        </w:tc>
        <w:tc>
          <w:tcPr>
            <w:tcW w:w="2420" w:type="dxa"/>
            <w:vAlign w:val="bottom"/>
            <w:gridSpan w:val="5"/>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10</w:t>
              </w:r>
            </w:hyperlink>
          </w:p>
        </w:tc>
      </w:tr>
      <w:tr>
        <w:trPr>
          <w:trHeight w:val="196"/>
        </w:trPr>
        <w:tc>
          <w:tcPr>
            <w:tcW w:w="116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3"/>
              </w:rPr>
            </w:pPr>
            <w:hyperlink w:anchor="page73">
              <w:r>
                <w:rPr>
                  <w:rFonts w:ascii="Arial" w:cs="Arial" w:eastAsia="Arial" w:hAnsi="Arial"/>
                  <w:sz w:val="18"/>
                  <w:szCs w:val="18"/>
                  <w:color w:val="0000EE"/>
                  <w:w w:val="93"/>
                </w:rPr>
                <w:t>DESCRIPTION OF COMMON UNITS</w:t>
              </w:r>
            </w:hyperlink>
          </w:p>
        </w:tc>
        <w:tc>
          <w:tcPr>
            <w:tcW w:w="360" w:type="dxa"/>
            <w:vAlign w:val="bottom"/>
            <w:tcBorders>
              <w:top w:val="single" w:sz="8" w:color="0000EE"/>
            </w:tcBorders>
            <w:gridSpan w:val="2"/>
          </w:tcPr>
          <w:p>
            <w:pPr>
              <w:spacing w:after="0"/>
              <w:rPr>
                <w:sz w:val="17"/>
                <w:szCs w:val="17"/>
                <w:color w:val="auto"/>
              </w:rPr>
            </w:pPr>
          </w:p>
        </w:tc>
        <w:tc>
          <w:tcPr>
            <w:tcW w:w="3600" w:type="dxa"/>
            <w:vAlign w:val="bottom"/>
            <w:gridSpan w:val="12"/>
          </w:tcPr>
          <w:p>
            <w:pPr>
              <w:spacing w:after="0"/>
              <w:rPr>
                <w:sz w:val="17"/>
                <w:szCs w:val="17"/>
                <w:color w:val="auto"/>
              </w:rPr>
            </w:pPr>
          </w:p>
        </w:tc>
        <w:tc>
          <w:tcPr>
            <w:tcW w:w="2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10</w:t>
              </w:r>
            </w:hyperlink>
          </w:p>
        </w:tc>
      </w:tr>
      <w:tr>
        <w:trPr>
          <w:trHeight w:val="196"/>
        </w:trPr>
        <w:tc>
          <w:tcPr>
            <w:tcW w:w="1160" w:type="dxa"/>
            <w:vAlign w:val="bottom"/>
          </w:tcPr>
          <w:p>
            <w:pPr>
              <w:spacing w:after="0"/>
              <w:rPr>
                <w:sz w:val="17"/>
                <w:szCs w:val="17"/>
                <w:color w:val="auto"/>
              </w:rPr>
            </w:pPr>
          </w:p>
        </w:tc>
        <w:tc>
          <w:tcPr>
            <w:tcW w:w="39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DESCRIPTION OF SERIES A PREFERENCE UNITS</w:t>
              </w:r>
            </w:hyperlink>
          </w:p>
        </w:tc>
        <w:tc>
          <w:tcPr>
            <w:tcW w:w="2880" w:type="dxa"/>
            <w:vAlign w:val="bottom"/>
            <w:gridSpan w:val="7"/>
          </w:tcPr>
          <w:p>
            <w:pPr>
              <w:spacing w:after="0"/>
              <w:rPr>
                <w:sz w:val="17"/>
                <w:szCs w:val="17"/>
                <w:color w:val="auto"/>
              </w:rPr>
            </w:pPr>
          </w:p>
        </w:tc>
        <w:tc>
          <w:tcPr>
            <w:tcW w:w="22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10</w:t>
              </w:r>
            </w:hyperlink>
          </w:p>
        </w:tc>
      </w:tr>
      <w:tr>
        <w:trPr>
          <w:trHeight w:val="196"/>
        </w:trPr>
        <w:tc>
          <w:tcPr>
            <w:tcW w:w="1160" w:type="dxa"/>
            <w:vAlign w:val="bottom"/>
          </w:tcPr>
          <w:p>
            <w:pPr>
              <w:spacing w:after="0"/>
              <w:rPr>
                <w:sz w:val="17"/>
                <w:szCs w:val="17"/>
                <w:color w:val="auto"/>
              </w:rPr>
            </w:pPr>
          </w:p>
        </w:tc>
        <w:tc>
          <w:tcPr>
            <w:tcW w:w="40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DESCRIPTION OF THE OTHER CLASSES OF UNITS</w:t>
              </w:r>
            </w:hyperlink>
          </w:p>
        </w:tc>
        <w:tc>
          <w:tcPr>
            <w:tcW w:w="2760" w:type="dxa"/>
            <w:vAlign w:val="bottom"/>
            <w:gridSpan w:val="6"/>
          </w:tcPr>
          <w:p>
            <w:pPr>
              <w:spacing w:after="0"/>
              <w:rPr>
                <w:sz w:val="17"/>
                <w:szCs w:val="17"/>
                <w:color w:val="auto"/>
              </w:rPr>
            </w:pPr>
          </w:p>
        </w:tc>
        <w:tc>
          <w:tcPr>
            <w:tcW w:w="22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10</w:t>
              </w:r>
            </w:hyperlink>
          </w:p>
        </w:tc>
      </w:tr>
      <w:tr>
        <w:trPr>
          <w:trHeight w:val="196"/>
        </w:trPr>
        <w:tc>
          <w:tcPr>
            <w:tcW w:w="1160" w:type="dxa"/>
            <w:vAlign w:val="bottom"/>
          </w:tcPr>
          <w:p>
            <w:pPr>
              <w:spacing w:after="0"/>
              <w:rPr>
                <w:sz w:val="17"/>
                <w:szCs w:val="17"/>
                <w:color w:val="auto"/>
              </w:rPr>
            </w:pPr>
          </w:p>
        </w:tc>
        <w:tc>
          <w:tcPr>
            <w:tcW w:w="29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DESCRIPTION OF DEBT SECURITIES</w:t>
              </w:r>
            </w:hyperlink>
          </w:p>
        </w:tc>
        <w:tc>
          <w:tcPr>
            <w:tcW w:w="3860" w:type="dxa"/>
            <w:vAlign w:val="bottom"/>
            <w:gridSpan w:val="13"/>
          </w:tcPr>
          <w:p>
            <w:pPr>
              <w:spacing w:after="0"/>
              <w:rPr>
                <w:sz w:val="17"/>
                <w:szCs w:val="17"/>
                <w:color w:val="auto"/>
              </w:rPr>
            </w:pPr>
          </w:p>
        </w:tc>
        <w:tc>
          <w:tcPr>
            <w:tcW w:w="22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12</w:t>
              </w:r>
            </w:hyperlink>
          </w:p>
        </w:tc>
      </w:tr>
      <w:tr>
        <w:trPr>
          <w:trHeight w:val="196"/>
        </w:trPr>
        <w:tc>
          <w:tcPr>
            <w:tcW w:w="1160" w:type="dxa"/>
            <w:vAlign w:val="bottom"/>
          </w:tcPr>
          <w:p>
            <w:pPr>
              <w:spacing w:after="0"/>
              <w:rPr>
                <w:sz w:val="17"/>
                <w:szCs w:val="17"/>
                <w:color w:val="auto"/>
              </w:rPr>
            </w:pPr>
          </w:p>
        </w:tc>
        <w:tc>
          <w:tcPr>
            <w:tcW w:w="6820" w:type="dxa"/>
            <w:vAlign w:val="bottom"/>
            <w:gridSpan w:val="2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DESCRIPTION OF WARRANTS</w:t>
              </w:r>
            </w:hyperlink>
          </w:p>
        </w:tc>
        <w:tc>
          <w:tcPr>
            <w:tcW w:w="2420" w:type="dxa"/>
            <w:vAlign w:val="bottom"/>
            <w:gridSpan w:val="5"/>
          </w:tcPr>
          <w:p>
            <w:pPr>
              <w:jc w:val="right"/>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19</w:t>
              </w:r>
            </w:hyperlink>
          </w:p>
        </w:tc>
      </w:tr>
      <w:tr>
        <w:trPr>
          <w:trHeight w:val="196"/>
        </w:trPr>
        <w:tc>
          <w:tcPr>
            <w:tcW w:w="11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3"/>
          </w:tcPr>
          <w:p>
            <w:pPr>
              <w:spacing w:after="0"/>
              <w:rPr>
                <w:sz w:val="17"/>
                <w:szCs w:val="17"/>
                <w:color w:val="auto"/>
              </w:rPr>
            </w:pPr>
          </w:p>
        </w:tc>
        <w:tc>
          <w:tcPr>
            <w:tcW w:w="4400" w:type="dxa"/>
            <w:vAlign w:val="bottom"/>
            <w:gridSpan w:val="15"/>
          </w:tcPr>
          <w:p>
            <w:pPr>
              <w:spacing w:after="0"/>
              <w:rPr>
                <w:sz w:val="17"/>
                <w:szCs w:val="17"/>
                <w:color w:val="auto"/>
              </w:rPr>
            </w:pPr>
          </w:p>
        </w:tc>
        <w:tc>
          <w:tcPr>
            <w:tcW w:w="2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20</w:t>
              </w:r>
            </w:hyperlink>
          </w:p>
        </w:tc>
      </w:tr>
      <w:tr>
        <w:trPr>
          <w:trHeight w:val="196"/>
        </w:trPr>
        <w:tc>
          <w:tcPr>
            <w:tcW w:w="1160" w:type="dxa"/>
            <w:vAlign w:val="bottom"/>
          </w:tcPr>
          <w:p>
            <w:pPr>
              <w:spacing w:after="0"/>
              <w:rPr>
                <w:sz w:val="17"/>
                <w:szCs w:val="17"/>
                <w:color w:val="auto"/>
              </w:rPr>
            </w:pPr>
          </w:p>
        </w:tc>
        <w:tc>
          <w:tcPr>
            <w:tcW w:w="370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DESCRIPTION OF THE COMBINATION UNITS</w:t>
              </w:r>
            </w:hyperlink>
          </w:p>
        </w:tc>
        <w:tc>
          <w:tcPr>
            <w:tcW w:w="3120" w:type="dxa"/>
            <w:vAlign w:val="bottom"/>
            <w:gridSpan w:val="9"/>
          </w:tcPr>
          <w:p>
            <w:pPr>
              <w:spacing w:after="0"/>
              <w:rPr>
                <w:sz w:val="17"/>
                <w:szCs w:val="17"/>
                <w:color w:val="auto"/>
              </w:rPr>
            </w:pPr>
          </w:p>
        </w:tc>
        <w:tc>
          <w:tcPr>
            <w:tcW w:w="22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20</w:t>
              </w:r>
            </w:hyperlink>
          </w:p>
        </w:tc>
      </w:tr>
      <w:tr>
        <w:trPr>
          <w:trHeight w:val="196"/>
        </w:trPr>
        <w:tc>
          <w:tcPr>
            <w:tcW w:w="1160" w:type="dxa"/>
            <w:vAlign w:val="bottom"/>
          </w:tcPr>
          <w:p>
            <w:pPr>
              <w:spacing w:after="0"/>
              <w:rPr>
                <w:sz w:val="17"/>
                <w:szCs w:val="17"/>
                <w:color w:val="auto"/>
              </w:rPr>
            </w:pPr>
          </w:p>
        </w:tc>
        <w:tc>
          <w:tcPr>
            <w:tcW w:w="392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SUMMARY OF OUR PARTNERSHIP AGREEMENT</w:t>
              </w:r>
            </w:hyperlink>
          </w:p>
        </w:tc>
        <w:tc>
          <w:tcPr>
            <w:tcW w:w="2900" w:type="dxa"/>
            <w:vAlign w:val="bottom"/>
            <w:gridSpan w:val="8"/>
          </w:tcPr>
          <w:p>
            <w:pPr>
              <w:spacing w:after="0"/>
              <w:rPr>
                <w:sz w:val="17"/>
                <w:szCs w:val="17"/>
                <w:color w:val="auto"/>
              </w:rPr>
            </w:pPr>
          </w:p>
        </w:tc>
        <w:tc>
          <w:tcPr>
            <w:tcW w:w="22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21</w:t>
              </w:r>
            </w:hyperlink>
          </w:p>
        </w:tc>
      </w:tr>
      <w:tr>
        <w:trPr>
          <w:trHeight w:val="196"/>
        </w:trPr>
        <w:tc>
          <w:tcPr>
            <w:tcW w:w="1160" w:type="dxa"/>
            <w:vAlign w:val="bottom"/>
          </w:tcPr>
          <w:p>
            <w:pPr>
              <w:spacing w:after="0"/>
              <w:rPr>
                <w:sz w:val="17"/>
                <w:szCs w:val="17"/>
                <w:color w:val="auto"/>
              </w:rPr>
            </w:pPr>
          </w:p>
        </w:tc>
        <w:tc>
          <w:tcPr>
            <w:tcW w:w="622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99">
              <w:r>
                <w:rPr>
                  <w:rFonts w:ascii="Arial" w:cs="Arial" w:eastAsia="Arial" w:hAnsi="Arial"/>
                  <w:sz w:val="18"/>
                  <w:szCs w:val="18"/>
                  <w:color w:val="0000EE"/>
                  <w:w w:val="94"/>
                </w:rPr>
                <w:t>OUR CASH DISTRIBUTION POLICY AND RESTRICTIONS ON DISTRIBUTIONS</w:t>
              </w:r>
            </w:hyperlink>
          </w:p>
        </w:tc>
        <w:tc>
          <w:tcPr>
            <w:tcW w:w="600" w:type="dxa"/>
            <w:vAlign w:val="bottom"/>
          </w:tcPr>
          <w:p>
            <w:pPr>
              <w:spacing w:after="0"/>
              <w:rPr>
                <w:sz w:val="17"/>
                <w:szCs w:val="17"/>
                <w:color w:val="auto"/>
              </w:rPr>
            </w:pPr>
          </w:p>
        </w:tc>
        <w:tc>
          <w:tcPr>
            <w:tcW w:w="22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36</w:t>
              </w:r>
            </w:hyperlink>
          </w:p>
        </w:tc>
      </w:tr>
      <w:tr>
        <w:trPr>
          <w:trHeight w:val="196"/>
        </w:trPr>
        <w:tc>
          <w:tcPr>
            <w:tcW w:w="1160" w:type="dxa"/>
            <w:vAlign w:val="bottom"/>
          </w:tcPr>
          <w:p>
            <w:pPr>
              <w:spacing w:after="0"/>
              <w:rPr>
                <w:sz w:val="17"/>
                <w:szCs w:val="17"/>
                <w:color w:val="auto"/>
              </w:rPr>
            </w:pPr>
          </w:p>
        </w:tc>
        <w:tc>
          <w:tcPr>
            <w:tcW w:w="476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111">
              <w:r>
                <w:rPr>
                  <w:rFonts w:ascii="Arial" w:cs="Arial" w:eastAsia="Arial" w:hAnsi="Arial"/>
                  <w:sz w:val="18"/>
                  <w:szCs w:val="18"/>
                  <w:color w:val="0000EE"/>
                  <w:w w:val="94"/>
                </w:rPr>
                <w:t>MATERIAL U.S. FEDERAL INCOME TAX CONSIDERATIONS</w:t>
              </w:r>
            </w:hyperlink>
          </w:p>
        </w:tc>
        <w:tc>
          <w:tcPr>
            <w:tcW w:w="2060" w:type="dxa"/>
            <w:vAlign w:val="bottom"/>
            <w:gridSpan w:val="4"/>
          </w:tcPr>
          <w:p>
            <w:pPr>
              <w:spacing w:after="0"/>
              <w:rPr>
                <w:sz w:val="17"/>
                <w:szCs w:val="17"/>
                <w:color w:val="auto"/>
              </w:rPr>
            </w:pPr>
          </w:p>
        </w:tc>
        <w:tc>
          <w:tcPr>
            <w:tcW w:w="22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11">
              <w:r>
                <w:rPr>
                  <w:rFonts w:ascii="Arial" w:cs="Arial" w:eastAsia="Arial" w:hAnsi="Arial"/>
                  <w:sz w:val="18"/>
                  <w:szCs w:val="18"/>
                  <w:color w:val="0000EE"/>
                  <w:w w:val="79"/>
                </w:rPr>
                <w:t>48</w:t>
              </w:r>
            </w:hyperlink>
          </w:p>
        </w:tc>
      </w:tr>
      <w:tr>
        <w:trPr>
          <w:trHeight w:val="196"/>
        </w:trPr>
        <w:tc>
          <w:tcPr>
            <w:tcW w:w="1160" w:type="dxa"/>
            <w:vAlign w:val="bottom"/>
          </w:tcPr>
          <w:p>
            <w:pPr>
              <w:spacing w:after="0"/>
              <w:rPr>
                <w:sz w:val="17"/>
                <w:szCs w:val="17"/>
                <w:color w:val="auto"/>
              </w:rPr>
            </w:pPr>
          </w:p>
        </w:tc>
        <w:tc>
          <w:tcPr>
            <w:tcW w:w="37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NON-UNITED STATES TAX CONSIDERATIONS</w:t>
              </w:r>
            </w:hyperlink>
          </w:p>
        </w:tc>
        <w:tc>
          <w:tcPr>
            <w:tcW w:w="3120" w:type="dxa"/>
            <w:vAlign w:val="bottom"/>
            <w:gridSpan w:val="9"/>
          </w:tcPr>
          <w:p>
            <w:pPr>
              <w:spacing w:after="0"/>
              <w:rPr>
                <w:sz w:val="17"/>
                <w:szCs w:val="17"/>
                <w:color w:val="auto"/>
              </w:rPr>
            </w:pPr>
          </w:p>
        </w:tc>
        <w:tc>
          <w:tcPr>
            <w:tcW w:w="22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11">
              <w:r>
                <w:rPr>
                  <w:rFonts w:ascii="Arial" w:cs="Arial" w:eastAsia="Arial" w:hAnsi="Arial"/>
                  <w:sz w:val="18"/>
                  <w:szCs w:val="18"/>
                  <w:color w:val="0000EE"/>
                  <w:w w:val="79"/>
                </w:rPr>
                <w:t>48</w:t>
              </w:r>
            </w:hyperlink>
          </w:p>
        </w:tc>
      </w:tr>
      <w:tr>
        <w:trPr>
          <w:trHeight w:val="196"/>
        </w:trPr>
        <w:tc>
          <w:tcPr>
            <w:tcW w:w="1160" w:type="dxa"/>
            <w:vAlign w:val="bottom"/>
          </w:tcPr>
          <w:p>
            <w:pPr>
              <w:spacing w:after="0"/>
              <w:rPr>
                <w:sz w:val="17"/>
                <w:szCs w:val="17"/>
                <w:color w:val="auto"/>
              </w:rPr>
            </w:pPr>
          </w:p>
        </w:tc>
        <w:tc>
          <w:tcPr>
            <w:tcW w:w="6820" w:type="dxa"/>
            <w:vAlign w:val="bottom"/>
            <w:gridSpan w:val="27"/>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PLAN OF DISTRIBUTION</w:t>
              </w:r>
            </w:hyperlink>
          </w:p>
        </w:tc>
        <w:tc>
          <w:tcPr>
            <w:tcW w:w="2420" w:type="dxa"/>
            <w:vAlign w:val="bottom"/>
            <w:gridSpan w:val="5"/>
          </w:tcPr>
          <w:p>
            <w:pPr>
              <w:jc w:val="right"/>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48</w:t>
              </w:r>
            </w:hyperlink>
          </w:p>
        </w:tc>
      </w:tr>
      <w:tr>
        <w:trPr>
          <w:trHeight w:val="196"/>
        </w:trPr>
        <w:tc>
          <w:tcPr>
            <w:tcW w:w="11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EXPENSES</w:t>
              </w:r>
            </w:hyperlink>
          </w:p>
        </w:tc>
        <w:tc>
          <w:tcPr>
            <w:tcW w:w="1100" w:type="dxa"/>
            <w:vAlign w:val="bottom"/>
            <w:tcBorders>
              <w:top w:val="single" w:sz="8" w:color="0000EE"/>
            </w:tcBorders>
            <w:gridSpan w:val="5"/>
          </w:tcPr>
          <w:p>
            <w:pPr>
              <w:spacing w:after="0"/>
              <w:rPr>
                <w:sz w:val="17"/>
                <w:szCs w:val="17"/>
                <w:color w:val="auto"/>
              </w:rPr>
            </w:pPr>
          </w:p>
        </w:tc>
        <w:tc>
          <w:tcPr>
            <w:tcW w:w="4820" w:type="dxa"/>
            <w:vAlign w:val="bottom"/>
            <w:gridSpan w:val="19"/>
          </w:tcPr>
          <w:p>
            <w:pPr>
              <w:spacing w:after="0"/>
              <w:rPr>
                <w:sz w:val="17"/>
                <w:szCs w:val="17"/>
                <w:color w:val="auto"/>
              </w:rPr>
            </w:pPr>
          </w:p>
        </w:tc>
        <w:tc>
          <w:tcPr>
            <w:tcW w:w="2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13">
              <w:r>
                <w:rPr>
                  <w:rFonts w:ascii="Arial" w:cs="Arial" w:eastAsia="Arial" w:hAnsi="Arial"/>
                  <w:sz w:val="18"/>
                  <w:szCs w:val="18"/>
                  <w:color w:val="0000EE"/>
                  <w:w w:val="79"/>
                </w:rPr>
                <w:t>50</w:t>
              </w:r>
            </w:hyperlink>
          </w:p>
        </w:tc>
      </w:tr>
      <w:tr>
        <w:trPr>
          <w:trHeight w:val="196"/>
        </w:trPr>
        <w:tc>
          <w:tcPr>
            <w:tcW w:w="1160" w:type="dxa"/>
            <w:vAlign w:val="bottom"/>
          </w:tcPr>
          <w:p>
            <w:pPr>
              <w:spacing w:after="0"/>
              <w:rPr>
                <w:sz w:val="17"/>
                <w:szCs w:val="17"/>
                <w:color w:val="auto"/>
              </w:rPr>
            </w:pPr>
          </w:p>
        </w:tc>
        <w:tc>
          <w:tcPr>
            <w:tcW w:w="6820" w:type="dxa"/>
            <w:vAlign w:val="bottom"/>
            <w:gridSpan w:val="27"/>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LEGAL MATTERS</w:t>
              </w:r>
            </w:hyperlink>
          </w:p>
        </w:tc>
        <w:tc>
          <w:tcPr>
            <w:tcW w:w="2420" w:type="dxa"/>
            <w:vAlign w:val="bottom"/>
            <w:gridSpan w:val="5"/>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50</w:t>
              </w:r>
            </w:hyperlink>
          </w:p>
        </w:tc>
      </w:tr>
      <w:tr>
        <w:trPr>
          <w:trHeight w:val="196"/>
        </w:trPr>
        <w:tc>
          <w:tcPr>
            <w:tcW w:w="116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7"/>
                <w:szCs w:val="17"/>
                <w:color w:val="auto"/>
              </w:rPr>
            </w:pPr>
          </w:p>
        </w:tc>
        <w:tc>
          <w:tcPr>
            <w:tcW w:w="5400" w:type="dxa"/>
            <w:vAlign w:val="bottom"/>
            <w:gridSpan w:val="21"/>
          </w:tcPr>
          <w:p>
            <w:pPr>
              <w:spacing w:after="0"/>
              <w:rPr>
                <w:sz w:val="17"/>
                <w:szCs w:val="17"/>
                <w:color w:val="auto"/>
              </w:rPr>
            </w:pPr>
          </w:p>
        </w:tc>
        <w:tc>
          <w:tcPr>
            <w:tcW w:w="2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13">
              <w:r>
                <w:rPr>
                  <w:rFonts w:ascii="Arial" w:cs="Arial" w:eastAsia="Arial" w:hAnsi="Arial"/>
                  <w:sz w:val="18"/>
                  <w:szCs w:val="18"/>
                  <w:color w:val="0000EE"/>
                  <w:w w:val="79"/>
                </w:rPr>
                <w:t>50</w:t>
              </w:r>
            </w:hyperlink>
          </w:p>
        </w:tc>
      </w:tr>
    </w:tbl>
    <w:p>
      <w:pPr>
        <w:spacing w:after="0" w:line="23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400"/>
          </w:cols>
          <w:pgMar w:left="160" w:top="28" w:right="1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of Certain Information by Reference". To the extent the description of our securities in this prospectus supplement differs from the description of our securities in the accompanying prospectus, you should rely on the information in this prospectus supplement.</w:t>
      </w:r>
    </w:p>
    <w:p>
      <w:pPr>
        <w:spacing w:after="0" w:line="198" w:lineRule="exact"/>
        <w:rPr>
          <w:sz w:val="20"/>
          <w:szCs w:val="20"/>
          <w:color w:val="auto"/>
        </w:rPr>
      </w:pPr>
    </w:p>
    <w:p>
      <w:pPr>
        <w:ind w:firstLine="344"/>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341870" cy="808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41870"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20" w:firstLine="351"/>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and accompanying prospectus. You should read "Risk Factors" beginning on page S-18 of this prospectus supplement and beginning on page 8 of our Annual Report on Form 20-F filed with the Securities and Exchange Commission ("SEC") on February 26, 2019 ("Annual Report on Form 20-F").</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 this prospectus supplement, unless otherwise indicated, references to:</w:t>
      </w:r>
    </w:p>
    <w:p>
      <w:pPr>
        <w:spacing w:after="0" w:line="225"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"GasLog Partners", the "Partnership", "we", "our", "us" or similar terms refer to GasLog Partners LP or any one or more of its subsidiaries, or</w:t>
      </w:r>
    </w:p>
    <w:p>
      <w:pPr>
        <w:spacing w:after="0" w:line="4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 all such entities unless the context otherwise indicates;</w:t>
      </w:r>
    </w:p>
    <w:p>
      <w:pPr>
        <w:spacing w:after="0" w:line="21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"GasLog", depending on the context, refers to GasLog Ltd. and to any one or more of its direct and indirect subsidiaries, other than GasLog</w:t>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Partners;</w:t>
      </w:r>
    </w:p>
    <w:p>
      <w:pPr>
        <w:spacing w:after="0" w:line="21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"our general partner" refers to GasLog Partners GP LLC, the general partner of GasLog Partners and a wholly owned subsidiary of GasLog;</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"GasLog LNG Services" refers to GasLog LNG Services Ltd., a wholly owned subsidiary of GasLog;</w:t>
      </w:r>
    </w:p>
    <w:p>
      <w:pPr>
        <w:spacing w:after="0" w:line="252"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"Shell" refers to Royal Dutch Shell plc or any one or more of its subsidiaries;</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"Samsung" refers to Samsung Heavy Industries Co., Ltd. or any one or more of its subsidiaries;</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"Centrica" refers to Pioneer Shipping Limited, a wholly owned subsidiary of Centrica plc;</w:t>
      </w:r>
    </w:p>
    <w:p>
      <w:pPr>
        <w:spacing w:after="0" w:line="252"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"Cheniere" refers to Cheniere Marketing International LLP, a wholly owned subsidiary of Cheniere Energy, Inc.;</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"Trafigura" refers to Trafigura Maritime Logistics PTE Ltd.;</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"Mitsui" refers to Mitsui Co., Ltd. and "Lepta Shipping" refers to Lepta Shipping Co., Ltd., a subsidiary of Mitsui;</w:t>
      </w:r>
    </w:p>
    <w:p>
      <w:pPr>
        <w:spacing w:after="0" w:line="252"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"omnibus agreement" refers to the Omnibus Agreement dated May 12, 2014, by and among the Partnership, GasLog, our general partner and</w:t>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GasLog Partners Holdings LLC, as amended;</w:t>
      </w:r>
    </w:p>
    <w:p>
      <w:pPr>
        <w:spacing w:after="0" w:line="21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"Series A Preference Units" refers to our 8.625% Series A Cumulative Redeemable Perpetual Fixed to Floating Rate Preference Units;</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"Series B Preference Units" refers to our 8.200% Series B Cumulative Redeemable Perpetual Fixed to Floating Rate Preference Units;</w:t>
      </w:r>
    </w:p>
    <w:p>
      <w:pPr>
        <w:spacing w:after="0" w:line="252"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"Series C Preference Units" refers to our 8.500% Series C Cumulative Redeemable Perpetual Fixed to Floating Rate Preference Units;</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"Preference Units" refers to our Series A Preference Units, our Series B Preference Units and our Series C Preference Units;</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"LNG" refers to liquefied natural gas;</w:t>
      </w:r>
    </w:p>
    <w:p>
      <w:pPr>
        <w:spacing w:after="0" w:line="252"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"SEC" refers to the U.S. Securities and Exchange Commission;</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"NYSE" refers to the New York Stock Exchange;</w:t>
      </w:r>
    </w:p>
    <w:p>
      <w:pPr>
        <w:spacing w:after="0" w:line="252"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"IPO" refers to the initial public offering of GasLog Partners on May 12, 2014;</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"IFRS" refers to International Financial Reporting Standards;</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"IASB" refers to International Accounting Standards Board;</w:t>
      </w:r>
    </w:p>
    <w:p>
      <w:pPr>
        <w:sectPr>
          <w:pgSz w:w="11900" w:h="16838" w:orient="portrait"/>
          <w:cols w:equalWidth="0" w:num="1">
            <w:col w:w="11280"/>
          </w:cols>
          <w:pgMar w:left="160" w:top="5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34187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280"/>
          </w:cols>
          <w:pgMar w:left="160" w:top="51" w:right="4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1864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41870" cy="186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"dollars" and "$" refer to, and amounts are presented in, U.S. dollars;</w:t>
      </w:r>
    </w:p>
    <w:p>
      <w:pPr>
        <w:spacing w:after="0" w:line="252"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"TFDE" refers to tri-fuel diesel electric engine propulsion;</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"LP-2S" refers to low pressure dual fuel two-stroke engine propulsion;</w:t>
      </w:r>
    </w:p>
    <w:p>
      <w:pPr>
        <w:spacing w:after="0" w:line="239"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"Steam" refers to steam turbine propulsion; and</w:t>
      </w:r>
    </w:p>
    <w:p>
      <w:pPr>
        <w:spacing w:after="0" w:line="252"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"cbm" refers to cubic meters.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0299"/>
          </w:cols>
          <w:pgMar w:left="160" w:top="51"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341870" cy="510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41870" cy="510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firstLine="348"/>
        <w:spacing w:after="0" w:line="294" w:lineRule="auto"/>
        <w:rPr>
          <w:sz w:val="20"/>
          <w:szCs w:val="20"/>
          <w:color w:val="auto"/>
        </w:rPr>
      </w:pPr>
      <w:r>
        <w:rPr>
          <w:rFonts w:ascii="Arial" w:cs="Arial" w:eastAsia="Arial" w:hAnsi="Arial"/>
          <w:sz w:val="16"/>
          <w:szCs w:val="16"/>
          <w:color w:val="auto"/>
        </w:rPr>
        <w:t>We are a growth-oriented limited partnership focused on owning, operating and acquiring LNG carriers engaged in LNG transportation under multi-year charters. Our fleet of 14 LNG carriers, which have fixed charter terms expiring between 2019 and 2026, except for one which is operating in the spot market, were contributed to us by, or acquired by us from, GasLog, which controls us through its ownership of our general partner. The charters on two of our vessels expire in 2019, one of which will begin a new one-year time charter with Trafigura, and five further charters will expire in 2020. On redelivery, the vessels may operate in the short-term spot market until we secure new long-term time charters.</w:t>
      </w:r>
    </w:p>
    <w:p>
      <w:pPr>
        <w:spacing w:after="0" w:line="169" w:lineRule="exact"/>
        <w:rPr>
          <w:sz w:val="20"/>
          <w:szCs w:val="20"/>
          <w:color w:val="auto"/>
        </w:rPr>
      </w:pPr>
    </w:p>
    <w:p>
      <w:pPr>
        <w:ind w:left="240" w:right="180" w:firstLine="351"/>
        <w:spacing w:after="0" w:line="335" w:lineRule="auto"/>
        <w:rPr>
          <w:sz w:val="20"/>
          <w:szCs w:val="20"/>
          <w:color w:val="auto"/>
        </w:rPr>
      </w:pPr>
      <w:r>
        <w:rPr>
          <w:rFonts w:ascii="Arial" w:cs="Arial" w:eastAsia="Arial" w:hAnsi="Arial"/>
          <w:sz w:val="15"/>
          <w:szCs w:val="15"/>
          <w:color w:val="auto"/>
        </w:rPr>
        <w:t>Our fleet consists of 14 LNG carriers, including nine vessels with modern TFDE propulsion technology and five modern Steam vessels. We also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operate our vessels mainly under multi-year charters with fixed-fee contracts that generate predictable cash flows during the life of these charters.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One of our vessels currently operates in the spot market through the Cool Pool, an LNG carrier pooling arrangement operated by GasLog and Golar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LNG Ltd. (the "Cool Pool"). We intend to grow our fleet through further acquisitions of LNG carriers from GasLog and third parties. However, we cannot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assure you that we will make any particular acquisition or that, as a consequence, we will successfully grow our per common unit distributions. Among other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things, our ability to acquire additional LNG carriers will be dependent upon our ability to raise additional equity and debt financing. For further discussion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of the risks that we face, please see "Risk Factors" beginning on page S-18 and please read "Item 3. Key Informationâ€”D. Risk Factors" of our Annual</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Report on Form 20-F.</w:t>
      </w:r>
    </w:p>
    <w:p>
      <w:pPr>
        <w:spacing w:after="0" w:line="219" w:lineRule="exact"/>
        <w:rPr>
          <w:sz w:val="20"/>
          <w:szCs w:val="20"/>
          <w:color w:val="auto"/>
        </w:rPr>
      </w:pPr>
    </w:p>
    <w:p>
      <w:pPr>
        <w:ind w:left="240" w:firstLine="348"/>
        <w:spacing w:after="0" w:line="287" w:lineRule="auto"/>
        <w:rPr>
          <w:sz w:val="20"/>
          <w:szCs w:val="20"/>
          <w:color w:val="auto"/>
        </w:rPr>
      </w:pPr>
      <w:r>
        <w:rPr>
          <w:rFonts w:ascii="Arial" w:cs="Arial" w:eastAsia="Arial" w:hAnsi="Arial"/>
          <w:sz w:val="16"/>
          <w:szCs w:val="16"/>
          <w:color w:val="auto"/>
        </w:rPr>
        <w:t>We are controlled by GasLog, which currently holds a 27.5% interest (including the 2% interest through general partner units) in us (before giving effect to this offering), and owns and controls our general partner. GasLog is, we believe, a leading independent international owner, operator and manager of LNG carriers which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symbol "GLOG". At the time of its initial public offering, GasLog's wholly owned fleet consisted of ten LNG carriers, including eight newbuildings on order. Since its initial public offering, GasLog has increased by approximately 118% the total carrying capacity of vessels in its fleet, which includes vessels on the water and newbuildings on order. As of February 26, 2019, GasLog's wholly owned fleet includes 20 LNG carriers (including 11 ships in operation and nine LNG carriers on order from Samsung) and GasLog has one LNG carrier operating under its technical management for third parties, and a vessel secured under a long-term bareboat charter from Lepta Shipping, a subsidiary of Mitsui. See "â€”Our Fleet" and "â€”Additional Vessels".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300"/>
          </w:cols>
          <w:pgMar w:left="160" w:top="51" w:right="43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341870" cy="8173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41870" cy="8173720"/>
                    </a:xfrm>
                    <a:prstGeom prst="rect">
                      <a:avLst/>
                    </a:prstGeom>
                    <a:noFill/>
                  </pic:spPr>
                </pic:pic>
              </a:graphicData>
            </a:graphic>
          </wp:anchor>
        </w:drawing>
      </w:r>
    </w:p>
    <w:p>
      <w:pPr>
        <w:sectPr>
          <w:pgSz w:w="11900" w:h="16838" w:orient="portrait"/>
          <w:cols w:equalWidth="0" w:num="1">
            <w:col w:w="11300"/>
          </w:cols>
          <w:pgMar w:left="160" w:top="5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information about our fleet as of February 26, 2019:</w:t>
      </w:r>
    </w:p>
    <w:p>
      <w:pPr>
        <w:spacing w:after="0" w:line="220" w:lineRule="exact"/>
        <w:rPr>
          <w:sz w:val="20"/>
          <w:szCs w:val="20"/>
          <w:color w:val="auto"/>
        </w:rPr>
      </w:pPr>
    </w:p>
    <w:tbl>
      <w:tblPr>
        <w:tblLayout w:type="fixed"/>
        <w:tblInd w:w="134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Cargo</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Capacity</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Charter</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40" w:type="dxa"/>
            <w:vAlign w:val="bottom"/>
            <w:gridSpan w:val="3"/>
          </w:tcPr>
          <w:p>
            <w:pPr>
              <w:ind w:left="20"/>
              <w:spacing w:after="0"/>
              <w:rPr>
                <w:sz w:val="20"/>
                <w:szCs w:val="20"/>
                <w:color w:val="auto"/>
              </w:rPr>
            </w:pPr>
            <w:r>
              <w:rPr>
                <w:rFonts w:ascii="Arial" w:cs="Arial" w:eastAsia="Arial" w:hAnsi="Arial"/>
                <w:sz w:val="13"/>
                <w:szCs w:val="13"/>
                <w:b w:val="1"/>
                <w:bCs w:val="1"/>
                <w:color w:val="auto"/>
              </w:rPr>
              <w:t>LNG Carrier</w:t>
            </w: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Year Built</w:t>
            </w:r>
          </w:p>
        </w:tc>
        <w:tc>
          <w:tcPr>
            <w:tcW w:w="160" w:type="dxa"/>
            <w:vAlign w:val="bottom"/>
          </w:tcPr>
          <w:p>
            <w:pPr>
              <w:spacing w:after="0"/>
              <w:rPr>
                <w:sz w:val="15"/>
                <w:szCs w:val="15"/>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(cbm)</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Charterer</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Propulsion</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Expiration</w:t>
            </w:r>
          </w:p>
        </w:tc>
        <w:tc>
          <w:tcPr>
            <w:tcW w:w="160" w:type="dxa"/>
            <w:vAlign w:val="bottom"/>
          </w:tcPr>
          <w:p>
            <w:pPr>
              <w:spacing w:after="0"/>
              <w:rPr>
                <w:sz w:val="15"/>
                <w:szCs w:val="15"/>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Optional Period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w w:val="86"/>
              </w:rPr>
              <w:t xml:space="preserve">1 </w:t>
            </w:r>
            <w:r>
              <w:rPr>
                <w:rFonts w:ascii="Arial" w:cs="Arial" w:eastAsia="Arial" w:hAnsi="Arial"/>
                <w:sz w:val="18"/>
                <w:szCs w:val="18"/>
                <w:i w:val="1"/>
                <w:iCs w:val="1"/>
                <w:color w:val="auto"/>
                <w:w w:val="86"/>
              </w:rPr>
              <w:t>Methane</w:t>
            </w:r>
          </w:p>
        </w:tc>
        <w:tc>
          <w:tcPr>
            <w:tcW w:w="2260" w:type="dxa"/>
            <w:vAlign w:val="bottom"/>
            <w:tcBorders>
              <w:top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i w:val="1"/>
                <w:iCs w:val="1"/>
                <w:color w:val="auto"/>
              </w:rPr>
              <w:t>Rita Andrea</w:t>
            </w:r>
          </w:p>
        </w:tc>
        <w:tc>
          <w:tcPr>
            <w:tcW w:w="840" w:type="dxa"/>
            <w:vAlign w:val="bottom"/>
            <w:tcBorders>
              <w:top w:val="single" w:sz="8" w:color="CCEEFF"/>
            </w:tcBorders>
            <w:shd w:val="clear" w:color="auto" w:fill="CCEEFF"/>
          </w:tcPr>
          <w:p>
            <w:pPr>
              <w:jc w:val="center"/>
              <w:ind w:left="14"/>
              <w:spacing w:after="0" w:line="189" w:lineRule="exact"/>
              <w:rPr>
                <w:sz w:val="20"/>
                <w:szCs w:val="20"/>
                <w:color w:val="auto"/>
              </w:rPr>
            </w:pPr>
            <w:r>
              <w:rPr>
                <w:rFonts w:ascii="Arial" w:cs="Arial" w:eastAsia="Arial" w:hAnsi="Arial"/>
                <w:sz w:val="18"/>
                <w:szCs w:val="18"/>
                <w:color w:val="auto"/>
                <w:w w:val="84"/>
              </w:rPr>
              <w:t>2006</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gridSpan w:val="2"/>
            <w:shd w:val="clear" w:color="auto" w:fill="CCEEFF"/>
          </w:tcPr>
          <w:p>
            <w:pPr>
              <w:ind w:left="100"/>
              <w:spacing w:after="0" w:line="189" w:lineRule="exact"/>
              <w:rPr>
                <w:sz w:val="20"/>
                <w:szCs w:val="20"/>
                <w:color w:val="auto"/>
              </w:rPr>
            </w:pPr>
            <w:r>
              <w:rPr>
                <w:rFonts w:ascii="Arial" w:cs="Arial" w:eastAsia="Arial" w:hAnsi="Arial"/>
                <w:sz w:val="18"/>
                <w:szCs w:val="18"/>
                <w:color w:val="auto"/>
              </w:rPr>
              <w:t>145,000</w:t>
            </w:r>
          </w:p>
        </w:tc>
        <w:tc>
          <w:tcPr>
            <w:tcW w:w="980" w:type="dxa"/>
            <w:vAlign w:val="bottom"/>
            <w:tcBorders>
              <w:top w:val="single" w:sz="8" w:color="CCEEFF"/>
            </w:tcBorders>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89"/>
              </w:rPr>
              <w:t>Shell</w:t>
            </w:r>
          </w:p>
        </w:tc>
        <w:tc>
          <w:tcPr>
            <w:tcW w:w="7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4"/>
              </w:rPr>
              <w:t>Steam</w:t>
            </w: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April 2020</w:t>
            </w:r>
          </w:p>
        </w:tc>
        <w:tc>
          <w:tcPr>
            <w:tcW w:w="1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gridSpan w:val="2"/>
            <w:shd w:val="clear" w:color="auto" w:fill="CCEEFF"/>
          </w:tcPr>
          <w:p>
            <w:pPr>
              <w:jc w:val="center"/>
              <w:ind w:right="60"/>
              <w:spacing w:after="0" w:line="189" w:lineRule="exact"/>
              <w:rPr>
                <w:sz w:val="20"/>
                <w:szCs w:val="20"/>
                <w:color w:val="auto"/>
              </w:rPr>
            </w:pPr>
            <w:r>
              <w:rPr>
                <w:rFonts w:ascii="Arial" w:cs="Arial" w:eastAsia="Arial" w:hAnsi="Arial"/>
                <w:sz w:val="18"/>
                <w:szCs w:val="18"/>
                <w:color w:val="auto"/>
                <w:w w:val="92"/>
              </w:rPr>
              <w:t>â€”</w:t>
            </w: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October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040" w:type="dxa"/>
            <w:vAlign w:val="bottom"/>
            <w:gridSpan w:val="3"/>
          </w:tcPr>
          <w:p>
            <w:pPr>
              <w:ind w:left="2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i w:val="1"/>
                <w:iCs w:val="1"/>
                <w:color w:val="auto"/>
              </w:rPr>
              <w:t>Methane Jane Elizabeth</w:t>
            </w: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2006</w:t>
            </w:r>
          </w:p>
        </w:tc>
        <w:tc>
          <w:tcPr>
            <w:tcW w:w="160" w:type="dxa"/>
            <w:vAlign w:val="bottom"/>
          </w:tcPr>
          <w:p>
            <w:pPr>
              <w:spacing w:after="0"/>
              <w:rPr>
                <w:sz w:val="22"/>
                <w:szCs w:val="22"/>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145,000</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Shell</w:t>
            </w: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000" w:type="dxa"/>
            <w:vAlign w:val="bottom"/>
            <w:gridSpan w:val="2"/>
          </w:tcPr>
          <w:p>
            <w:pPr>
              <w:jc w:val="center"/>
              <w:ind w:left="72"/>
              <w:spacing w:after="0" w:line="263" w:lineRule="exact"/>
              <w:rPr>
                <w:sz w:val="20"/>
                <w:szCs w:val="20"/>
                <w:color w:val="auto"/>
              </w:rPr>
            </w:pPr>
            <w:r>
              <w:rPr>
                <w:rFonts w:ascii="Arial" w:cs="Arial" w:eastAsia="Arial" w:hAnsi="Arial"/>
                <w:sz w:val="18"/>
                <w:szCs w:val="18"/>
                <w:color w:val="auto"/>
                <w:w w:val="81"/>
              </w:rPr>
              <w:t>2019</w:t>
            </w:r>
            <w:r>
              <w:rPr>
                <w:rFonts w:ascii="Arial" w:cs="Arial" w:eastAsia="Arial" w:hAnsi="Arial"/>
                <w:sz w:val="29"/>
                <w:szCs w:val="29"/>
                <w:color w:val="auto"/>
                <w:w w:val="81"/>
                <w:vertAlign w:val="superscript"/>
              </w:rPr>
              <w:t>(1)</w:t>
            </w:r>
          </w:p>
        </w:tc>
        <w:tc>
          <w:tcPr>
            <w:tcW w:w="160" w:type="dxa"/>
            <w:vAlign w:val="bottom"/>
          </w:tcPr>
          <w:p>
            <w:pPr>
              <w:spacing w:after="0"/>
              <w:rPr>
                <w:sz w:val="22"/>
                <w:szCs w:val="22"/>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â€”</w:t>
            </w: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December</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i w:val="1"/>
                <w:iCs w:val="1"/>
                <w:color w:val="auto"/>
              </w:rPr>
              <w:t>Methane Alison Victoria</w:t>
            </w: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2007</w:t>
            </w:r>
          </w:p>
        </w:tc>
        <w:tc>
          <w:tcPr>
            <w:tcW w:w="1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145,000</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Shell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000" w:type="dxa"/>
            <w:vAlign w:val="bottom"/>
            <w:gridSpan w:val="2"/>
            <w:shd w:val="clear" w:color="auto" w:fill="CCEEFF"/>
          </w:tcPr>
          <w:p>
            <w:pPr>
              <w:jc w:val="center"/>
              <w:ind w:left="72"/>
              <w:spacing w:after="0" w:line="263" w:lineRule="exact"/>
              <w:rPr>
                <w:sz w:val="20"/>
                <w:szCs w:val="20"/>
                <w:color w:val="auto"/>
              </w:rPr>
            </w:pPr>
            <w:r>
              <w:rPr>
                <w:rFonts w:ascii="Arial" w:cs="Arial" w:eastAsia="Arial" w:hAnsi="Arial"/>
                <w:sz w:val="18"/>
                <w:szCs w:val="18"/>
                <w:color w:val="auto"/>
                <w:w w:val="81"/>
              </w:rPr>
              <w:t>2019</w:t>
            </w:r>
            <w:r>
              <w:rPr>
                <w:rFonts w:ascii="Arial" w:cs="Arial" w:eastAsia="Arial" w:hAnsi="Arial"/>
                <w:sz w:val="29"/>
                <w:szCs w:val="29"/>
                <w:color w:val="auto"/>
                <w:w w:val="81"/>
                <w:vertAlign w:val="superscript"/>
              </w:rPr>
              <w:t>(1)</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â€”</w:t>
            </w:r>
          </w:p>
        </w:tc>
        <w:tc>
          <w:tcPr>
            <w:tcW w:w="0" w:type="dxa"/>
            <w:vAlign w:val="bottom"/>
          </w:tcPr>
          <w:p>
            <w:pPr>
              <w:spacing w:after="0"/>
              <w:rPr>
                <w:sz w:val="1"/>
                <w:szCs w:val="1"/>
                <w:color w:val="auto"/>
              </w:rPr>
            </w:pPr>
          </w:p>
        </w:tc>
      </w:tr>
      <w:tr>
        <w:trPr>
          <w:trHeight w:val="208"/>
        </w:trPr>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November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vMerge w:val="restart"/>
          </w:tcPr>
          <w:p>
            <w:pPr>
              <w:ind w:left="180"/>
              <w:spacing w:after="0"/>
              <w:rPr>
                <w:sz w:val="20"/>
                <w:szCs w:val="20"/>
                <w:color w:val="auto"/>
              </w:rPr>
            </w:pPr>
            <w:r>
              <w:rPr>
                <w:rFonts w:ascii="Arial" w:cs="Arial" w:eastAsia="Arial" w:hAnsi="Arial"/>
                <w:sz w:val="18"/>
                <w:szCs w:val="18"/>
                <w:i w:val="1"/>
                <w:iCs w:val="1"/>
                <w:color w:val="auto"/>
                <w:w w:val="98"/>
              </w:rPr>
              <w:t xml:space="preserve">Methane Jane Elizabeth </w:t>
            </w:r>
            <w:r>
              <w:rPr>
                <w:rFonts w:ascii="Arial" w:cs="Arial" w:eastAsia="Arial" w:hAnsi="Arial"/>
                <w:sz w:val="18"/>
                <w:szCs w:val="18"/>
                <w:color w:val="auto"/>
                <w:w w:val="98"/>
              </w:rPr>
              <w:t>or</w:t>
            </w:r>
            <w:r>
              <w:rPr>
                <w:rFonts w:ascii="Arial" w:cs="Arial" w:eastAsia="Arial" w:hAnsi="Arial"/>
                <w:sz w:val="18"/>
                <w:szCs w:val="18"/>
                <w:i w:val="1"/>
                <w:iCs w:val="1"/>
                <w:color w:val="auto"/>
                <w:w w:val="98"/>
              </w:rPr>
              <w:t xml:space="preserve"> Methane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or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04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6"/>
              </w:rPr>
              <w:t>December</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040" w:type="dxa"/>
            <w:vAlign w:val="bottom"/>
            <w:gridSpan w:val="3"/>
          </w:tcPr>
          <w:p>
            <w:pPr>
              <w:ind w:left="340"/>
              <w:spacing w:after="0" w:line="263" w:lineRule="exact"/>
              <w:rPr>
                <w:sz w:val="20"/>
                <w:szCs w:val="20"/>
                <w:color w:val="auto"/>
              </w:rPr>
            </w:pPr>
            <w:r>
              <w:rPr>
                <w:rFonts w:ascii="Arial" w:cs="Arial" w:eastAsia="Arial" w:hAnsi="Arial"/>
                <w:sz w:val="18"/>
                <w:szCs w:val="18"/>
                <w:i w:val="1"/>
                <w:iCs w:val="1"/>
                <w:color w:val="auto"/>
              </w:rPr>
              <w:t>Alison Victoria</w:t>
            </w:r>
            <w:r>
              <w:rPr>
                <w:rFonts w:ascii="Arial" w:cs="Arial" w:eastAsia="Arial" w:hAnsi="Arial"/>
                <w:sz w:val="29"/>
                <w:szCs w:val="29"/>
                <w:color w:val="auto"/>
                <w:vertAlign w:val="superscript"/>
              </w:rPr>
              <w:t>(1)</w:t>
            </w: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2006/2007</w:t>
            </w: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145,000</w:t>
            </w: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Trafigura</w:t>
            </w: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00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2020</w:t>
            </w:r>
          </w:p>
        </w:tc>
        <w:tc>
          <w:tcPr>
            <w:tcW w:w="1260" w:type="dxa"/>
            <w:vAlign w:val="bottom"/>
            <w:gridSpan w:val="2"/>
          </w:tcPr>
          <w:p>
            <w:pPr>
              <w:jc w:val="center"/>
              <w:ind w:left="172"/>
              <w:spacing w:after="0" w:line="263" w:lineRule="exact"/>
              <w:rPr>
                <w:sz w:val="20"/>
                <w:szCs w:val="20"/>
                <w:color w:val="auto"/>
              </w:rPr>
            </w:pPr>
            <w:r>
              <w:rPr>
                <w:rFonts w:ascii="Arial" w:cs="Arial" w:eastAsia="Arial" w:hAnsi="Arial"/>
                <w:sz w:val="18"/>
                <w:szCs w:val="18"/>
                <w:color w:val="auto"/>
                <w:w w:val="83"/>
              </w:rPr>
              <w:t>2021-2024</w:t>
            </w:r>
            <w:r>
              <w:rPr>
                <w:rFonts w:ascii="Arial" w:cs="Arial" w:eastAsia="Arial" w:hAnsi="Arial"/>
                <w:sz w:val="29"/>
                <w:szCs w:val="29"/>
                <w:color w:val="auto"/>
                <w:w w:val="83"/>
                <w:vertAlign w:val="superscript"/>
              </w:rPr>
              <w:t>(2)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i w:val="1"/>
                <w:iCs w:val="1"/>
                <w:color w:val="auto"/>
              </w:rPr>
              <w:t>Methane Shirley Elisabeth</w:t>
            </w: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2007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145,000</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Shell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â€”</w:t>
            </w:r>
          </w:p>
        </w:tc>
        <w:tc>
          <w:tcPr>
            <w:tcW w:w="0" w:type="dxa"/>
            <w:vAlign w:val="bottom"/>
          </w:tcPr>
          <w:p>
            <w:pPr>
              <w:spacing w:after="0"/>
              <w:rPr>
                <w:sz w:val="1"/>
                <w:szCs w:val="1"/>
                <w:color w:val="auto"/>
              </w:rPr>
            </w:pPr>
          </w:p>
        </w:tc>
      </w:tr>
      <w:tr>
        <w:trPr>
          <w:trHeight w:val="208"/>
        </w:trPr>
        <w:tc>
          <w:tcPr>
            <w:tcW w:w="30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i w:val="1"/>
                <w:iCs w:val="1"/>
                <w:color w:val="auto"/>
              </w:rPr>
              <w:t>Methane Heather Sally</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December</w:t>
            </w:r>
          </w:p>
        </w:tc>
        <w:tc>
          <w:tcPr>
            <w:tcW w:w="126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83"/>
              </w:rPr>
              <w:t>2023-2025</w:t>
            </w:r>
            <w:r>
              <w:rPr>
                <w:rFonts w:ascii="Arial" w:cs="Arial" w:eastAsia="Arial" w:hAnsi="Arial"/>
                <w:sz w:val="29"/>
                <w:szCs w:val="29"/>
                <w:color w:val="auto"/>
                <w:w w:val="83"/>
                <w:vertAlign w:val="superscript"/>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gridSpan w:val="3"/>
            <w:vMerge w:val="continue"/>
          </w:tcPr>
          <w:p>
            <w:pPr>
              <w:spacing w:after="0"/>
              <w:rPr>
                <w:sz w:val="19"/>
                <w:szCs w:val="19"/>
                <w:color w:val="auto"/>
              </w:rPr>
            </w:pP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2007</w:t>
            </w:r>
          </w:p>
        </w:tc>
        <w:tc>
          <w:tcPr>
            <w:tcW w:w="16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145,000</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Shell</w:t>
            </w: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00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2020</w:t>
            </w:r>
          </w:p>
        </w:tc>
        <w:tc>
          <w:tcPr>
            <w:tcW w:w="12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4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i w:val="1"/>
                <w:iCs w:val="1"/>
                <w:color w:val="auto"/>
              </w:rPr>
              <w:t>Methane Becki Anne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w:t>
            </w:r>
          </w:p>
        </w:tc>
        <w:tc>
          <w:tcPr>
            <w:tcW w:w="1260" w:type="dxa"/>
            <w:vAlign w:val="bottom"/>
            <w:gridSpan w:val="2"/>
            <w:vMerge w:val="restart"/>
            <w:shd w:val="clear" w:color="auto" w:fill="CCEEFF"/>
          </w:tcPr>
          <w:p>
            <w:pPr>
              <w:jc w:val="center"/>
              <w:ind w:left="172"/>
              <w:spacing w:after="0"/>
              <w:rPr>
                <w:sz w:val="20"/>
                <w:szCs w:val="20"/>
                <w:color w:val="auto"/>
              </w:rPr>
            </w:pPr>
            <w:r>
              <w:rPr>
                <w:rFonts w:ascii="Arial" w:cs="Arial" w:eastAsia="Arial" w:hAnsi="Arial"/>
                <w:sz w:val="18"/>
                <w:szCs w:val="18"/>
                <w:color w:val="auto"/>
                <w:w w:val="83"/>
              </w:rPr>
              <w:t>2027-2029</w:t>
            </w:r>
            <w:r>
              <w:rPr>
                <w:rFonts w:ascii="Arial" w:cs="Arial" w:eastAsia="Arial" w:hAnsi="Arial"/>
                <w:sz w:val="29"/>
                <w:szCs w:val="29"/>
                <w:color w:val="auto"/>
                <w:w w:val="83"/>
                <w:vertAlign w:val="superscript"/>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gridSpan w:val="3"/>
            <w:vMerge w:val="continue"/>
            <w:shd w:val="clear" w:color="auto" w:fill="CCEEFF"/>
          </w:tcPr>
          <w:p>
            <w:pPr>
              <w:spacing w:after="0"/>
              <w:rPr>
                <w:sz w:val="19"/>
                <w:szCs w:val="19"/>
                <w:color w:val="auto"/>
              </w:rPr>
            </w:pP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2010</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170,000</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Shell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0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2024</w:t>
            </w:r>
          </w:p>
        </w:tc>
        <w:tc>
          <w:tcPr>
            <w:tcW w:w="12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Spot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040" w:type="dxa"/>
            <w:vAlign w:val="bottom"/>
            <w:gridSpan w:val="3"/>
          </w:tcPr>
          <w:p>
            <w:pPr>
              <w:ind w:left="2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i w:val="1"/>
                <w:iCs w:val="1"/>
                <w:color w:val="auto"/>
              </w:rPr>
              <w:t>GasLog Shanghai</w:t>
            </w: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2013</w:t>
            </w:r>
          </w:p>
        </w:tc>
        <w:tc>
          <w:tcPr>
            <w:tcW w:w="160" w:type="dxa"/>
            <w:vAlign w:val="bottom"/>
          </w:tcPr>
          <w:p>
            <w:pPr>
              <w:spacing w:after="0"/>
              <w:rPr>
                <w:sz w:val="22"/>
                <w:szCs w:val="22"/>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155,000</w:t>
            </w:r>
          </w:p>
        </w:tc>
        <w:tc>
          <w:tcPr>
            <w:tcW w:w="980" w:type="dxa"/>
            <w:vAlign w:val="bottom"/>
            <w:gridSpan w:val="2"/>
          </w:tcPr>
          <w:p>
            <w:pPr>
              <w:jc w:val="center"/>
              <w:ind w:right="140"/>
              <w:spacing w:after="0" w:line="263" w:lineRule="exact"/>
              <w:rPr>
                <w:sz w:val="20"/>
                <w:szCs w:val="20"/>
                <w:color w:val="auto"/>
              </w:rPr>
            </w:pPr>
            <w:r>
              <w:rPr>
                <w:rFonts w:ascii="Arial" w:cs="Arial" w:eastAsia="Arial" w:hAnsi="Arial"/>
                <w:sz w:val="18"/>
                <w:szCs w:val="18"/>
                <w:color w:val="auto"/>
                <w:w w:val="86"/>
              </w:rPr>
              <w:t>Market</w:t>
            </w:r>
            <w:r>
              <w:rPr>
                <w:rFonts w:ascii="Arial" w:cs="Arial" w:eastAsia="Arial" w:hAnsi="Arial"/>
                <w:sz w:val="29"/>
                <w:szCs w:val="29"/>
                <w:color w:val="auto"/>
                <w:w w:val="86"/>
                <w:vertAlign w:val="superscript"/>
              </w:rPr>
              <w:t>(4)</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â€”</w:t>
            </w:r>
          </w:p>
        </w:tc>
        <w:tc>
          <w:tcPr>
            <w:tcW w:w="160" w:type="dxa"/>
            <w:vAlign w:val="bottom"/>
          </w:tcPr>
          <w:p>
            <w:pPr>
              <w:spacing w:after="0"/>
              <w:rPr>
                <w:sz w:val="22"/>
                <w:szCs w:val="22"/>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â€”</w:t>
            </w:r>
          </w:p>
        </w:tc>
        <w:tc>
          <w:tcPr>
            <w:tcW w:w="0" w:type="dxa"/>
            <w:vAlign w:val="bottom"/>
          </w:tcPr>
          <w:p>
            <w:pPr>
              <w:spacing w:after="0"/>
              <w:rPr>
                <w:sz w:val="1"/>
                <w:szCs w:val="1"/>
                <w:color w:val="auto"/>
              </w:rPr>
            </w:pPr>
          </w:p>
        </w:tc>
      </w:tr>
      <w:tr>
        <w:trPr>
          <w:trHeight w:val="208"/>
        </w:trPr>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December</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2021 or</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i w:val="1"/>
                <w:iCs w:val="1"/>
                <w:color w:val="auto"/>
              </w:rPr>
              <w:t>GasLog Santiago</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January</w:t>
            </w:r>
          </w:p>
        </w:tc>
        <w:tc>
          <w:tcPr>
            <w:tcW w:w="1260" w:type="dxa"/>
            <w:vAlign w:val="bottom"/>
            <w:gridSpan w:val="2"/>
            <w:vMerge w:val="restart"/>
            <w:shd w:val="clear" w:color="auto" w:fill="CCEEFF"/>
          </w:tcPr>
          <w:p>
            <w:pPr>
              <w:jc w:val="center"/>
              <w:ind w:left="172"/>
              <w:spacing w:after="0"/>
              <w:rPr>
                <w:sz w:val="20"/>
                <w:szCs w:val="20"/>
                <w:color w:val="auto"/>
              </w:rPr>
            </w:pPr>
            <w:r>
              <w:rPr>
                <w:rFonts w:ascii="Arial" w:cs="Arial" w:eastAsia="Arial" w:hAnsi="Arial"/>
                <w:sz w:val="18"/>
                <w:szCs w:val="18"/>
                <w:color w:val="auto"/>
                <w:w w:val="83"/>
              </w:rPr>
              <w:t>2022-2028</w:t>
            </w:r>
            <w:r>
              <w:rPr>
                <w:rFonts w:ascii="Arial" w:cs="Arial" w:eastAsia="Arial" w:hAnsi="Arial"/>
                <w:sz w:val="29"/>
                <w:szCs w:val="29"/>
                <w:color w:val="auto"/>
                <w:w w:val="83"/>
                <w:vertAlign w:val="superscript"/>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gridSpan w:val="3"/>
            <w:vMerge w:val="continue"/>
            <w:shd w:val="clear" w:color="auto" w:fill="CCEEFF"/>
          </w:tcPr>
          <w:p>
            <w:pPr>
              <w:spacing w:after="0"/>
              <w:rPr>
                <w:sz w:val="19"/>
                <w:szCs w:val="19"/>
                <w:color w:val="auto"/>
              </w:rPr>
            </w:pP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2013</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155,000</w:t>
            </w:r>
          </w:p>
        </w:tc>
        <w:tc>
          <w:tcPr>
            <w:tcW w:w="9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Trafigura</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0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2022</w:t>
            </w:r>
          </w:p>
        </w:tc>
        <w:tc>
          <w:tcPr>
            <w:tcW w:w="12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040" w:type="dxa"/>
            <w:vAlign w:val="bottom"/>
            <w:gridSpan w:val="3"/>
          </w:tcPr>
          <w:p>
            <w:pPr>
              <w:ind w:left="20"/>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i w:val="1"/>
                <w:iCs w:val="1"/>
                <w:color w:val="auto"/>
              </w:rPr>
              <w:t>GasLog Sydney</w:t>
            </w: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2013</w:t>
            </w:r>
          </w:p>
        </w:tc>
        <w:tc>
          <w:tcPr>
            <w:tcW w:w="160" w:type="dxa"/>
            <w:vAlign w:val="bottom"/>
          </w:tcPr>
          <w:p>
            <w:pPr>
              <w:spacing w:after="0"/>
              <w:rPr>
                <w:sz w:val="22"/>
                <w:szCs w:val="22"/>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155,000</w:t>
            </w:r>
          </w:p>
        </w:tc>
        <w:tc>
          <w:tcPr>
            <w:tcW w:w="980" w:type="dxa"/>
            <w:vAlign w:val="bottom"/>
            <w:gridSpan w:val="2"/>
          </w:tcPr>
          <w:p>
            <w:pPr>
              <w:jc w:val="center"/>
              <w:ind w:right="140"/>
              <w:spacing w:after="0" w:line="256" w:lineRule="exact"/>
              <w:rPr>
                <w:sz w:val="20"/>
                <w:szCs w:val="20"/>
                <w:color w:val="auto"/>
              </w:rPr>
            </w:pPr>
            <w:r>
              <w:rPr>
                <w:rFonts w:ascii="Arial" w:cs="Arial" w:eastAsia="Arial" w:hAnsi="Arial"/>
                <w:sz w:val="18"/>
                <w:szCs w:val="18"/>
                <w:color w:val="auto"/>
                <w:w w:val="82"/>
              </w:rPr>
              <w:t>Cheniere</w:t>
            </w:r>
            <w:r>
              <w:rPr>
                <w:rFonts w:ascii="Arial" w:cs="Arial" w:eastAsia="Arial" w:hAnsi="Arial"/>
                <w:sz w:val="29"/>
                <w:szCs w:val="29"/>
                <w:color w:val="auto"/>
                <w:w w:val="82"/>
                <w:vertAlign w:val="superscript"/>
              </w:rPr>
              <w:t>(6)</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June 2020</w:t>
            </w:r>
          </w:p>
        </w:tc>
        <w:tc>
          <w:tcPr>
            <w:tcW w:w="1260" w:type="dxa"/>
            <w:vAlign w:val="bottom"/>
            <w:gridSpan w:val="2"/>
          </w:tcPr>
          <w:p>
            <w:pPr>
              <w:jc w:val="center"/>
              <w:ind w:left="172"/>
              <w:spacing w:after="0" w:line="256" w:lineRule="exact"/>
              <w:rPr>
                <w:sz w:val="20"/>
                <w:szCs w:val="20"/>
                <w:color w:val="auto"/>
              </w:rPr>
            </w:pPr>
            <w:r>
              <w:rPr>
                <w:rFonts w:ascii="Arial" w:cs="Arial" w:eastAsia="Arial" w:hAnsi="Arial"/>
                <w:sz w:val="18"/>
                <w:szCs w:val="18"/>
                <w:color w:val="auto"/>
                <w:w w:val="83"/>
              </w:rPr>
              <w:t>2020-2021</w:t>
            </w:r>
            <w:r>
              <w:rPr>
                <w:rFonts w:ascii="Arial" w:cs="Arial" w:eastAsia="Arial" w:hAnsi="Arial"/>
                <w:sz w:val="29"/>
                <w:szCs w:val="29"/>
                <w:color w:val="auto"/>
                <w:w w:val="83"/>
                <w:vertAlign w:val="superscript"/>
              </w:rPr>
              <w:t>(7)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i w:val="1"/>
                <w:iCs w:val="1"/>
                <w:color w:val="auto"/>
              </w:rPr>
              <w:t>GasLog Seattle</w:t>
            </w: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2013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155,000</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Shell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2021</w:t>
            </w:r>
          </w:p>
        </w:tc>
        <w:tc>
          <w:tcPr>
            <w:tcW w:w="12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2025-2030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ind w:left="2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i w:val="1"/>
                <w:iCs w:val="1"/>
                <w:color w:val="auto"/>
              </w:rPr>
              <w:t>Solaris</w:t>
            </w: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2014</w:t>
            </w:r>
          </w:p>
        </w:tc>
        <w:tc>
          <w:tcPr>
            <w:tcW w:w="16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155,000</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Shell</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June 2021</w:t>
            </w:r>
          </w:p>
        </w:tc>
        <w:tc>
          <w:tcPr>
            <w:tcW w:w="16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â€”</w:t>
            </w:r>
          </w:p>
        </w:tc>
        <w:tc>
          <w:tcPr>
            <w:tcW w:w="0" w:type="dxa"/>
            <w:vAlign w:val="bottom"/>
          </w:tcPr>
          <w:p>
            <w:pPr>
              <w:spacing w:after="0"/>
              <w:rPr>
                <w:sz w:val="1"/>
                <w:szCs w:val="1"/>
                <w:color w:val="auto"/>
              </w:rPr>
            </w:pPr>
          </w:p>
        </w:tc>
      </w:tr>
      <w:tr>
        <w:trPr>
          <w:trHeight w:val="208"/>
        </w:trPr>
        <w:tc>
          <w:tcPr>
            <w:tcW w:w="304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i w:val="1"/>
                <w:iCs w:val="1"/>
                <w:color w:val="auto"/>
              </w:rPr>
              <w:t>GasLog Greece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w:t>
            </w:r>
          </w:p>
        </w:tc>
        <w:tc>
          <w:tcPr>
            <w:tcW w:w="1260" w:type="dxa"/>
            <w:vAlign w:val="bottom"/>
            <w:gridSpan w:val="2"/>
            <w:vMerge w:val="restart"/>
            <w:shd w:val="clear" w:color="auto" w:fill="CCEEFF"/>
          </w:tcPr>
          <w:p>
            <w:pPr>
              <w:jc w:val="center"/>
              <w:ind w:left="172"/>
              <w:spacing w:after="0"/>
              <w:rPr>
                <w:sz w:val="20"/>
                <w:szCs w:val="20"/>
                <w:color w:val="auto"/>
              </w:rPr>
            </w:pPr>
            <w:r>
              <w:rPr>
                <w:rFonts w:ascii="Arial" w:cs="Arial" w:eastAsia="Arial" w:hAnsi="Arial"/>
                <w:sz w:val="18"/>
                <w:szCs w:val="18"/>
                <w:color w:val="auto"/>
                <w:w w:val="81"/>
              </w:rPr>
              <w:t>2031</w:t>
            </w:r>
            <w:r>
              <w:rPr>
                <w:rFonts w:ascii="Arial" w:cs="Arial" w:eastAsia="Arial" w:hAnsi="Arial"/>
                <w:sz w:val="29"/>
                <w:szCs w:val="29"/>
                <w:color w:val="auto"/>
                <w:w w:val="81"/>
                <w:vertAlign w:val="superscript"/>
              </w:rPr>
              <w:t>(8)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gridSpan w:val="3"/>
            <w:vMerge w:val="continue"/>
            <w:shd w:val="clear" w:color="auto" w:fill="CCEEFF"/>
          </w:tcPr>
          <w:p>
            <w:pPr>
              <w:spacing w:after="0"/>
              <w:rPr>
                <w:sz w:val="19"/>
                <w:szCs w:val="19"/>
                <w:color w:val="auto"/>
              </w:rPr>
            </w:pP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2016</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174,000</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Shell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0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2026</w:t>
            </w:r>
          </w:p>
        </w:tc>
        <w:tc>
          <w:tcPr>
            <w:tcW w:w="12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i w:val="1"/>
                <w:iCs w:val="1"/>
                <w:color w:val="auto"/>
              </w:rPr>
              <w:t>GasLog Geneva</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September</w:t>
            </w:r>
          </w:p>
        </w:tc>
        <w:tc>
          <w:tcPr>
            <w:tcW w:w="126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83"/>
              </w:rPr>
              <w:t>2028-2031</w:t>
            </w:r>
            <w:r>
              <w:rPr>
                <w:rFonts w:ascii="Arial" w:cs="Arial" w:eastAsia="Arial" w:hAnsi="Arial"/>
                <w:sz w:val="29"/>
                <w:szCs w:val="29"/>
                <w:color w:val="auto"/>
                <w:w w:val="83"/>
                <w:vertAlign w:val="superscript"/>
              </w:rPr>
              <w:t>(9)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gridSpan w:val="3"/>
            <w:vMerge w:val="continue"/>
          </w:tcPr>
          <w:p>
            <w:pPr>
              <w:spacing w:after="0"/>
              <w:rPr>
                <w:sz w:val="19"/>
                <w:szCs w:val="19"/>
                <w:color w:val="auto"/>
              </w:rPr>
            </w:pP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2016</w:t>
            </w:r>
          </w:p>
        </w:tc>
        <w:tc>
          <w:tcPr>
            <w:tcW w:w="16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Shell</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00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2023</w:t>
            </w:r>
          </w:p>
        </w:tc>
        <w:tc>
          <w:tcPr>
            <w:tcW w:w="12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4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i w:val="1"/>
                <w:iCs w:val="1"/>
                <w:color w:val="auto"/>
              </w:rPr>
              <w:t>GasLog Gibraltar</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w:t>
            </w:r>
          </w:p>
        </w:tc>
        <w:tc>
          <w:tcPr>
            <w:tcW w:w="1260" w:type="dxa"/>
            <w:vAlign w:val="bottom"/>
            <w:gridSpan w:val="2"/>
            <w:vMerge w:val="restart"/>
            <w:shd w:val="clear" w:color="auto" w:fill="CCEEFF"/>
          </w:tcPr>
          <w:p>
            <w:pPr>
              <w:jc w:val="center"/>
              <w:ind w:left="172"/>
              <w:spacing w:after="0"/>
              <w:rPr>
                <w:sz w:val="20"/>
                <w:szCs w:val="20"/>
                <w:color w:val="auto"/>
              </w:rPr>
            </w:pPr>
            <w:r>
              <w:rPr>
                <w:rFonts w:ascii="Arial" w:cs="Arial" w:eastAsia="Arial" w:hAnsi="Arial"/>
                <w:sz w:val="18"/>
                <w:szCs w:val="18"/>
                <w:color w:val="auto"/>
                <w:w w:val="83"/>
              </w:rPr>
              <w:t>2028-2031</w:t>
            </w:r>
            <w:r>
              <w:rPr>
                <w:rFonts w:ascii="Arial" w:cs="Arial" w:eastAsia="Arial" w:hAnsi="Arial"/>
                <w:sz w:val="29"/>
                <w:szCs w:val="29"/>
                <w:color w:val="auto"/>
                <w:w w:val="83"/>
                <w:vertAlign w:val="superscript"/>
              </w:rPr>
              <w:t>(9)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gridSpan w:val="3"/>
            <w:vMerge w:val="continue"/>
            <w:shd w:val="clear" w:color="auto" w:fill="CCEEFF"/>
          </w:tcPr>
          <w:p>
            <w:pPr>
              <w:spacing w:after="0"/>
              <w:rPr>
                <w:sz w:val="19"/>
                <w:szCs w:val="19"/>
                <w:color w:val="auto"/>
              </w:rPr>
            </w:pP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2016</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174,000</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Shell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0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2023</w:t>
            </w:r>
          </w:p>
        </w:tc>
        <w:tc>
          <w:tcPr>
            <w:tcW w:w="12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7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1900" w:hanging="549"/>
        <w:spacing w:after="0" w:line="256" w:lineRule="auto"/>
        <w:tabs>
          <w:tab w:leader="none" w:pos="1900" w:val="left"/>
        </w:tabs>
        <w:numPr>
          <w:ilvl w:val="0"/>
          <w:numId w:val="1"/>
        </w:numPr>
        <w:rPr>
          <w:rFonts w:ascii="Arial" w:cs="Arial" w:eastAsia="Arial" w:hAnsi="Arial"/>
          <w:sz w:val="11"/>
          <w:szCs w:val="11"/>
          <w:color w:val="auto"/>
        </w:rPr>
      </w:pPr>
      <w:r>
        <w:rPr>
          <w:rFonts w:ascii="Arial" w:cs="Arial" w:eastAsia="Arial" w:hAnsi="Arial"/>
          <w:sz w:val="13"/>
          <w:szCs w:val="13"/>
          <w:color w:val="auto"/>
        </w:rPr>
        <w:t xml:space="preserve">GasLog Partners has secured a one-year charter for either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or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(as nominated by the Partnership) commencing in either November or December 2019 at the Partnership's option. The charter rate for this one-year charter is lower than the current charter rates of either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or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w:t>
      </w:r>
    </w:p>
    <w:p>
      <w:pPr>
        <w:spacing w:after="0" w:line="102" w:lineRule="exact"/>
        <w:rPr>
          <w:rFonts w:ascii="Arial" w:cs="Arial" w:eastAsia="Arial" w:hAnsi="Arial"/>
          <w:sz w:val="11"/>
          <w:szCs w:val="11"/>
          <w:color w:val="auto"/>
        </w:rPr>
      </w:pPr>
    </w:p>
    <w:p>
      <w:pPr>
        <w:ind w:left="1900" w:right="100" w:hanging="549"/>
        <w:spacing w:after="0" w:line="274" w:lineRule="auto"/>
        <w:tabs>
          <w:tab w:leader="none" w:pos="1900" w:val="left"/>
        </w:tabs>
        <w:numPr>
          <w:ilvl w:val="0"/>
          <w:numId w:val="1"/>
        </w:numPr>
        <w:rPr>
          <w:rFonts w:ascii="Arial" w:cs="Arial" w:eastAsia="Arial" w:hAnsi="Arial"/>
          <w:sz w:val="11"/>
          <w:szCs w:val="11"/>
          <w:color w:val="auto"/>
        </w:rPr>
      </w:pPr>
      <w:r>
        <w:rPr>
          <w:rFonts w:ascii="Arial" w:cs="Arial" w:eastAsia="Arial" w:hAnsi="Arial"/>
          <w:sz w:val="13"/>
          <w:szCs w:val="13"/>
          <w:color w:val="auto"/>
        </w:rPr>
        <w:t>Charterer may extend the term of this time charter for a period ranging from one to four years, provided that the charterer gives us advance notice of declaration. The period shown reflects the expiration of the minimum optional period and the maximum optional period.</w:t>
      </w:r>
    </w:p>
    <w:p>
      <w:pPr>
        <w:spacing w:after="0" w:line="90" w:lineRule="exact"/>
        <w:rPr>
          <w:rFonts w:ascii="Arial" w:cs="Arial" w:eastAsia="Arial" w:hAnsi="Arial"/>
          <w:sz w:val="11"/>
          <w:szCs w:val="11"/>
          <w:color w:val="auto"/>
        </w:rPr>
      </w:pPr>
    </w:p>
    <w:p>
      <w:pPr>
        <w:ind w:left="1900" w:right="60" w:hanging="549"/>
        <w:spacing w:after="0" w:line="274" w:lineRule="auto"/>
        <w:tabs>
          <w:tab w:leader="none" w:pos="1900" w:val="left"/>
        </w:tabs>
        <w:numPr>
          <w:ilvl w:val="0"/>
          <w:numId w:val="1"/>
        </w:numPr>
        <w:rPr>
          <w:rFonts w:ascii="Arial" w:cs="Arial" w:eastAsia="Arial" w:hAnsi="Arial"/>
          <w:sz w:val="11"/>
          <w:szCs w:val="11"/>
          <w:color w:val="auto"/>
        </w:rPr>
      </w:pPr>
      <w:r>
        <w:rPr>
          <w:rFonts w:ascii="Arial" w:cs="Arial" w:eastAsia="Arial" w:hAnsi="Arial"/>
          <w:sz w:val="13"/>
          <w:szCs w:val="13"/>
          <w:color w:val="auto"/>
        </w:rPr>
        <w:t>Charterer may extend the term of the related charters for one extension period of three or five years, and each charter requires that the charterer gives us advance notice of its exercise of any extension option. The period shown reflects the expiration of the minimum optional period and the maximum optional period.</w:t>
      </w:r>
    </w:p>
    <w:p>
      <w:pPr>
        <w:spacing w:after="0" w:line="90" w:lineRule="exact"/>
        <w:rPr>
          <w:rFonts w:ascii="Arial" w:cs="Arial" w:eastAsia="Arial" w:hAnsi="Arial"/>
          <w:sz w:val="11"/>
          <w:szCs w:val="11"/>
          <w:color w:val="auto"/>
        </w:rPr>
      </w:pPr>
    </w:p>
    <w:p>
      <w:pPr>
        <w:ind w:left="1900" w:hanging="549"/>
        <w:spacing w:after="0"/>
        <w:tabs>
          <w:tab w:leader="none" w:pos="1900" w:val="left"/>
        </w:tabs>
        <w:numPr>
          <w:ilvl w:val="0"/>
          <w:numId w:val="1"/>
        </w:numPr>
        <w:rPr>
          <w:rFonts w:ascii="Arial" w:cs="Arial" w:eastAsia="Arial" w:hAnsi="Arial"/>
          <w:sz w:val="11"/>
          <w:szCs w:val="11"/>
          <w:color w:val="auto"/>
        </w:rPr>
      </w:pPr>
      <w:r>
        <w:rPr>
          <w:rFonts w:ascii="Arial" w:cs="Arial" w:eastAsia="Arial" w:hAnsi="Arial"/>
          <w:sz w:val="13"/>
          <w:szCs w:val="13"/>
          <w:color w:val="auto"/>
        </w:rPr>
        <w:t>The vessel is currently operating in the spot market under the Cool Pool.</w:t>
      </w:r>
    </w:p>
    <w:p>
      <w:pPr>
        <w:spacing w:after="0" w:line="134" w:lineRule="exact"/>
        <w:rPr>
          <w:rFonts w:ascii="Arial" w:cs="Arial" w:eastAsia="Arial" w:hAnsi="Arial"/>
          <w:sz w:val="11"/>
          <w:szCs w:val="11"/>
          <w:color w:val="auto"/>
        </w:rPr>
      </w:pPr>
    </w:p>
    <w:p>
      <w:pPr>
        <w:ind w:left="1900" w:right="20" w:hanging="549"/>
        <w:spacing w:after="0" w:line="274" w:lineRule="auto"/>
        <w:tabs>
          <w:tab w:leader="none" w:pos="1900" w:val="left"/>
        </w:tabs>
        <w:numPr>
          <w:ilvl w:val="0"/>
          <w:numId w:val="1"/>
        </w:numPr>
        <w:rPr>
          <w:rFonts w:ascii="Arial" w:cs="Arial" w:eastAsia="Arial" w:hAnsi="Arial"/>
          <w:sz w:val="11"/>
          <w:szCs w:val="11"/>
          <w:color w:val="auto"/>
        </w:rPr>
      </w:pPr>
      <w:r>
        <w:rPr>
          <w:rFonts w:ascii="Arial" w:cs="Arial" w:eastAsia="Arial" w:hAnsi="Arial"/>
          <w:sz w:val="13"/>
          <w:szCs w:val="13"/>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90" w:lineRule="exact"/>
        <w:rPr>
          <w:rFonts w:ascii="Arial" w:cs="Arial" w:eastAsia="Arial" w:hAnsi="Arial"/>
          <w:sz w:val="11"/>
          <w:szCs w:val="11"/>
          <w:color w:val="auto"/>
        </w:rPr>
      </w:pPr>
    </w:p>
    <w:p>
      <w:pPr>
        <w:ind w:left="1900" w:hanging="549"/>
        <w:spacing w:after="0"/>
        <w:tabs>
          <w:tab w:leader="none" w:pos="1900" w:val="left"/>
        </w:tabs>
        <w:numPr>
          <w:ilvl w:val="0"/>
          <w:numId w:val="1"/>
        </w:numPr>
        <w:rPr>
          <w:rFonts w:ascii="Arial" w:cs="Arial" w:eastAsia="Arial" w:hAnsi="Arial"/>
          <w:sz w:val="11"/>
          <w:szCs w:val="11"/>
          <w:color w:val="auto"/>
        </w:rPr>
      </w:pPr>
      <w:r>
        <w:rPr>
          <w:rFonts w:ascii="Arial" w:cs="Arial" w:eastAsia="Arial" w:hAnsi="Arial"/>
          <w:sz w:val="13"/>
          <w:szCs w:val="13"/>
          <w:color w:val="auto"/>
        </w:rPr>
        <w:t>The vessel began its 18-month charter with Cheniere in December 2018.</w:t>
      </w:r>
    </w:p>
    <w:p>
      <w:pPr>
        <w:spacing w:after="0" w:line="134" w:lineRule="exact"/>
        <w:rPr>
          <w:rFonts w:ascii="Arial" w:cs="Arial" w:eastAsia="Arial" w:hAnsi="Arial"/>
          <w:sz w:val="11"/>
          <w:szCs w:val="11"/>
          <w:color w:val="auto"/>
        </w:rPr>
      </w:pPr>
    </w:p>
    <w:p>
      <w:pPr>
        <w:ind w:left="1900" w:right="280" w:hanging="549"/>
        <w:spacing w:after="0" w:line="274" w:lineRule="auto"/>
        <w:tabs>
          <w:tab w:leader="none" w:pos="1900" w:val="left"/>
        </w:tabs>
        <w:numPr>
          <w:ilvl w:val="0"/>
          <w:numId w:val="1"/>
        </w:numPr>
        <w:rPr>
          <w:rFonts w:ascii="Arial" w:cs="Arial" w:eastAsia="Arial" w:hAnsi="Arial"/>
          <w:sz w:val="11"/>
          <w:szCs w:val="11"/>
          <w:color w:val="auto"/>
        </w:rPr>
      </w:pPr>
      <w:r>
        <w:rPr>
          <w:rFonts w:ascii="Arial" w:cs="Arial" w:eastAsia="Arial" w:hAnsi="Arial"/>
          <w:sz w:val="13"/>
          <w:szCs w:val="13"/>
          <w:color w:val="auto"/>
        </w:rPr>
        <w:t>Charterer may extend the term of this time charter for a period ranging from six to twelve months, provided that the charterer gives us advance notice of declaration. The period shown reflects the expiration of the minimum optional period and the maximum optional period.</w:t>
      </w:r>
    </w:p>
    <w:p>
      <w:pPr>
        <w:spacing w:after="0" w:line="90" w:lineRule="exact"/>
        <w:rPr>
          <w:rFonts w:ascii="Arial" w:cs="Arial" w:eastAsia="Arial" w:hAnsi="Arial"/>
          <w:sz w:val="11"/>
          <w:szCs w:val="11"/>
          <w:color w:val="auto"/>
        </w:rPr>
      </w:pPr>
    </w:p>
    <w:p>
      <w:pPr>
        <w:ind w:left="1900" w:hanging="549"/>
        <w:spacing w:after="0"/>
        <w:tabs>
          <w:tab w:leader="none" w:pos="1900" w:val="left"/>
        </w:tabs>
        <w:numPr>
          <w:ilvl w:val="0"/>
          <w:numId w:val="1"/>
        </w:numPr>
        <w:rPr>
          <w:rFonts w:ascii="Arial" w:cs="Arial" w:eastAsia="Arial" w:hAnsi="Arial"/>
          <w:sz w:val="11"/>
          <w:szCs w:val="11"/>
          <w:color w:val="auto"/>
        </w:rPr>
      </w:pPr>
      <w:r>
        <w:rPr>
          <w:rFonts w:ascii="Arial" w:cs="Arial" w:eastAsia="Arial" w:hAnsi="Arial"/>
          <w:sz w:val="13"/>
          <w:szCs w:val="13"/>
          <w:color w:val="auto"/>
        </w:rPr>
        <w:t>Charterer may extend the term of the time charter for a period of five years, provided that the charterer gives us advance notice of declaration.</w:t>
      </w:r>
    </w:p>
    <w:p>
      <w:pPr>
        <w:spacing w:after="0" w:line="134" w:lineRule="exact"/>
        <w:rPr>
          <w:rFonts w:ascii="Arial" w:cs="Arial" w:eastAsia="Arial" w:hAnsi="Arial"/>
          <w:sz w:val="11"/>
          <w:szCs w:val="11"/>
          <w:color w:val="auto"/>
        </w:rPr>
      </w:pPr>
    </w:p>
    <w:p>
      <w:pPr>
        <w:ind w:left="1900" w:right="360" w:hanging="549"/>
        <w:spacing w:after="0" w:line="274" w:lineRule="auto"/>
        <w:tabs>
          <w:tab w:leader="none" w:pos="1900" w:val="left"/>
        </w:tabs>
        <w:numPr>
          <w:ilvl w:val="0"/>
          <w:numId w:val="1"/>
        </w:numPr>
        <w:rPr>
          <w:rFonts w:ascii="Arial" w:cs="Arial" w:eastAsia="Arial" w:hAnsi="Arial"/>
          <w:sz w:val="11"/>
          <w:szCs w:val="11"/>
          <w:color w:val="auto"/>
        </w:rPr>
      </w:pPr>
      <w:r>
        <w:rPr>
          <w:rFonts w:ascii="Arial" w:cs="Arial" w:eastAsia="Arial" w:hAnsi="Arial"/>
          <w:sz w:val="13"/>
          <w:szCs w:val="13"/>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ectPr>
          <w:pgSz w:w="11900" w:h="16838" w:orient="portrait"/>
          <w:cols w:equalWidth="0" w:num="1">
            <w:col w:w="11300"/>
          </w:cols>
          <w:pgMar w:left="160" w:top="51"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34187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300"/>
          </w:cols>
          <w:pgMar w:left="160" w:top="51" w:right="4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5970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1870" cy="597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the</w:t>
      </w:r>
    </w:p>
    <w:p>
      <w:pPr>
        <w:spacing w:after="0" w:line="38" w:lineRule="exact"/>
        <w:rPr>
          <w:sz w:val="20"/>
          <w:szCs w:val="20"/>
          <w:color w:val="auto"/>
        </w:rPr>
      </w:pPr>
    </w:p>
    <w:p>
      <w:pPr>
        <w:ind w:left="240" w:right="100"/>
        <w:spacing w:after="0" w:line="290" w:lineRule="auto"/>
        <w:rPr>
          <w:sz w:val="20"/>
          <w:szCs w:val="20"/>
          <w:color w:val="auto"/>
        </w:rPr>
      </w:pPr>
      <w:r>
        <w:rPr>
          <w:rFonts w:ascii="Arial" w:cs="Arial" w:eastAsia="Arial" w:hAnsi="Arial"/>
          <w:sz w:val="16"/>
          <w:szCs w:val="16"/>
          <w:i w:val="1"/>
          <w:iCs w:val="1"/>
          <w:color w:val="auto"/>
        </w:rPr>
        <w:t xml:space="preserve">Methane Heather Sally </w:t>
      </w:r>
      <w:r>
        <w:rPr>
          <w:rFonts w:ascii="Arial" w:cs="Arial" w:eastAsia="Arial" w:hAnsi="Arial"/>
          <w:sz w:val="16"/>
          <w:szCs w:val="16"/>
          <w:color w:val="auto"/>
        </w:rPr>
        <w:t>are due to come off charter in October 2019, December 2019, April 2020, June 2020, June 2020 and December 2020,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each plus or minus 30 days. GasLog Partners has secured a one-year charter for either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or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(as nominated by the Partnership), commencing in either November or December 2019 at the Partnership's option. The charter rate for this one-year charter is lower than the current charter rates of either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or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GasLog Partners continues to pursue opportunities for new multi-year charters with third parties and, on an interim basis, may consider trading the vessels in the spot market, pursuing the most advantageous redeployment depending on evolving market conditions.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Additional Vessels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Vessel Interests Purchase Options</w:t>
      </w:r>
    </w:p>
    <w:p>
      <w:pPr>
        <w:spacing w:after="0" w:line="225" w:lineRule="exact"/>
        <w:rPr>
          <w:sz w:val="20"/>
          <w:szCs w:val="20"/>
          <w:color w:val="auto"/>
        </w:rPr>
      </w:pPr>
    </w:p>
    <w:p>
      <w:pPr>
        <w:ind w:left="240" w:right="60" w:firstLine="348"/>
        <w:spacing w:after="0" w:line="298" w:lineRule="auto"/>
        <w:rPr>
          <w:sz w:val="20"/>
          <w:szCs w:val="20"/>
          <w:color w:val="auto"/>
        </w:rPr>
      </w:pPr>
      <w:r>
        <w:rPr>
          <w:rFonts w:ascii="Arial" w:cs="Arial" w:eastAsia="Arial" w:hAnsi="Arial"/>
          <w:sz w:val="16"/>
          <w:szCs w:val="16"/>
          <w:color w:val="auto"/>
        </w:rPr>
        <w:t xml:space="preserve">We currently have the option to purchase from GasLog: (i)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within 36 months after GasLog notifies our board of directors of its acceptance by its charterers and (ii)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within 30 days after GasLog notifies us that the vessel has commenced its multi-year charter with Shell. In each case, our option to purchase is at fair market value as determined pursuant to the omnibus agreement. Our option to acquire the </w:t>
      </w:r>
      <w:r>
        <w:rPr>
          <w:rFonts w:ascii="Arial" w:cs="Arial" w:eastAsia="Arial" w:hAnsi="Arial"/>
          <w:sz w:val="16"/>
          <w:szCs w:val="16"/>
          <w:i w:val="1"/>
          <w:iCs w:val="1"/>
          <w:color w:val="auto"/>
        </w:rPr>
        <w:t>Methane Julia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Louise </w:t>
      </w:r>
      <w:r>
        <w:rPr>
          <w:rFonts w:ascii="Arial" w:cs="Arial" w:eastAsia="Arial" w:hAnsi="Arial"/>
          <w:sz w:val="16"/>
          <w:szCs w:val="16"/>
          <w:color w:val="auto"/>
        </w:rPr>
        <w:t>expired in March 2018, while the options to acquire the</w:t>
      </w:r>
      <w:r>
        <w:rPr>
          <w:rFonts w:ascii="Arial" w:cs="Arial" w:eastAsia="Arial" w:hAnsi="Arial"/>
          <w:sz w:val="16"/>
          <w:szCs w:val="16"/>
          <w:i w:val="1"/>
          <w:iCs w:val="1"/>
          <w:color w:val="auto"/>
        </w:rPr>
        <w:t xml:space="preserve"> GasLog Genoa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Hong Kong </w:t>
      </w:r>
      <w:r>
        <w:rPr>
          <w:rFonts w:ascii="Arial" w:cs="Arial" w:eastAsia="Arial" w:hAnsi="Arial"/>
          <w:sz w:val="16"/>
          <w:szCs w:val="16"/>
          <w:color w:val="auto"/>
        </w:rPr>
        <w:t>expired in April 2018.</w:t>
      </w:r>
    </w:p>
    <w:p>
      <w:pPr>
        <w:spacing w:after="0" w:line="166" w:lineRule="exact"/>
        <w:rPr>
          <w:sz w:val="20"/>
          <w:szCs w:val="20"/>
          <w:color w:val="auto"/>
        </w:rPr>
      </w:pPr>
    </w:p>
    <w:p>
      <w:pPr>
        <w:ind w:left="240" w:right="280" w:firstLine="351"/>
        <w:spacing w:after="0" w:line="268" w:lineRule="auto"/>
        <w:rPr>
          <w:sz w:val="20"/>
          <w:szCs w:val="20"/>
          <w:color w:val="auto"/>
        </w:rPr>
      </w:pPr>
      <w:r>
        <w:rPr>
          <w:rFonts w:ascii="Arial" w:cs="Arial" w:eastAsia="Arial" w:hAnsi="Arial"/>
          <w:sz w:val="18"/>
          <w:szCs w:val="18"/>
          <w:color w:val="auto"/>
        </w:rPr>
        <w:t>See "Item 7. Major Unitholders and Related Party Transactionsâ€”B. Related Party Transactionsâ€”Omnibus Agreementâ€”Noncompetition" of our Annual Report on Form 20-F for additional information on the LNG carrier purchase options.</w:t>
      </w:r>
    </w:p>
    <w:p>
      <w:pPr>
        <w:spacing w:after="0" w:line="180" w:lineRule="exact"/>
        <w:rPr>
          <w:sz w:val="20"/>
          <w:szCs w:val="20"/>
          <w:color w:val="auto"/>
        </w:rPr>
      </w:pPr>
    </w:p>
    <w:tbl>
      <w:tblPr>
        <w:tblLayout w:type="fixed"/>
        <w:tblInd w:w="134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Cargo</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9"/>
              </w:rPr>
              <w:t>Charter</w:t>
            </w: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w w:val="95"/>
              </w:rPr>
              <w:t>Capacity</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360" w:type="dxa"/>
            <w:vAlign w:val="bottom"/>
            <w:gridSpan w:val="4"/>
          </w:tcPr>
          <w:p>
            <w:pPr>
              <w:ind w:left="20"/>
              <w:spacing w:after="0"/>
              <w:rPr>
                <w:sz w:val="20"/>
                <w:szCs w:val="20"/>
                <w:color w:val="auto"/>
              </w:rPr>
            </w:pPr>
            <w:r>
              <w:rPr>
                <w:rFonts w:ascii="Arial" w:cs="Arial" w:eastAsia="Arial" w:hAnsi="Arial"/>
                <w:sz w:val="13"/>
                <w:szCs w:val="13"/>
                <w:b w:val="1"/>
                <w:bCs w:val="1"/>
                <w:color w:val="auto"/>
              </w:rPr>
              <w:t>LNG Carrier</w:t>
            </w: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Year Built</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(cbm)</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Propulsion</w:t>
            </w:r>
          </w:p>
        </w:tc>
        <w:tc>
          <w:tcPr>
            <w:tcW w:w="16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Charterer</w:t>
            </w:r>
          </w:p>
        </w:tc>
        <w:tc>
          <w:tcPr>
            <w:tcW w:w="160" w:type="dxa"/>
            <w:vAlign w:val="bottom"/>
          </w:tcPr>
          <w:p>
            <w:pPr>
              <w:spacing w:after="0"/>
              <w:rPr>
                <w:sz w:val="17"/>
                <w:szCs w:val="17"/>
                <w:color w:val="auto"/>
              </w:rPr>
            </w:pPr>
          </w:p>
        </w:tc>
        <w:tc>
          <w:tcPr>
            <w:tcW w:w="9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8"/>
              </w:rPr>
              <w:t>Expiration</w:t>
            </w:r>
            <w:r>
              <w:rPr>
                <w:rFonts w:ascii="Arial" w:cs="Arial" w:eastAsia="Arial" w:hAnsi="Arial"/>
                <w:sz w:val="20"/>
                <w:szCs w:val="20"/>
                <w:b w:val="1"/>
                <w:bCs w:val="1"/>
                <w:color w:val="auto"/>
                <w:w w:val="98"/>
                <w:vertAlign w:val="superscript"/>
              </w:rPr>
              <w:t>(1)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79"/>
              </w:rPr>
              <w:t>1</w:t>
            </w:r>
          </w:p>
        </w:tc>
        <w:tc>
          <w:tcPr>
            <w:tcW w:w="66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i w:val="1"/>
                <w:iCs w:val="1"/>
                <w:color w:val="auto"/>
                <w:w w:val="98"/>
              </w:rPr>
              <w:t>GasLog</w:t>
            </w:r>
          </w:p>
        </w:tc>
        <w:tc>
          <w:tcPr>
            <w:tcW w:w="3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Glasgow</w:t>
            </w:r>
          </w:p>
        </w:tc>
        <w:tc>
          <w:tcPr>
            <w:tcW w:w="92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2016</w:t>
            </w:r>
          </w:p>
        </w:tc>
        <w:tc>
          <w:tcPr>
            <w:tcW w:w="860" w:type="dxa"/>
            <w:vAlign w:val="bottom"/>
            <w:tcBorders>
              <w:top w:val="single" w:sz="8" w:color="CCEEFF"/>
            </w:tcBorders>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174,000</w:t>
            </w:r>
          </w:p>
        </w:tc>
        <w:tc>
          <w:tcPr>
            <w:tcW w:w="7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TFDE</w:t>
            </w: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Shell</w:t>
            </w:r>
          </w:p>
        </w:tc>
        <w:tc>
          <w:tcPr>
            <w:tcW w:w="1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June 2026</w:t>
            </w:r>
          </w:p>
        </w:tc>
        <w:tc>
          <w:tcPr>
            <w:tcW w:w="0" w:type="dxa"/>
            <w:vAlign w:val="bottom"/>
          </w:tcPr>
          <w:p>
            <w:pPr>
              <w:spacing w:after="0"/>
              <w:rPr>
                <w:sz w:val="1"/>
                <w:szCs w:val="1"/>
                <w:color w:val="auto"/>
              </w:rPr>
            </w:pPr>
          </w:p>
        </w:tc>
      </w:tr>
      <w:tr>
        <w:trPr>
          <w:trHeight w:val="222"/>
        </w:trPr>
        <w:tc>
          <w:tcPr>
            <w:tcW w:w="120" w:type="dxa"/>
            <w:vAlign w:val="bottom"/>
          </w:tcPr>
          <w:p>
            <w:pPr>
              <w:ind w:left="20"/>
              <w:spacing w:after="0"/>
              <w:rPr>
                <w:sz w:val="20"/>
                <w:szCs w:val="20"/>
                <w:color w:val="auto"/>
              </w:rPr>
            </w:pPr>
            <w:r>
              <w:rPr>
                <w:rFonts w:ascii="Arial" w:cs="Arial" w:eastAsia="Arial" w:hAnsi="Arial"/>
                <w:sz w:val="18"/>
                <w:szCs w:val="18"/>
                <w:color w:val="auto"/>
                <w:w w:val="79"/>
              </w:rPr>
              <w:t>2</w:t>
            </w:r>
          </w:p>
        </w:tc>
        <w:tc>
          <w:tcPr>
            <w:tcW w:w="4240" w:type="dxa"/>
            <w:vAlign w:val="bottom"/>
            <w:gridSpan w:val="3"/>
          </w:tcPr>
          <w:p>
            <w:pPr>
              <w:ind w:left="20"/>
              <w:spacing w:after="0"/>
              <w:rPr>
                <w:sz w:val="20"/>
                <w:szCs w:val="20"/>
                <w:color w:val="auto"/>
              </w:rPr>
            </w:pPr>
            <w:r>
              <w:rPr>
                <w:rFonts w:ascii="Arial" w:cs="Arial" w:eastAsia="Arial" w:hAnsi="Arial"/>
                <w:sz w:val="18"/>
                <w:szCs w:val="18"/>
                <w:i w:val="1"/>
                <w:iCs w:val="1"/>
                <w:color w:val="auto"/>
              </w:rPr>
              <w:t>GasLog Houston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174,000</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9"/>
                <w:szCs w:val="19"/>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May 2028</w:t>
            </w:r>
          </w:p>
        </w:tc>
        <w:tc>
          <w:tcPr>
            <w:tcW w:w="0" w:type="dxa"/>
            <w:vAlign w:val="bottom"/>
          </w:tcPr>
          <w:p>
            <w:pPr>
              <w:spacing w:after="0"/>
              <w:rPr>
                <w:sz w:val="1"/>
                <w:szCs w:val="1"/>
                <w:color w:val="auto"/>
              </w:rPr>
            </w:pPr>
          </w:p>
        </w:tc>
      </w:tr>
      <w:tr>
        <w:trPr>
          <w:trHeight w:val="102"/>
        </w:trPr>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900" w:hanging="549"/>
        <w:spacing w:after="0"/>
        <w:tabs>
          <w:tab w:leader="none" w:pos="1900" w:val="left"/>
        </w:tabs>
        <w:numPr>
          <w:ilvl w:val="0"/>
          <w:numId w:val="2"/>
        </w:numPr>
        <w:rPr>
          <w:rFonts w:ascii="Arial" w:cs="Arial" w:eastAsia="Arial" w:hAnsi="Arial"/>
          <w:sz w:val="11"/>
          <w:szCs w:val="11"/>
          <w:color w:val="auto"/>
        </w:rPr>
      </w:pPr>
      <w:r>
        <w:rPr>
          <w:rFonts w:ascii="Arial" w:cs="Arial" w:eastAsia="Arial" w:hAnsi="Arial"/>
          <w:sz w:val="13"/>
          <w:szCs w:val="13"/>
          <w:color w:val="auto"/>
        </w:rPr>
        <w:t>Indicates the expiration of the initial fixed term.</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left="240" w:firstLine="351"/>
        <w:spacing w:after="0" w:line="288"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seven newbuildings listed below will each qualify as a Five-Year Vessel upon commencement of their respective multi-year charters, and GasLog will be required to offer to us an opportunity to purchase each vessel at fair market value within 30 days of the commencement of its charter. Generally, we must exercise this right of first offer within 30 days following the notice from GasLog that each vessel has been acquired or has become a Five-Year Vessel.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280"/>
          </w:cols>
          <w:pgMar w:left="160" w:top="51" w:right="4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6304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41870" cy="630491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Cargo</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Estimated</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20" w:type="dxa"/>
            <w:vAlign w:val="bottom"/>
            <w:vMerge w:val="restart"/>
          </w:tcPr>
          <w:p>
            <w:pPr>
              <w:ind w:left="120"/>
              <w:spacing w:after="0"/>
              <w:rPr>
                <w:sz w:val="20"/>
                <w:szCs w:val="20"/>
                <w:color w:val="auto"/>
              </w:rPr>
            </w:pPr>
            <w:r>
              <w:rPr>
                <w:rFonts w:ascii="Arial" w:cs="Arial" w:eastAsia="Arial" w:hAnsi="Arial"/>
                <w:sz w:val="13"/>
                <w:szCs w:val="13"/>
                <w:b w:val="1"/>
                <w:bCs w:val="1"/>
                <w:color w:val="auto"/>
                <w:w w:val="99"/>
              </w:rPr>
              <w:t>Year Built</w:t>
            </w:r>
            <w:r>
              <w:rPr>
                <w:rFonts w:ascii="Arial" w:cs="Arial" w:eastAsia="Arial" w:hAnsi="Arial"/>
                <w:sz w:val="22"/>
                <w:szCs w:val="22"/>
                <w:b w:val="1"/>
                <w:bCs w:val="1"/>
                <w:color w:val="auto"/>
                <w:w w:val="99"/>
                <w:vertAlign w:val="superscript"/>
              </w:rPr>
              <w:t>(1)</w:t>
            </w:r>
          </w:p>
        </w:tc>
        <w:tc>
          <w:tcPr>
            <w:tcW w:w="160" w:type="dxa"/>
            <w:vAlign w:val="bottom"/>
            <w:vMerge w:val="restart"/>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Capacity</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Charter</w:t>
            </w:r>
          </w:p>
        </w:tc>
        <w:tc>
          <w:tcPr>
            <w:tcW w:w="0" w:type="dxa"/>
            <w:vAlign w:val="bottom"/>
          </w:tcPr>
          <w:p>
            <w:pPr>
              <w:spacing w:after="0"/>
              <w:rPr>
                <w:sz w:val="1"/>
                <w:szCs w:val="1"/>
                <w:color w:val="auto"/>
              </w:rPr>
            </w:pPr>
          </w:p>
        </w:tc>
      </w:tr>
      <w:tr>
        <w:trPr>
          <w:trHeight w:val="196"/>
        </w:trPr>
        <w:tc>
          <w:tcPr>
            <w:tcW w:w="4220" w:type="dxa"/>
            <w:vAlign w:val="bottom"/>
            <w:gridSpan w:val="4"/>
          </w:tcPr>
          <w:p>
            <w:pPr>
              <w:ind w:left="20"/>
              <w:spacing w:after="0"/>
              <w:rPr>
                <w:sz w:val="20"/>
                <w:szCs w:val="20"/>
                <w:color w:val="auto"/>
              </w:rPr>
            </w:pPr>
            <w:r>
              <w:rPr>
                <w:rFonts w:ascii="Arial" w:cs="Arial" w:eastAsia="Arial" w:hAnsi="Arial"/>
                <w:sz w:val="13"/>
                <w:szCs w:val="13"/>
                <w:b w:val="1"/>
                <w:bCs w:val="1"/>
                <w:color w:val="auto"/>
              </w:rPr>
              <w:t>LNG Carrier</w:t>
            </w:r>
          </w:p>
        </w:tc>
        <w:tc>
          <w:tcPr>
            <w:tcW w:w="92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(cbm)</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Propulsion</w:t>
            </w:r>
          </w:p>
        </w:tc>
        <w:tc>
          <w:tcPr>
            <w:tcW w:w="18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Charterer</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rPr>
              <w:t>Expiration</w:t>
            </w:r>
            <w:r>
              <w:rPr>
                <w:rFonts w:ascii="Arial" w:cs="Arial" w:eastAsia="Arial" w:hAnsi="Arial"/>
                <w:sz w:val="20"/>
                <w:szCs w:val="20"/>
                <w:b w:val="1"/>
                <w:bCs w:val="1"/>
                <w:color w:val="auto"/>
                <w:vertAlign w:val="superscript"/>
              </w:rPr>
              <w:t>(2)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79"/>
              </w:rPr>
              <w:t>1</w:t>
            </w:r>
          </w:p>
        </w:tc>
        <w:tc>
          <w:tcPr>
            <w:tcW w:w="66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i w:val="1"/>
                <w:iCs w:val="1"/>
                <w:color w:val="auto"/>
                <w:w w:val="96"/>
              </w:rPr>
              <w:t>Hull No.</w:t>
            </w:r>
          </w:p>
        </w:tc>
        <w:tc>
          <w:tcPr>
            <w:tcW w:w="3440" w:type="dxa"/>
            <w:vAlign w:val="bottom"/>
            <w:tcBorders>
              <w:top w:val="single" w:sz="8" w:color="CCEEFF"/>
            </w:tcBorders>
            <w:gridSpan w:val="2"/>
            <w:shd w:val="clear" w:color="auto" w:fill="CCEEFF"/>
          </w:tcPr>
          <w:p>
            <w:pPr>
              <w:jc w:val="right"/>
              <w:ind w:right="3080"/>
              <w:spacing w:after="0" w:line="189" w:lineRule="exact"/>
              <w:rPr>
                <w:sz w:val="20"/>
                <w:szCs w:val="20"/>
                <w:color w:val="auto"/>
              </w:rPr>
            </w:pPr>
            <w:r>
              <w:rPr>
                <w:rFonts w:ascii="Arial" w:cs="Arial" w:eastAsia="Arial" w:hAnsi="Arial"/>
                <w:sz w:val="18"/>
                <w:szCs w:val="18"/>
                <w:i w:val="1"/>
                <w:iCs w:val="1"/>
                <w:color w:val="auto"/>
                <w:w w:val="84"/>
              </w:rPr>
              <w:t>2131</w:t>
            </w:r>
          </w:p>
        </w:tc>
        <w:tc>
          <w:tcPr>
            <w:tcW w:w="1080" w:type="dxa"/>
            <w:vAlign w:val="bottom"/>
            <w:tcBorders>
              <w:top w:val="single" w:sz="8" w:color="CCEEFF"/>
            </w:tcBorders>
            <w:gridSpan w:val="2"/>
            <w:shd w:val="clear" w:color="auto" w:fill="CCEEFF"/>
          </w:tcPr>
          <w:p>
            <w:pPr>
              <w:ind w:left="320"/>
              <w:spacing w:after="0" w:line="189" w:lineRule="exact"/>
              <w:rPr>
                <w:sz w:val="20"/>
                <w:szCs w:val="20"/>
                <w:color w:val="auto"/>
              </w:rPr>
            </w:pPr>
            <w:r>
              <w:rPr>
                <w:rFonts w:ascii="Arial" w:cs="Arial" w:eastAsia="Arial" w:hAnsi="Arial"/>
                <w:sz w:val="18"/>
                <w:szCs w:val="18"/>
                <w:color w:val="auto"/>
              </w:rPr>
              <w:t>Q1 2019</w:t>
            </w:r>
          </w:p>
        </w:tc>
        <w:tc>
          <w:tcPr>
            <w:tcW w:w="88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174,000</w:t>
            </w:r>
          </w:p>
        </w:tc>
        <w:tc>
          <w:tcPr>
            <w:tcW w:w="70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LP-2S</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Shell</w:t>
            </w:r>
          </w:p>
        </w:tc>
        <w:tc>
          <w:tcPr>
            <w:tcW w:w="940" w:type="dxa"/>
            <w:vAlign w:val="bottom"/>
            <w:tcBorders>
              <w:top w:val="single" w:sz="8" w:color="CCEEFF"/>
            </w:tcBorders>
            <w:gridSpan w:val="2"/>
            <w:shd w:val="clear" w:color="auto" w:fill="CCEEFF"/>
          </w:tcPr>
          <w:p>
            <w:pPr>
              <w:jc w:val="right"/>
              <w:ind w:right="94"/>
              <w:spacing w:after="0" w:line="189" w:lineRule="exact"/>
              <w:rPr>
                <w:sz w:val="20"/>
                <w:szCs w:val="20"/>
                <w:color w:val="auto"/>
              </w:rPr>
            </w:pPr>
            <w:r>
              <w:rPr>
                <w:rFonts w:ascii="Arial" w:cs="Arial" w:eastAsia="Arial" w:hAnsi="Arial"/>
                <w:sz w:val="18"/>
                <w:szCs w:val="18"/>
                <w:color w:val="auto"/>
              </w:rPr>
              <w:t>2029</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ind w:left="20"/>
              <w:spacing w:after="0"/>
              <w:rPr>
                <w:sz w:val="20"/>
                <w:szCs w:val="20"/>
                <w:color w:val="auto"/>
              </w:rPr>
            </w:pPr>
            <w:r>
              <w:rPr>
                <w:rFonts w:ascii="Arial" w:cs="Arial" w:eastAsia="Arial" w:hAnsi="Arial"/>
                <w:sz w:val="18"/>
                <w:szCs w:val="18"/>
                <w:color w:val="auto"/>
                <w:w w:val="79"/>
              </w:rPr>
              <w:t>2</w:t>
            </w:r>
          </w:p>
        </w:tc>
        <w:tc>
          <w:tcPr>
            <w:tcW w:w="4100" w:type="dxa"/>
            <w:vAlign w:val="bottom"/>
            <w:gridSpan w:val="3"/>
          </w:tcPr>
          <w:p>
            <w:pPr>
              <w:ind w:left="20"/>
              <w:spacing w:after="0"/>
              <w:rPr>
                <w:sz w:val="20"/>
                <w:szCs w:val="20"/>
                <w:color w:val="auto"/>
              </w:rPr>
            </w:pPr>
            <w:r>
              <w:rPr>
                <w:rFonts w:ascii="Arial" w:cs="Arial" w:eastAsia="Arial" w:hAnsi="Arial"/>
                <w:sz w:val="18"/>
                <w:szCs w:val="18"/>
                <w:i w:val="1"/>
                <w:iCs w:val="1"/>
                <w:color w:val="auto"/>
              </w:rPr>
              <w:t>Hull No. 2213</w:t>
            </w: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Q2 2020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180,000</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Centrica</w:t>
            </w:r>
          </w:p>
        </w:tc>
        <w:tc>
          <w:tcPr>
            <w:tcW w:w="940" w:type="dxa"/>
            <w:vAlign w:val="bottom"/>
            <w:gridSpan w:val="2"/>
          </w:tcPr>
          <w:p>
            <w:pPr>
              <w:jc w:val="right"/>
              <w:ind w:right="94"/>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3</w:t>
            </w:r>
          </w:p>
        </w:tc>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Hull No. 2262</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Q3 2020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LP-2S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Centrica</w:t>
            </w:r>
          </w:p>
        </w:tc>
        <w:tc>
          <w:tcPr>
            <w:tcW w:w="94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ind w:left="20"/>
              <w:spacing w:after="0"/>
              <w:rPr>
                <w:sz w:val="20"/>
                <w:szCs w:val="20"/>
                <w:color w:val="auto"/>
              </w:rPr>
            </w:pPr>
            <w:r>
              <w:rPr>
                <w:rFonts w:ascii="Arial" w:cs="Arial" w:eastAsia="Arial" w:hAnsi="Arial"/>
                <w:sz w:val="18"/>
                <w:szCs w:val="18"/>
                <w:color w:val="auto"/>
                <w:w w:val="79"/>
              </w:rPr>
              <w:t>4</w:t>
            </w:r>
          </w:p>
        </w:tc>
        <w:tc>
          <w:tcPr>
            <w:tcW w:w="4100" w:type="dxa"/>
            <w:vAlign w:val="bottom"/>
            <w:gridSpan w:val="3"/>
          </w:tcPr>
          <w:p>
            <w:pPr>
              <w:ind w:left="20"/>
              <w:spacing w:after="0"/>
              <w:rPr>
                <w:sz w:val="20"/>
                <w:szCs w:val="20"/>
                <w:color w:val="auto"/>
              </w:rPr>
            </w:pPr>
            <w:r>
              <w:rPr>
                <w:rFonts w:ascii="Arial" w:cs="Arial" w:eastAsia="Arial" w:hAnsi="Arial"/>
                <w:sz w:val="18"/>
                <w:szCs w:val="18"/>
                <w:i w:val="1"/>
                <w:iCs w:val="1"/>
                <w:color w:val="auto"/>
              </w:rPr>
              <w:t>Hull No. 2300</w:t>
            </w: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Q4 2020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174,000</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Cheniere</w:t>
            </w:r>
          </w:p>
        </w:tc>
        <w:tc>
          <w:tcPr>
            <w:tcW w:w="940" w:type="dxa"/>
            <w:vAlign w:val="bottom"/>
            <w:gridSpan w:val="2"/>
          </w:tcPr>
          <w:p>
            <w:pPr>
              <w:jc w:val="right"/>
              <w:ind w:right="94"/>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5</w:t>
            </w:r>
          </w:p>
        </w:tc>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Hull No. 2301</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Q4 2020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LP-2S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Cheniere</w:t>
            </w:r>
          </w:p>
        </w:tc>
        <w:tc>
          <w:tcPr>
            <w:tcW w:w="94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ind w:left="20"/>
              <w:spacing w:after="0"/>
              <w:rPr>
                <w:sz w:val="20"/>
                <w:szCs w:val="20"/>
                <w:color w:val="auto"/>
              </w:rPr>
            </w:pPr>
            <w:r>
              <w:rPr>
                <w:rFonts w:ascii="Arial" w:cs="Arial" w:eastAsia="Arial" w:hAnsi="Arial"/>
                <w:sz w:val="18"/>
                <w:szCs w:val="18"/>
                <w:color w:val="auto"/>
                <w:w w:val="79"/>
              </w:rPr>
              <w:t>6</w:t>
            </w:r>
          </w:p>
        </w:tc>
        <w:tc>
          <w:tcPr>
            <w:tcW w:w="4100" w:type="dxa"/>
            <w:vAlign w:val="bottom"/>
            <w:gridSpan w:val="3"/>
          </w:tcPr>
          <w:p>
            <w:pPr>
              <w:ind w:left="20"/>
              <w:spacing w:after="0"/>
              <w:rPr>
                <w:sz w:val="20"/>
                <w:szCs w:val="20"/>
                <w:color w:val="auto"/>
              </w:rPr>
            </w:pPr>
            <w:r>
              <w:rPr>
                <w:rFonts w:ascii="Arial" w:cs="Arial" w:eastAsia="Arial" w:hAnsi="Arial"/>
                <w:sz w:val="18"/>
                <w:szCs w:val="18"/>
                <w:i w:val="1"/>
                <w:iCs w:val="1"/>
                <w:color w:val="auto"/>
              </w:rPr>
              <w:t>Hull No. 2311</w:t>
            </w: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Q2 2021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180,000</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Cheniere</w:t>
            </w:r>
          </w:p>
        </w:tc>
        <w:tc>
          <w:tcPr>
            <w:tcW w:w="940" w:type="dxa"/>
            <w:vAlign w:val="bottom"/>
            <w:gridSpan w:val="2"/>
          </w:tcPr>
          <w:p>
            <w:pPr>
              <w:jc w:val="right"/>
              <w:ind w:right="94"/>
              <w:spacing w:after="0"/>
              <w:rPr>
                <w:sz w:val="20"/>
                <w:szCs w:val="20"/>
                <w:color w:val="auto"/>
              </w:rPr>
            </w:pPr>
            <w:r>
              <w:rPr>
                <w:rFonts w:ascii="Arial" w:cs="Arial" w:eastAsia="Arial" w:hAnsi="Arial"/>
                <w:sz w:val="18"/>
                <w:szCs w:val="18"/>
                <w:color w:val="auto"/>
              </w:rPr>
              <w:t>2028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7</w:t>
            </w:r>
          </w:p>
        </w:tc>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Hull No. 2312</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Q3 2021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LP-2S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Cheniere</w:t>
            </w:r>
          </w:p>
        </w:tc>
        <w:tc>
          <w:tcPr>
            <w:tcW w:w="94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900" w:hanging="549"/>
        <w:spacing w:after="0"/>
        <w:tabs>
          <w:tab w:leader="none" w:pos="1900" w:val="left"/>
        </w:tabs>
        <w:numPr>
          <w:ilvl w:val="0"/>
          <w:numId w:val="3"/>
        </w:numPr>
        <w:rPr>
          <w:rFonts w:ascii="Arial" w:cs="Arial" w:eastAsia="Arial" w:hAnsi="Arial"/>
          <w:sz w:val="11"/>
          <w:szCs w:val="11"/>
          <w:color w:val="auto"/>
        </w:rPr>
      </w:pPr>
      <w:r>
        <w:rPr>
          <w:rFonts w:ascii="Arial" w:cs="Arial" w:eastAsia="Arial" w:hAnsi="Arial"/>
          <w:sz w:val="13"/>
          <w:szCs w:val="13"/>
          <w:color w:val="auto"/>
        </w:rPr>
        <w:t>Expected delivery quarters are presented.</w:t>
      </w:r>
    </w:p>
    <w:p>
      <w:pPr>
        <w:spacing w:after="0" w:line="134" w:lineRule="exact"/>
        <w:rPr>
          <w:rFonts w:ascii="Arial" w:cs="Arial" w:eastAsia="Arial" w:hAnsi="Arial"/>
          <w:sz w:val="11"/>
          <w:szCs w:val="11"/>
          <w:color w:val="auto"/>
        </w:rPr>
      </w:pPr>
    </w:p>
    <w:p>
      <w:pPr>
        <w:ind w:left="1900" w:hanging="549"/>
        <w:spacing w:after="0"/>
        <w:tabs>
          <w:tab w:leader="none" w:pos="1900" w:val="left"/>
        </w:tabs>
        <w:numPr>
          <w:ilvl w:val="0"/>
          <w:numId w:val="3"/>
        </w:numPr>
        <w:rPr>
          <w:rFonts w:ascii="Arial" w:cs="Arial" w:eastAsia="Arial" w:hAnsi="Arial"/>
          <w:sz w:val="11"/>
          <w:szCs w:val="11"/>
          <w:color w:val="auto"/>
        </w:rPr>
      </w:pPr>
      <w:r>
        <w:rPr>
          <w:rFonts w:ascii="Arial" w:cs="Arial" w:eastAsia="Arial" w:hAnsi="Arial"/>
          <w:sz w:val="13"/>
          <w:szCs w:val="13"/>
          <w:color w:val="auto"/>
        </w:rPr>
        <w:t>Charter expiration to be determined based upon actual date of delivery.</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ind w:left="240" w:right="160" w:firstLine="351"/>
        <w:spacing w:after="0" w:line="259" w:lineRule="auto"/>
        <w:rPr>
          <w:sz w:val="20"/>
          <w:szCs w:val="20"/>
          <w:color w:val="auto"/>
        </w:rPr>
      </w:pPr>
      <w:r>
        <w:rPr>
          <w:rFonts w:ascii="Arial" w:cs="Arial" w:eastAsia="Arial" w:hAnsi="Arial"/>
          <w:sz w:val="18"/>
          <w:szCs w:val="18"/>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prospectus supplement.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Vessel Acquisition Considerations</w:t>
      </w:r>
    </w:p>
    <w:p>
      <w:pPr>
        <w:spacing w:after="0" w:line="225" w:lineRule="exact"/>
        <w:rPr>
          <w:sz w:val="20"/>
          <w:szCs w:val="20"/>
          <w:color w:val="auto"/>
        </w:rPr>
      </w:pPr>
    </w:p>
    <w:p>
      <w:pPr>
        <w:ind w:left="240" w:right="20" w:firstLine="348"/>
        <w:spacing w:after="0" w:line="287" w:lineRule="auto"/>
        <w:rPr>
          <w:sz w:val="20"/>
          <w:szCs w:val="20"/>
          <w:color w:val="auto"/>
        </w:rPr>
      </w:pPr>
      <w:r>
        <w:rPr>
          <w:rFonts w:ascii="Arial" w:cs="Arial" w:eastAsia="Arial" w:hAnsi="Arial"/>
          <w:sz w:val="16"/>
          <w:szCs w:val="16"/>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Following the Series C Preference Units raise completed on November 15, 2018, we have raised additional net proceeds of approximately $96.3 million which will be used for general partnership purposes, which may include funding future vessel acquisitions. We currently expect that this will include future acquisitions from GasLog. Our ability to acquire additional vessels from GasLog is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Informationâ€”D. Risk Factorsâ€”Risks Inherent in Our Business" of our Annual Report on Form 20-F for a discussion of the risks we face in acquiring vessels. See also "Item 7. Major Unitholders and Related Party Transactionsâ€”B. Related Party Transactionsâ€”Omnibus Agreement" of our Annual Report on Form 20-F.</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ATM Programme</w:t>
      </w:r>
    </w:p>
    <w:p>
      <w:pPr>
        <w:spacing w:after="0" w:line="231" w:lineRule="exact"/>
        <w:rPr>
          <w:sz w:val="20"/>
          <w:szCs w:val="20"/>
          <w:color w:val="auto"/>
        </w:rPr>
      </w:pPr>
    </w:p>
    <w:p>
      <w:pPr>
        <w:jc w:val="both"/>
        <w:ind w:left="240" w:right="120" w:firstLine="351"/>
        <w:spacing w:after="0" w:line="306" w:lineRule="auto"/>
        <w:rPr>
          <w:sz w:val="20"/>
          <w:szCs w:val="20"/>
          <w:color w:val="auto"/>
        </w:rPr>
      </w:pPr>
      <w:r>
        <w:rPr>
          <w:rFonts w:ascii="Arial" w:cs="Arial" w:eastAsia="Arial" w:hAnsi="Arial"/>
          <w:sz w:val="16"/>
          <w:szCs w:val="16"/>
          <w:color w:val="auto"/>
        </w:rPr>
        <w:t>On May 16, 2017, the Partnership commenced its ATM Programme under which we may, from time to time, raise equity through the issuance and sale of new common units. Following an increase in the size of the ATM Programme completed on November 3, 2017, we can issue up to $144.0 million in new common units. As of February 21, 2019, 5,291,304 common units have been issued through the ATM Programme.</w:t>
      </w:r>
    </w:p>
    <w:p>
      <w:pPr>
        <w:spacing w:after="0" w:line="160"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color w:val="auto"/>
        </w:rPr>
        <w:t>Under the ATM Programme, in the year ended December 31, 2018, GasLog Partners issued and received payment for 2,553,889 common units at a weighted average price of $23.72 per common unit for total gross proceeds of $60.6 million and total net proceeds of $60.0 million, after broker commissions of $0.2 million and other expenses of $0.4 million. In connection with the issuance of common units under the ATM Programme during this period, the Partnership also issued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320"/>
          </w:cols>
          <w:pgMar w:left="160" w:top="51" w:right="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3870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1870" cy="387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color w:val="auto"/>
        </w:rPr>
        <w:t>52,121 general partner units to its general partner in order for GasLog to retain its 2.0% general partner interest. The net proceeds from the issuance of the general partner units were $1.2 million.</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Relationship with GasLog Ltd.</w:t>
      </w:r>
    </w:p>
    <w:p>
      <w:pPr>
        <w:spacing w:after="0" w:line="231" w:lineRule="exact"/>
        <w:rPr>
          <w:sz w:val="20"/>
          <w:szCs w:val="20"/>
          <w:color w:val="auto"/>
        </w:rPr>
      </w:pPr>
    </w:p>
    <w:p>
      <w:pPr>
        <w:ind w:left="240" w:firstLine="348"/>
        <w:spacing w:after="0" w:line="285" w:lineRule="auto"/>
        <w:rPr>
          <w:sz w:val="20"/>
          <w:szCs w:val="20"/>
          <w:color w:val="auto"/>
        </w:rPr>
      </w:pPr>
      <w:r>
        <w:rPr>
          <w:rFonts w:ascii="Arial" w:cs="Arial" w:eastAsia="Arial" w:hAnsi="Arial"/>
          <w:sz w:val="16"/>
          <w:szCs w:val="16"/>
          <w:color w:val="auto"/>
        </w:rPr>
        <w:t xml:space="preserve">We believe that one of our principal strengths is our relationship with GasLog. We believe our relationship with GasLog gives us access to GasLog's relationships with leading energy companies, shipbuilders, financing sources and suppliers and to its technical, commercial and managerial expertise, which we believe will allow us to compete more effectively when seeking additional customers. As of February 26, 2019, GasLog's wholly owned fleet includes 20 LNG carriers (including eleven ships in operation and nine LNG carriers on order) and GasLog has one LNG carrier operating under its technical management for third parties, and a vessel secured under a long-term bareboat charter from Lepta Shipping, a subsidiary of Mitsui. In addition, GasLog holds a 27.5% interest (including the 2% interest through general partner units) in the Partnership. GasLog was incorporated in 2003 and is effectively controlled by its chairman, Peter G. Livanos, who beneficially owns approximately 40.1% of GasLog's common shares. Mr. Livanos's family's shipping activities commenced more than 100 years ago. Since its initial public offering in April 2012, GasLog has increased by approximately 118% the total carrying capacity of vessels in its fleet, which includes vessels on the water and newbuildings on order. In addition, GasLog, through its wholly owned subsidiary GasLog LNG Services, provides ship management services to the LNG carriers in our fleet, except for the </w:t>
      </w:r>
      <w:r>
        <w:rPr>
          <w:rFonts w:ascii="Arial" w:cs="Arial" w:eastAsia="Arial" w:hAnsi="Arial"/>
          <w:sz w:val="16"/>
          <w:szCs w:val="16"/>
          <w:i w:val="1"/>
          <w:iCs w:val="1"/>
          <w:color w:val="auto"/>
        </w:rPr>
        <w:t>Solaris</w:t>
      </w:r>
      <w:r>
        <w:rPr>
          <w:rFonts w:ascii="Arial" w:cs="Arial" w:eastAsia="Arial" w:hAnsi="Arial"/>
          <w:sz w:val="16"/>
          <w:szCs w:val="16"/>
          <w:color w:val="auto"/>
        </w:rPr>
        <w:t>, which is managed by a subsidiary of Shell and, subject to any alternative arrangements with the applicable charterer, additional ships we may acquire from GasLog. GasLog also provides certain administrative and commercial management services to the Partnership. There are also risks associated with GasLog that may affect us. See "Item 3. Key Informationâ€”D. Risk Factorsâ€”Risks Inherent in Our Business" of our Annual Report on Form 20-F.</w:t>
      </w:r>
    </w:p>
    <w:p>
      <w:pPr>
        <w:spacing w:after="0" w:line="184" w:lineRule="exact"/>
        <w:rPr>
          <w:sz w:val="20"/>
          <w:szCs w:val="20"/>
          <w:color w:val="auto"/>
        </w:rPr>
      </w:pPr>
    </w:p>
    <w:p>
      <w:pPr>
        <w:ind w:left="240" w:right="120" w:firstLine="341"/>
        <w:spacing w:after="0" w:line="298" w:lineRule="auto"/>
        <w:rPr>
          <w:sz w:val="20"/>
          <w:szCs w:val="20"/>
          <w:color w:val="auto"/>
        </w:rPr>
      </w:pPr>
      <w:r>
        <w:rPr>
          <w:rFonts w:ascii="Arial" w:cs="Arial" w:eastAsia="Arial" w:hAnsi="Arial"/>
          <w:sz w:val="16"/>
          <w:szCs w:val="16"/>
          <w:color w:val="auto"/>
        </w:rPr>
        <w:t>As of February 26, 2019, GasLog will own our 2.0% general partner interest, all of our incentive distribution rights and 11,843,691 common units. Our general partner, by virtue of its general partner interest, controls the appointment of four of our seven directors (subject to its right to transfer the power to elect one director to the common unitholders so that they will thereafter elect a majority of our directors). GasLog intends to utilize us as its primary growth vehicle to pursue the acquisition of LNG carriers that are expected to generate long-term, stable cash flows.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320"/>
          </w:cols>
          <w:pgMar w:left="160" w:top="51" w:right="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341870" cy="7710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1870" cy="771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Our principal executive offices are located at Gildo Pastor Center, 7 Rue du Gabian, MC 98000, Monaco, and our phone number is + 377 97 97 51 15. We make our periodic reports and other information filed with or furnished to the SEC available free of charge through our website at www.gaslogmlp.com as soon as reasonably practicable after those reports and other information are electronically filed with or furnished to the SEC. See "Where You Can Find More Information" for an explanation of our reporting requirements as a foreign private issuer.</w:t>
      </w:r>
    </w:p>
    <w:p>
      <w:pPr>
        <w:spacing w:after="0" w:line="37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Organizational and Ownership Structure</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and diagram depict our simplified organizational and ownership structure as of February 26, 2019:</w:t>
      </w:r>
    </w:p>
    <w:p>
      <w:pPr>
        <w:spacing w:after="0" w:line="22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Number of</w:t>
            </w:r>
          </w:p>
        </w:tc>
        <w:tc>
          <w:tcPr>
            <w:tcW w:w="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1"/>
              </w:rPr>
              <w:t>Percentage</w:t>
            </w: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4"/>
              </w:rPr>
              <w:t>Units</w:t>
            </w:r>
            <w:r>
              <w:rPr>
                <w:rFonts w:ascii="Arial" w:cs="Arial" w:eastAsia="Arial" w:hAnsi="Arial"/>
                <w:sz w:val="20"/>
                <w:szCs w:val="20"/>
                <w:b w:val="1"/>
                <w:bCs w:val="1"/>
                <w:color w:val="auto"/>
                <w:w w:val="94"/>
                <w:vertAlign w:val="superscript"/>
              </w:rPr>
              <w:t>(1)</w:t>
            </w: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5"/>
              </w:rPr>
              <w:t>Ownership</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Public Common Units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33,605,302</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72.46%</w:t>
            </w:r>
          </w:p>
        </w:tc>
        <w:tc>
          <w:tcPr>
            <w:tcW w:w="0" w:type="dxa"/>
            <w:vAlign w:val="bottom"/>
          </w:tcPr>
          <w:p>
            <w:pPr>
              <w:spacing w:after="0"/>
              <w:rPr>
                <w:sz w:val="1"/>
                <w:szCs w:val="1"/>
                <w:color w:val="auto"/>
              </w:rPr>
            </w:pPr>
          </w:p>
        </w:tc>
      </w:tr>
      <w:tr>
        <w:trPr>
          <w:trHeight w:val="216"/>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Common Units held by GasLog Ltd.</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11,843,691</w:t>
            </w: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03"/>
        </w:trPr>
        <w:tc>
          <w:tcPr>
            <w:tcW w:w="4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General Partner Units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927,532</w:t>
            </w:r>
          </w:p>
        </w:tc>
        <w:tc>
          <w:tcPr>
            <w:tcW w:w="6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4"/>
        </w:trPr>
        <w:tc>
          <w:tcPr>
            <w:tcW w:w="4640" w:type="dxa"/>
            <w:vAlign w:val="bottom"/>
            <w:gridSpan w:val="2"/>
            <w:vMerge w:val="restart"/>
          </w:tcPr>
          <w:p>
            <w:pPr>
              <w:ind w:left="20"/>
              <w:spacing w:after="0"/>
              <w:rPr>
                <w:sz w:val="20"/>
                <w:szCs w:val="20"/>
                <w:color w:val="auto"/>
              </w:rPr>
            </w:pPr>
            <w:r>
              <w:rPr>
                <w:rFonts w:ascii="Arial" w:cs="Arial" w:eastAsia="Arial" w:hAnsi="Arial"/>
                <w:sz w:val="3"/>
                <w:szCs w:val="3"/>
                <w:color w:val="auto"/>
              </w:rPr>
              <w:t>â€‹</w:t>
            </w:r>
          </w:p>
        </w:tc>
        <w:tc>
          <w:tcPr>
            <w:tcW w:w="2200" w:type="dxa"/>
            <w:vAlign w:val="bottom"/>
            <w:vMerge w:val="restart"/>
          </w:tcPr>
          <w:p>
            <w:pPr>
              <w:ind w:left="2060"/>
              <w:spacing w:after="0"/>
              <w:rPr>
                <w:sz w:val="20"/>
                <w:szCs w:val="20"/>
                <w:color w:val="auto"/>
              </w:rPr>
            </w:pPr>
            <w:r>
              <w:rPr>
                <w:rFonts w:ascii="Arial" w:cs="Arial" w:eastAsia="Arial" w:hAnsi="Arial"/>
                <w:sz w:val="3"/>
                <w:szCs w:val="3"/>
                <w:color w:val="auto"/>
              </w:rPr>
              <w:t>â€‹</w:t>
            </w:r>
          </w:p>
        </w:tc>
        <w:tc>
          <w:tcPr>
            <w:tcW w:w="100" w:type="dxa"/>
            <w:vAlign w:val="bottom"/>
          </w:tcPr>
          <w:p>
            <w:pPr>
              <w:ind w:left="20"/>
              <w:spacing w:after="0"/>
              <w:rPr>
                <w:sz w:val="20"/>
                <w:szCs w:val="20"/>
                <w:color w:val="auto"/>
              </w:rPr>
            </w:pPr>
            <w:r>
              <w:rPr>
                <w:rFonts w:ascii="Arial" w:cs="Arial" w:eastAsia="Arial" w:hAnsi="Arial"/>
                <w:sz w:val="3"/>
                <w:szCs w:val="3"/>
                <w:color w:val="auto"/>
              </w:rPr>
              <w:t>â€‹</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84"/>
              </w:rPr>
              <w:t>46,376,525</w:t>
            </w:r>
            <w:r>
              <w:rPr>
                <w:rFonts w:ascii="Arial" w:cs="Arial" w:eastAsia="Arial" w:hAnsi="Arial"/>
                <w:sz w:val="5"/>
                <w:szCs w:val="5"/>
                <w:color w:val="auto"/>
                <w:w w:val="84"/>
                <w:vertAlign w:val="superscript"/>
              </w:rPr>
              <w:t>â€‹â€‹</w:t>
            </w:r>
          </w:p>
        </w:tc>
        <w:tc>
          <w:tcPr>
            <w:tcW w:w="60" w:type="dxa"/>
            <w:vAlign w:val="bottom"/>
          </w:tcPr>
          <w:p>
            <w:pPr>
              <w:ind w:left="20"/>
              <w:spacing w:after="0"/>
              <w:rPr>
                <w:sz w:val="20"/>
                <w:szCs w:val="20"/>
                <w:color w:val="auto"/>
              </w:rPr>
            </w:pPr>
            <w:r>
              <w:rPr>
                <w:rFonts w:ascii="Arial" w:cs="Arial" w:eastAsia="Arial" w:hAnsi="Arial"/>
                <w:sz w:val="1"/>
                <w:szCs w:val="1"/>
                <w:color w:val="auto"/>
              </w:rPr>
              <w:t>â€‹</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4"/>
              </w:rPr>
              <w:t>100.00%</w:t>
            </w:r>
            <w:r>
              <w:rPr>
                <w:rFonts w:ascii="Arial" w:cs="Arial" w:eastAsia="Arial" w:hAnsi="Arial"/>
                <w:sz w:val="5"/>
                <w:szCs w:val="5"/>
                <w:color w:val="auto"/>
                <w:w w:val="94"/>
                <w:vertAlign w:val="superscript"/>
              </w:rPr>
              <w:t>â€‹â€‹</w:t>
            </w:r>
          </w:p>
        </w:tc>
        <w:tc>
          <w:tcPr>
            <w:tcW w:w="0" w:type="dxa"/>
            <w:vAlign w:val="bottom"/>
          </w:tcPr>
          <w:p>
            <w:pPr>
              <w:spacing w:after="0" w:line="20" w:lineRule="exact"/>
              <w:rPr>
                <w:sz w:val="1"/>
                <w:szCs w:val="1"/>
                <w:color w:val="auto"/>
              </w:rPr>
            </w:pPr>
          </w:p>
        </w:tc>
      </w:tr>
      <w:tr>
        <w:trPr>
          <w:trHeight w:val="195"/>
        </w:trPr>
        <w:tc>
          <w:tcPr>
            <w:tcW w:w="4640" w:type="dxa"/>
            <w:vAlign w:val="bottom"/>
            <w:gridSpan w:val="2"/>
            <w:vMerge w:val="continue"/>
          </w:tcPr>
          <w:p>
            <w:pPr>
              <w:spacing w:after="0"/>
              <w:rPr>
                <w:sz w:val="16"/>
                <w:szCs w:val="16"/>
                <w:color w:val="auto"/>
              </w:rPr>
            </w:pPr>
          </w:p>
        </w:tc>
        <w:tc>
          <w:tcPr>
            <w:tcW w:w="2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640" w:type="dxa"/>
            <w:vAlign w:val="bottom"/>
            <w:gridSpan w:val="2"/>
          </w:tcPr>
          <w:p>
            <w:pPr>
              <w:ind w:left="20"/>
              <w:spacing w:after="0" w:line="34" w:lineRule="exact"/>
              <w:rPr>
                <w:sz w:val="20"/>
                <w:szCs w:val="20"/>
                <w:color w:val="auto"/>
              </w:rPr>
            </w:pPr>
            <w:r>
              <w:rPr>
                <w:rFonts w:ascii="Arial" w:cs="Arial" w:eastAsia="Arial" w:hAnsi="Arial"/>
                <w:sz w:val="3"/>
                <w:szCs w:val="3"/>
                <w:color w:val="auto"/>
              </w:rPr>
              <w:t>â€‹</w:t>
            </w:r>
          </w:p>
        </w:tc>
        <w:tc>
          <w:tcPr>
            <w:tcW w:w="2200" w:type="dxa"/>
            <w:vAlign w:val="bottom"/>
          </w:tcPr>
          <w:p>
            <w:pPr>
              <w:ind w:left="2060"/>
              <w:spacing w:after="0" w:line="34" w:lineRule="exact"/>
              <w:rPr>
                <w:sz w:val="20"/>
                <w:szCs w:val="20"/>
                <w:color w:val="auto"/>
              </w:rPr>
            </w:pPr>
            <w:r>
              <w:rPr>
                <w:rFonts w:ascii="Arial" w:cs="Arial" w:eastAsia="Arial" w:hAnsi="Arial"/>
                <w:sz w:val="3"/>
                <w:szCs w:val="3"/>
                <w:color w:val="auto"/>
              </w:rPr>
              <w:t>â€‹</w:t>
            </w:r>
          </w:p>
        </w:tc>
        <w:tc>
          <w:tcPr>
            <w:tcW w:w="100" w:type="dxa"/>
            <w:vAlign w:val="bottom"/>
          </w:tcPr>
          <w:p>
            <w:pPr>
              <w:ind w:left="20"/>
              <w:spacing w:after="0" w:line="27" w:lineRule="exact"/>
              <w:rPr>
                <w:sz w:val="20"/>
                <w:szCs w:val="20"/>
                <w:color w:val="auto"/>
              </w:rPr>
            </w:pPr>
            <w:r>
              <w:rPr>
                <w:rFonts w:ascii="Arial" w:cs="Arial" w:eastAsia="Arial" w:hAnsi="Arial"/>
                <w:sz w:val="3"/>
                <w:szCs w:val="3"/>
                <w:color w:val="auto"/>
              </w:rPr>
              <w:t>â€‹</w:t>
            </w:r>
          </w:p>
        </w:tc>
        <w:tc>
          <w:tcPr>
            <w:tcW w:w="980" w:type="dxa"/>
            <w:vAlign w:val="bottom"/>
            <w:gridSpan w:val="2"/>
          </w:tcPr>
          <w:p>
            <w:pPr>
              <w:jc w:val="right"/>
              <w:ind w:right="12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60" w:type="dxa"/>
            <w:vAlign w:val="bottom"/>
          </w:tcPr>
          <w:p>
            <w:pPr>
              <w:ind w:left="20"/>
              <w:spacing w:after="0"/>
              <w:rPr>
                <w:sz w:val="20"/>
                <w:szCs w:val="20"/>
                <w:color w:val="auto"/>
              </w:rPr>
            </w:pPr>
            <w:r>
              <w:rPr>
                <w:rFonts w:ascii="Arial" w:cs="Arial" w:eastAsia="Arial" w:hAnsi="Arial"/>
                <w:sz w:val="1"/>
                <w:szCs w:val="1"/>
                <w:color w:val="auto"/>
              </w:rPr>
              <w:t>â€‹</w:t>
            </w:r>
          </w:p>
        </w:tc>
        <w:tc>
          <w:tcPr>
            <w:tcW w:w="900" w:type="dxa"/>
            <w:vAlign w:val="bottom"/>
            <w:gridSpan w:val="2"/>
          </w:tcPr>
          <w:p>
            <w:pPr>
              <w:jc w:val="right"/>
              <w:ind w:right="12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0" w:type="dxa"/>
            <w:vAlign w:val="bottom"/>
          </w:tcPr>
          <w:p>
            <w:pPr>
              <w:spacing w:after="0" w:line="20" w:lineRule="exact"/>
              <w:rPr>
                <w:sz w:val="1"/>
                <w:szCs w:val="1"/>
                <w:color w:val="auto"/>
              </w:rPr>
            </w:pPr>
          </w:p>
        </w:tc>
      </w:tr>
      <w:tr>
        <w:trPr>
          <w:trHeight w:val="28"/>
        </w:trPr>
        <w:tc>
          <w:tcPr>
            <w:tcW w:w="4640" w:type="dxa"/>
            <w:vAlign w:val="bottom"/>
            <w:gridSpan w:val="2"/>
            <w:vMerge w:val="restart"/>
          </w:tcPr>
          <w:p>
            <w:pPr>
              <w:ind w:left="20"/>
              <w:spacing w:after="0"/>
              <w:rPr>
                <w:sz w:val="20"/>
                <w:szCs w:val="20"/>
                <w:color w:val="auto"/>
              </w:rPr>
            </w:pPr>
            <w:r>
              <w:rPr>
                <w:rFonts w:ascii="Arial" w:cs="Arial" w:eastAsia="Arial" w:hAnsi="Arial"/>
                <w:sz w:val="3"/>
                <w:szCs w:val="3"/>
                <w:color w:val="auto"/>
              </w:rPr>
              <w:t>â€‹</w:t>
            </w:r>
          </w:p>
        </w:tc>
        <w:tc>
          <w:tcPr>
            <w:tcW w:w="2200" w:type="dxa"/>
            <w:vAlign w:val="bottom"/>
            <w:vMerge w:val="restart"/>
          </w:tcPr>
          <w:p>
            <w:pPr>
              <w:ind w:left="2060"/>
              <w:spacing w:after="0"/>
              <w:rPr>
                <w:sz w:val="20"/>
                <w:szCs w:val="20"/>
                <w:color w:val="auto"/>
              </w:rPr>
            </w:pPr>
            <w:r>
              <w:rPr>
                <w:rFonts w:ascii="Arial" w:cs="Arial" w:eastAsia="Arial" w:hAnsi="Arial"/>
                <w:sz w:val="3"/>
                <w:szCs w:val="3"/>
                <w:color w:val="auto"/>
              </w:rPr>
              <w:t>â€‹</w:t>
            </w:r>
          </w:p>
        </w:tc>
        <w:tc>
          <w:tcPr>
            <w:tcW w:w="100" w:type="dxa"/>
            <w:vAlign w:val="bottom"/>
          </w:tcPr>
          <w:p>
            <w:pPr>
              <w:ind w:left="20"/>
              <w:spacing w:after="0" w:line="28" w:lineRule="exact"/>
              <w:rPr>
                <w:sz w:val="20"/>
                <w:szCs w:val="20"/>
                <w:color w:val="auto"/>
              </w:rPr>
            </w:pPr>
            <w:r>
              <w:rPr>
                <w:rFonts w:ascii="Arial" w:cs="Arial" w:eastAsia="Arial" w:hAnsi="Arial"/>
                <w:sz w:val="3"/>
                <w:szCs w:val="3"/>
                <w:color w:val="auto"/>
              </w:rPr>
              <w:t>â€‹</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5"/>
                <w:szCs w:val="5"/>
                <w:color w:val="auto"/>
                <w:vertAlign w:val="superscript"/>
              </w:rPr>
              <w:t>â€‹</w:t>
            </w:r>
            <w:r>
              <w:rPr>
                <w:rFonts w:ascii="Arial" w:cs="Arial" w:eastAsia="Arial" w:hAnsi="Arial"/>
                <w:sz w:val="3"/>
                <w:szCs w:val="3"/>
                <w:color w:val="auto"/>
              </w:rPr>
              <w:t>â€‹</w:t>
            </w:r>
          </w:p>
        </w:tc>
        <w:tc>
          <w:tcPr>
            <w:tcW w:w="60" w:type="dxa"/>
            <w:vAlign w:val="bottom"/>
          </w:tcPr>
          <w:p>
            <w:pPr>
              <w:ind w:left="20"/>
              <w:spacing w:after="0"/>
              <w:rPr>
                <w:sz w:val="20"/>
                <w:szCs w:val="20"/>
                <w:color w:val="auto"/>
              </w:rPr>
            </w:pPr>
            <w:r>
              <w:rPr>
                <w:rFonts w:ascii="Arial" w:cs="Arial" w:eastAsia="Arial" w:hAnsi="Arial"/>
                <w:sz w:val="1"/>
                <w:szCs w:val="1"/>
                <w:color w:val="auto"/>
              </w:rPr>
              <w:t>â€‹</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5"/>
                <w:szCs w:val="5"/>
                <w:color w:val="auto"/>
                <w:vertAlign w:val="superscript"/>
              </w:rPr>
              <w:t>â€‹</w:t>
            </w:r>
            <w:r>
              <w:rPr>
                <w:rFonts w:ascii="Arial" w:cs="Arial" w:eastAsia="Arial" w:hAnsi="Arial"/>
                <w:sz w:val="3"/>
                <w:szCs w:val="3"/>
                <w:color w:val="auto"/>
              </w:rPr>
              <w:t>â€‹</w:t>
            </w:r>
          </w:p>
        </w:tc>
        <w:tc>
          <w:tcPr>
            <w:tcW w:w="0" w:type="dxa"/>
            <w:vAlign w:val="bottom"/>
          </w:tcPr>
          <w:p>
            <w:pPr>
              <w:spacing w:after="0" w:line="20" w:lineRule="exact"/>
              <w:rPr>
                <w:sz w:val="1"/>
                <w:szCs w:val="1"/>
                <w:color w:val="auto"/>
              </w:rPr>
            </w:pPr>
          </w:p>
        </w:tc>
      </w:tr>
      <w:tr>
        <w:trPr>
          <w:trHeight w:val="49"/>
        </w:trPr>
        <w:tc>
          <w:tcPr>
            <w:tcW w:w="4640" w:type="dxa"/>
            <w:vAlign w:val="bottom"/>
            <w:gridSpan w:val="2"/>
            <w:vMerge w:val="continue"/>
          </w:tcPr>
          <w:p>
            <w:pPr>
              <w:spacing w:after="0"/>
              <w:rPr>
                <w:sz w:val="4"/>
                <w:szCs w:val="4"/>
                <w:color w:val="auto"/>
              </w:rPr>
            </w:pPr>
          </w:p>
        </w:tc>
        <w:tc>
          <w:tcPr>
            <w:tcW w:w="2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340" w:type="dxa"/>
            <w:vAlign w:val="bottom"/>
            <w:tcBorders>
              <w:bottom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900" w:right="20" w:hanging="549"/>
        <w:spacing w:after="0" w:line="250" w:lineRule="auto"/>
        <w:tabs>
          <w:tab w:leader="none" w:pos="1900" w:val="left"/>
        </w:tabs>
        <w:numPr>
          <w:ilvl w:val="0"/>
          <w:numId w:val="4"/>
        </w:numPr>
        <w:rPr>
          <w:rFonts w:ascii="Arial" w:cs="Arial" w:eastAsia="Arial" w:hAnsi="Arial"/>
          <w:sz w:val="11"/>
          <w:szCs w:val="11"/>
          <w:color w:val="auto"/>
        </w:rPr>
      </w:pPr>
      <w:r>
        <w:rPr>
          <w:rFonts w:ascii="Arial" w:cs="Arial" w:eastAsia="Arial" w:hAnsi="Arial"/>
          <w:sz w:val="13"/>
          <w:szCs w:val="13"/>
          <w:color w:val="auto"/>
        </w:rPr>
        <w:t>The above table does not include 5,750,000 Series A Preference Units which were issued on May 15, 2017, the 4,600,000 Series B Preference Units which were issued on January 17, 2018 and the 4,000,000 Series C Preference Units which were issued on November 15, 2018. The preference units will not impact the other classes' percentage ownership, as the Series A Preference Units, the Series B Preference Units and the Series C Preference Units are not included in the calculation of "Percentage Interest" as defined in our Fifth Amended and Restated Agreement of Limited Partnership, or the Partnership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160"/>
          </w:cols>
          <w:pgMar w:left="160" w:top="51" w:right="5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426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26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Issuer</w:t>
            </w: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GasLog Partners LP.</w:t>
            </w:r>
          </w:p>
        </w:tc>
      </w:tr>
      <w:tr>
        <w:trPr>
          <w:trHeight w:val="426"/>
        </w:trPr>
        <w:tc>
          <w:tcPr>
            <w:tcW w:w="426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Common units offered by us</w:t>
            </w: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Common units having an aggregate offering price of up to $250.0 million. As of</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date of this prospectus supplement, we have issued and sold common units</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having an aggregate offering price of $123.4 million, which means that we may</w:t>
            </w:r>
          </w:p>
        </w:tc>
      </w:tr>
      <w:tr>
        <w:trPr>
          <w:trHeight w:val="222"/>
        </w:trPr>
        <w:tc>
          <w:tcPr>
            <w:tcW w:w="4260" w:type="dxa"/>
            <w:vAlign w:val="bottom"/>
            <w:tcBorders>
              <w:left w:val="single" w:sz="8" w:color="auto"/>
            </w:tcBorders>
          </w:tcPr>
          <w:p>
            <w:pPr>
              <w:spacing w:after="0"/>
              <w:rPr>
                <w:sz w:val="19"/>
                <w:szCs w:val="19"/>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sell common units having an aggregate offering price of up to $126.6 million.</w:t>
            </w:r>
          </w:p>
        </w:tc>
      </w:tr>
      <w:tr>
        <w:trPr>
          <w:trHeight w:val="426"/>
        </w:trPr>
        <w:tc>
          <w:tcPr>
            <w:tcW w:w="426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Manner of offering</w:t>
            </w: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"At-the-market offering" that may be made from time to time through the sales</w:t>
            </w:r>
          </w:p>
        </w:tc>
      </w:tr>
      <w:tr>
        <w:trPr>
          <w:trHeight w:val="222"/>
        </w:trPr>
        <w:tc>
          <w:tcPr>
            <w:tcW w:w="4260" w:type="dxa"/>
            <w:vAlign w:val="bottom"/>
            <w:tcBorders>
              <w:left w:val="single" w:sz="8" w:color="auto"/>
            </w:tcBorders>
          </w:tcPr>
          <w:p>
            <w:pPr>
              <w:spacing w:after="0"/>
              <w:rPr>
                <w:sz w:val="19"/>
                <w:szCs w:val="19"/>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agents. Please read "Plan of Distribution".</w:t>
            </w:r>
          </w:p>
        </w:tc>
      </w:tr>
      <w:tr>
        <w:trPr>
          <w:trHeight w:val="426"/>
        </w:trPr>
        <w:tc>
          <w:tcPr>
            <w:tcW w:w="426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Use of proceeds</w:t>
            </w: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We will use the net proceeds from the sale of the securities covered by this</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prospectus for general partnership purposes, which may include future</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acquisitions, debt repayment, capital expenditures and additions to working</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capital. We currently expect that this will include future acquisitions from</w:t>
            </w:r>
          </w:p>
        </w:tc>
      </w:tr>
      <w:tr>
        <w:trPr>
          <w:trHeight w:val="222"/>
        </w:trPr>
        <w:tc>
          <w:tcPr>
            <w:tcW w:w="4260" w:type="dxa"/>
            <w:vAlign w:val="bottom"/>
            <w:tcBorders>
              <w:left w:val="single" w:sz="8" w:color="auto"/>
            </w:tcBorders>
          </w:tcPr>
          <w:p>
            <w:pPr>
              <w:spacing w:after="0"/>
              <w:rPr>
                <w:sz w:val="19"/>
                <w:szCs w:val="19"/>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GasLog. Please read "Use of Proceeds".</w:t>
            </w:r>
          </w:p>
        </w:tc>
      </w:tr>
      <w:tr>
        <w:trPr>
          <w:trHeight w:val="426"/>
        </w:trPr>
        <w:tc>
          <w:tcPr>
            <w:tcW w:w="426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w w:val="93"/>
              </w:rPr>
              <w:t>U.S. federal income tax considerations</w:t>
            </w: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Although we are organized as a partnership, we have elected to be treated as a</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corporation solely for U.S. federal income tax purposes. Consequently, all or a</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portion of the distributions you receive from us will constitute dividends for such</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purposes. The remaining portion of such distributions will be treated first as a</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non-taxable return of capital to the extent of your tax basis in your common units</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and, thereafter, as capital gain. Please see "Risk Factorsâ€”Tax Risks" in our</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Annual Report on Form 20-F, as filed with the SEC on February 26, 2019, and</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incorporated by reference into this prospectus, for a discussion relating to the</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taxation of distributions. For a discussion of other material U.S. federal income</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tax consequences that may be relevant to prospective unitholders, see "Material</w:t>
            </w:r>
          </w:p>
        </w:tc>
      </w:tr>
      <w:tr>
        <w:trPr>
          <w:trHeight w:val="222"/>
        </w:trPr>
        <w:tc>
          <w:tcPr>
            <w:tcW w:w="4260" w:type="dxa"/>
            <w:vAlign w:val="bottom"/>
            <w:tcBorders>
              <w:left w:val="single" w:sz="8" w:color="auto"/>
            </w:tcBorders>
          </w:tcPr>
          <w:p>
            <w:pPr>
              <w:spacing w:after="0"/>
              <w:rPr>
                <w:sz w:val="19"/>
                <w:szCs w:val="19"/>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U.S. Federal Income Tax Considerations".</w:t>
            </w:r>
          </w:p>
        </w:tc>
      </w:tr>
      <w:tr>
        <w:trPr>
          <w:trHeight w:val="426"/>
        </w:trPr>
        <w:tc>
          <w:tcPr>
            <w:tcW w:w="426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Non-U.S. tax considerations</w:t>
            </w: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We have been organized under the laws of the Republic of the Marshall Islands.</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As of February 26, 2019, we have 15 subsidiaries, one formed in the Marshall</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Islands and 14 incorporated in Bermuda. Of our subsidiaries, 14 own vessels in</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our fleet. GasLog Partners, GasLog LNG Services and our general partner are</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expected to be treated as managed and controlled in Monaco. For a discussion of</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material Marshall Islands income tax considerations that may be relevant to</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prospective unitholders and for a discussion of the risk that unitholders may</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assume and for the activities we undertake in various jurisdictions for taxation</w:t>
            </w:r>
          </w:p>
        </w:tc>
      </w:tr>
      <w:tr>
        <w:trPr>
          <w:trHeight w:val="216"/>
        </w:trPr>
        <w:tc>
          <w:tcPr>
            <w:tcW w:w="426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purposes, see "Non-United States Tax Considerations" and "Risk Factorsâ€”Tax</w:t>
            </w:r>
          </w:p>
        </w:tc>
      </w:tr>
      <w:tr>
        <w:trPr>
          <w:trHeight w:val="222"/>
        </w:trPr>
        <w:tc>
          <w:tcPr>
            <w:tcW w:w="4260" w:type="dxa"/>
            <w:vAlign w:val="bottom"/>
            <w:tcBorders>
              <w:left w:val="single" w:sz="8" w:color="auto"/>
            </w:tcBorders>
          </w:tcPr>
          <w:p>
            <w:pPr>
              <w:spacing w:after="0"/>
              <w:rPr>
                <w:sz w:val="19"/>
                <w:szCs w:val="19"/>
                <w:color w:val="auto"/>
              </w:rPr>
            </w:pP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Risks" starting on page 46 of our Annual Report on Form 20-F.</w:t>
            </w:r>
          </w:p>
        </w:tc>
      </w:tr>
      <w:tr>
        <w:trPr>
          <w:trHeight w:val="432"/>
        </w:trPr>
        <w:tc>
          <w:tcPr>
            <w:tcW w:w="4260" w:type="dxa"/>
            <w:vAlign w:val="bottom"/>
            <w:tcBorders>
              <w:left w:val="single" w:sz="8" w:color="auto"/>
            </w:tcBorders>
          </w:tcPr>
          <w:p>
            <w:pPr>
              <w:ind w:left="1360"/>
              <w:spacing w:after="0"/>
              <w:rPr>
                <w:sz w:val="20"/>
                <w:szCs w:val="20"/>
                <w:color w:val="auto"/>
              </w:rPr>
            </w:pPr>
            <w:r>
              <w:rPr>
                <w:rFonts w:ascii="Arial" w:cs="Arial" w:eastAsia="Arial" w:hAnsi="Arial"/>
                <w:sz w:val="18"/>
                <w:szCs w:val="18"/>
                <w:color w:val="auto"/>
              </w:rPr>
              <w:t>Exchange listing</w:t>
            </w:r>
          </w:p>
        </w:tc>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Our common units are listed on the NYSE under the symbol "GLOP".</w:t>
            </w:r>
          </w:p>
        </w:tc>
      </w:tr>
      <w:tr>
        <w:trPr>
          <w:trHeight w:val="228"/>
        </w:trPr>
        <w:tc>
          <w:tcPr>
            <w:tcW w:w="4260" w:type="dxa"/>
            <w:vAlign w:val="bottom"/>
            <w:tcBorders>
              <w:left w:val="single" w:sz="8" w:color="auto"/>
              <w:bottom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spacing w:after="0"/>
              <w:rPr>
                <w:sz w:val="19"/>
                <w:szCs w:val="19"/>
                <w:color w:val="auto"/>
              </w:rPr>
            </w:pPr>
          </w:p>
        </w:tc>
      </w:tr>
      <w:tr>
        <w:trPr>
          <w:trHeight w:val="427"/>
        </w:trPr>
        <w:tc>
          <w:tcPr>
            <w:tcW w:w="4260" w:type="dxa"/>
            <w:vAlign w:val="bottom"/>
          </w:tcPr>
          <w:p>
            <w:pPr>
              <w:spacing w:after="0"/>
              <w:rPr>
                <w:sz w:val="24"/>
                <w:szCs w:val="24"/>
                <w:color w:val="auto"/>
              </w:rPr>
            </w:pPr>
          </w:p>
        </w:tc>
        <w:tc>
          <w:tcPr>
            <w:tcW w:w="7300" w:type="dxa"/>
            <w:vAlign w:val="bottom"/>
          </w:tcPr>
          <w:p>
            <w:pPr>
              <w:ind w:left="1400"/>
              <w:spacing w:after="0"/>
              <w:rPr>
                <w:sz w:val="20"/>
                <w:szCs w:val="20"/>
                <w:color w:val="auto"/>
              </w:rPr>
            </w:pPr>
            <w:r>
              <w:rPr>
                <w:rFonts w:ascii="Arial" w:cs="Arial" w:eastAsia="Arial" w:hAnsi="Arial"/>
                <w:sz w:val="18"/>
                <w:szCs w:val="18"/>
                <w:color w:val="auto"/>
              </w:rPr>
              <w:t>S-9</w:t>
            </w:r>
          </w:p>
        </w:tc>
      </w:tr>
      <w:tr>
        <w:trPr>
          <w:trHeight w:val="228"/>
        </w:trPr>
        <w:tc>
          <w:tcPr>
            <w:tcW w:w="4260" w:type="dxa"/>
            <w:vAlign w:val="bottom"/>
            <w:tcBorders>
              <w:bottom w:val="single" w:sz="8" w:color="808080"/>
            </w:tcBorders>
          </w:tcPr>
          <w:p>
            <w:pPr>
              <w:spacing w:after="0"/>
              <w:rPr>
                <w:sz w:val="19"/>
                <w:szCs w:val="19"/>
                <w:color w:val="auto"/>
              </w:rPr>
            </w:pPr>
          </w:p>
        </w:tc>
        <w:tc>
          <w:tcPr>
            <w:tcW w:w="7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341870" cy="7050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1870" cy="705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Financial and Operating Data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Summary Financial Data</w:t>
      </w:r>
    </w:p>
    <w:p>
      <w:pPr>
        <w:spacing w:after="0" w:line="231" w:lineRule="exact"/>
        <w:rPr>
          <w:sz w:val="20"/>
          <w:szCs w:val="20"/>
          <w:color w:val="auto"/>
        </w:rPr>
      </w:pPr>
    </w:p>
    <w:p>
      <w:pPr>
        <w:ind w:left="240" w:right="340" w:firstLine="348"/>
        <w:spacing w:after="0" w:line="298" w:lineRule="auto"/>
        <w:rPr>
          <w:sz w:val="20"/>
          <w:szCs w:val="20"/>
          <w:color w:val="auto"/>
        </w:rPr>
      </w:pPr>
      <w:r>
        <w:rPr>
          <w:rFonts w:ascii="Arial" w:cs="Arial" w:eastAsia="Arial" w:hAnsi="Arial"/>
          <w:sz w:val="16"/>
          <w:szCs w:val="16"/>
          <w:color w:val="auto"/>
        </w:rPr>
        <w:t>This information should be read together with, and is qualified in its entirety by, our consolidated financial statements and the notes thereto included in "Item 18. Financial Statements" of our Annual Report on Form 20-F for the year ended December 31, 2018, as filed with the SEC on February 26, 2019 and incorporated by reference into this prospectus. You should also read "Item 5. Operating and Financial Review and Prospects" of our Annual Report on Form 20-F for the year ended December 31, 2018, as filed with the SEC on February 26, 2019 and incorporated by reference into this prospectus.</w:t>
      </w:r>
    </w:p>
    <w:p>
      <w:pPr>
        <w:spacing w:after="0" w:line="166" w:lineRule="exact"/>
        <w:rPr>
          <w:sz w:val="20"/>
          <w:szCs w:val="20"/>
          <w:color w:val="auto"/>
        </w:rPr>
      </w:pPr>
    </w:p>
    <w:p>
      <w:pPr>
        <w:ind w:left="240" w:right="560" w:firstLine="351"/>
        <w:spacing w:after="0" w:line="268"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IFRS Common Control Reported Results</w:t>
      </w:r>
    </w:p>
    <w:p>
      <w:pPr>
        <w:spacing w:after="0" w:line="231" w:lineRule="exact"/>
        <w:rPr>
          <w:sz w:val="20"/>
          <w:szCs w:val="20"/>
          <w:color w:val="auto"/>
        </w:rPr>
      </w:pPr>
    </w:p>
    <w:p>
      <w:pPr>
        <w:ind w:left="240" w:right="320" w:firstLine="348"/>
        <w:spacing w:after="0" w:line="256" w:lineRule="auto"/>
        <w:rPr>
          <w:sz w:val="20"/>
          <w:szCs w:val="20"/>
          <w:color w:val="auto"/>
        </w:rPr>
      </w:pPr>
      <w:r>
        <w:rPr>
          <w:rFonts w:ascii="Arial" w:cs="Arial" w:eastAsia="Arial" w:hAnsi="Arial"/>
          <w:sz w:val="18"/>
          <w:szCs w:val="18"/>
          <w:color w:val="auto"/>
        </w:rPr>
        <w:t>The following table presents, in each case for the periods and as of the dates indicated, summary historical financial and operating data. The summary historical financial data as of December 31, 2016, 2017 and 2018 and for each of the years in the three-year period ended December 31, 2018 is a summary of and is derived from our audited consolidated financial statements. The annual financial statements have been prepared in accordance with IFRS, as issued by the IASB.</w:t>
      </w:r>
    </w:p>
    <w:p>
      <w:pPr>
        <w:spacing w:after="0" w:line="197" w:lineRule="exact"/>
        <w:rPr>
          <w:sz w:val="20"/>
          <w:szCs w:val="20"/>
          <w:color w:val="auto"/>
        </w:rPr>
      </w:pPr>
    </w:p>
    <w:p>
      <w:pPr>
        <w:ind w:left="240" w:right="220" w:firstLine="351"/>
        <w:spacing w:after="0" w:line="290" w:lineRule="auto"/>
        <w:rPr>
          <w:sz w:val="20"/>
          <w:szCs w:val="20"/>
          <w:color w:val="auto"/>
        </w:rPr>
      </w:pPr>
      <w:r>
        <w:rPr>
          <w:rFonts w:ascii="Arial" w:cs="Arial" w:eastAsia="Arial" w:hAnsi="Arial"/>
          <w:sz w:val="16"/>
          <w:szCs w:val="16"/>
          <w:color w:val="auto"/>
        </w:rPr>
        <w:t>Prior to the closing of our IPO, we did not own any vessels. The following presentation assumes that our business was operated as a separate entity prior to its inception.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 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following transfers of vessels from GasLog to the Partnership were each accounted for as a reorganization of entities under common control under IFRS and prior periods were retroactively restated: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260" w:type="dxa"/>
            <w:vAlign w:val="bottom"/>
          </w:tcPr>
          <w:p>
            <w:pPr>
              <w:jc w:val="right"/>
              <w:spacing w:after="0"/>
              <w:rPr>
                <w:sz w:val="20"/>
                <w:szCs w:val="20"/>
                <w:color w:val="auto"/>
              </w:rPr>
            </w:pPr>
            <w:r>
              <w:rPr>
                <w:rFonts w:ascii="Arial" w:cs="Arial" w:eastAsia="Arial" w:hAnsi="Arial"/>
                <w:sz w:val="3"/>
                <w:szCs w:val="3"/>
                <w:color w:val="auto"/>
              </w:rPr>
              <w:t>â</w:t>
            </w:r>
          </w:p>
        </w:tc>
        <w:tc>
          <w:tcPr>
            <w:tcW w:w="80" w:type="dxa"/>
            <w:vAlign w:val="bottom"/>
          </w:tcPr>
          <w:p>
            <w:pPr>
              <w:jc w:val="right"/>
              <w:ind w:right="53"/>
              <w:spacing w:after="0"/>
              <w:rPr>
                <w:sz w:val="20"/>
                <w:szCs w:val="20"/>
                <w:color w:val="auto"/>
              </w:rPr>
            </w:pPr>
            <w:r>
              <w:rPr>
                <w:rFonts w:ascii="Arial" w:cs="Arial" w:eastAsia="Arial" w:hAnsi="Arial"/>
                <w:sz w:val="1"/>
                <w:szCs w:val="1"/>
                <w:color w:val="auto"/>
                <w:w w:val="4294967291"/>
              </w:rPr>
              <w:t>€‹</w:t>
            </w:r>
          </w:p>
        </w:tc>
        <w:tc>
          <w:tcPr>
            <w:tcW w:w="160" w:type="dxa"/>
            <w:vAlign w:val="bottom"/>
          </w:tcPr>
          <w:p>
            <w:pPr>
              <w:jc w:val="right"/>
              <w:ind w:right="50"/>
              <w:spacing w:after="0"/>
              <w:rPr>
                <w:sz w:val="20"/>
                <w:szCs w:val="20"/>
                <w:color w:val="auto"/>
              </w:rPr>
            </w:pPr>
            <w:r>
              <w:rPr>
                <w:rFonts w:ascii="Arial" w:cs="Arial" w:eastAsia="Arial" w:hAnsi="Arial"/>
                <w:sz w:val="3"/>
                <w:szCs w:val="3"/>
                <w:color w:val="auto"/>
              </w:rPr>
              <w:t>â€‹</w:t>
            </w:r>
          </w:p>
        </w:tc>
        <w:tc>
          <w:tcPr>
            <w:tcW w:w="1560" w:type="dxa"/>
            <w:vAlign w:val="bottom"/>
          </w:tcPr>
          <w:p>
            <w:pPr>
              <w:ind w:left="60"/>
              <w:spacing w:after="0"/>
              <w:rPr>
                <w:sz w:val="20"/>
                <w:szCs w:val="20"/>
                <w:color w:val="auto"/>
              </w:rPr>
            </w:pPr>
            <w:r>
              <w:rPr>
                <w:rFonts w:ascii="Arial" w:cs="Arial" w:eastAsia="Arial" w:hAnsi="Arial"/>
                <w:sz w:val="3"/>
                <w:szCs w:val="3"/>
                <w:color w:val="auto"/>
              </w:rPr>
              <w:t>â€‹</w:t>
            </w:r>
          </w:p>
        </w:tc>
        <w:tc>
          <w:tcPr>
            <w:tcW w:w="180" w:type="dxa"/>
            <w:vAlign w:val="bottom"/>
          </w:tcPr>
          <w:p>
            <w:pPr>
              <w:ind w:left="80"/>
              <w:spacing w:after="0"/>
              <w:rPr>
                <w:sz w:val="20"/>
                <w:szCs w:val="20"/>
                <w:color w:val="auto"/>
              </w:rPr>
            </w:pPr>
            <w:r>
              <w:rPr>
                <w:rFonts w:ascii="Arial" w:cs="Arial" w:eastAsia="Arial" w:hAnsi="Arial"/>
                <w:sz w:val="3"/>
                <w:szCs w:val="3"/>
                <w:color w:val="auto"/>
              </w:rPr>
              <w:t>â€‹</w:t>
            </w:r>
          </w:p>
        </w:tc>
        <w:tc>
          <w:tcPr>
            <w:tcW w:w="220" w:type="dxa"/>
            <w:vAlign w:val="bottom"/>
          </w:tcPr>
          <w:p>
            <w:pPr>
              <w:ind w:left="60"/>
              <w:spacing w:after="0"/>
              <w:rPr>
                <w:sz w:val="20"/>
                <w:szCs w:val="20"/>
                <w:color w:val="auto"/>
              </w:rPr>
            </w:pPr>
            <w:r>
              <w:rPr>
                <w:rFonts w:ascii="Arial" w:cs="Arial" w:eastAsia="Arial" w:hAnsi="Arial"/>
                <w:sz w:val="3"/>
                <w:szCs w:val="3"/>
                <w:color w:val="auto"/>
              </w:rPr>
              <w:t>â€‹</w:t>
            </w:r>
          </w:p>
        </w:tc>
        <w:tc>
          <w:tcPr>
            <w:tcW w:w="120" w:type="dxa"/>
            <w:vAlign w:val="bottom"/>
          </w:tcPr>
          <w:p>
            <w:pPr>
              <w:ind w:left="20"/>
              <w:spacing w:after="0"/>
              <w:rPr>
                <w:sz w:val="20"/>
                <w:szCs w:val="20"/>
                <w:color w:val="auto"/>
              </w:rPr>
            </w:pPr>
            <w:r>
              <w:rPr>
                <w:rFonts w:ascii="Arial" w:cs="Arial" w:eastAsia="Arial" w:hAnsi="Arial"/>
                <w:sz w:val="3"/>
                <w:szCs w:val="3"/>
                <w:color w:val="auto"/>
              </w:rPr>
              <w:t>â€‹</w:t>
            </w:r>
          </w:p>
        </w:tc>
        <w:tc>
          <w:tcPr>
            <w:tcW w:w="3620" w:type="dxa"/>
            <w:vAlign w:val="bottom"/>
          </w:tcPr>
          <w:p>
            <w:pPr>
              <w:ind w:left="60"/>
              <w:spacing w:after="0"/>
              <w:rPr>
                <w:sz w:val="20"/>
                <w:szCs w:val="20"/>
                <w:color w:val="auto"/>
              </w:rPr>
            </w:pPr>
            <w:r>
              <w:rPr>
                <w:rFonts w:ascii="Arial" w:cs="Arial" w:eastAsia="Arial" w:hAnsi="Arial"/>
                <w:sz w:val="3"/>
                <w:szCs w:val="3"/>
                <w:color w:val="auto"/>
              </w:rPr>
              <w:t>â€‹</w:t>
            </w:r>
          </w:p>
        </w:tc>
        <w:tc>
          <w:tcPr>
            <w:tcW w:w="3440" w:type="dxa"/>
            <w:vAlign w:val="bottom"/>
          </w:tcPr>
          <w:p>
            <w:pPr>
              <w:spacing w:after="0"/>
              <w:rPr>
                <w:sz w:val="2"/>
                <w:szCs w:val="2"/>
                <w:color w:val="auto"/>
              </w:rPr>
            </w:pPr>
          </w:p>
        </w:tc>
        <w:tc>
          <w:tcPr>
            <w:tcW w:w="1460" w:type="dxa"/>
            <w:vAlign w:val="bottom"/>
          </w:tcPr>
          <w:p>
            <w:pPr>
              <w:ind w:left="1360"/>
              <w:spacing w:after="0"/>
              <w:rPr>
                <w:sz w:val="20"/>
                <w:szCs w:val="20"/>
                <w:color w:val="auto"/>
              </w:rPr>
            </w:pPr>
            <w:r>
              <w:rPr>
                <w:rFonts w:ascii="Arial" w:cs="Arial" w:eastAsia="Arial" w:hAnsi="Arial"/>
                <w:sz w:val="3"/>
                <w:szCs w:val="3"/>
                <w:color w:val="auto"/>
              </w:rPr>
              <w:t>â€‹</w:t>
            </w:r>
          </w:p>
        </w:tc>
        <w:tc>
          <w:tcPr>
            <w:tcW w:w="240" w:type="dxa"/>
            <w:vAlign w:val="bottom"/>
            <w:tcBorders>
              <w:right w:val="single" w:sz="8" w:color="auto"/>
            </w:tcBorders>
          </w:tcPr>
          <w:p>
            <w:pPr>
              <w:ind w:left="60"/>
              <w:spacing w:after="0"/>
              <w:rPr>
                <w:sz w:val="20"/>
                <w:szCs w:val="20"/>
                <w:color w:val="auto"/>
              </w:rPr>
            </w:pPr>
            <w:r>
              <w:rPr>
                <w:rFonts w:ascii="Arial" w:cs="Arial" w:eastAsia="Arial" w:hAnsi="Arial"/>
                <w:sz w:val="3"/>
                <w:szCs w:val="3"/>
                <w:color w:val="auto"/>
              </w:rPr>
              <w:t>â€‹</w:t>
            </w:r>
          </w:p>
        </w:tc>
        <w:tc>
          <w:tcPr>
            <w:tcW w:w="220" w:type="dxa"/>
            <w:vAlign w:val="bottom"/>
          </w:tcPr>
          <w:p>
            <w:pPr>
              <w:spacing w:after="0"/>
              <w:rPr>
                <w:sz w:val="2"/>
                <w:szCs w:val="2"/>
                <w:color w:val="auto"/>
              </w:rPr>
            </w:pPr>
          </w:p>
        </w:tc>
      </w:tr>
      <w:tr>
        <w:trPr>
          <w:trHeight w:val="221"/>
        </w:trPr>
        <w:tc>
          <w:tcPr>
            <w:tcW w:w="500" w:type="dxa"/>
            <w:vAlign w:val="bottom"/>
            <w:gridSpan w:val="3"/>
          </w:tcPr>
          <w:p>
            <w:pPr>
              <w:jc w:val="right"/>
              <w:ind w:right="50"/>
              <w:spacing w:after="0"/>
              <w:rPr>
                <w:sz w:val="20"/>
                <w:szCs w:val="20"/>
                <w:color w:val="auto"/>
              </w:rPr>
            </w:pPr>
            <w:r>
              <w:rPr>
                <w:rFonts w:ascii="Arial" w:cs="Arial" w:eastAsia="Arial" w:hAnsi="Arial"/>
                <w:sz w:val="3"/>
                <w:szCs w:val="3"/>
                <w:color w:val="auto"/>
                <w:w w:val="91"/>
              </w:rPr>
              <w:t>â€‹â€‹</w:t>
            </w:r>
          </w:p>
        </w:tc>
        <w:tc>
          <w:tcPr>
            <w:tcW w:w="1560" w:type="dxa"/>
            <w:vAlign w:val="bottom"/>
          </w:tcPr>
          <w:p>
            <w:pPr>
              <w:ind w:left="60"/>
              <w:spacing w:after="0"/>
              <w:rPr>
                <w:sz w:val="20"/>
                <w:szCs w:val="20"/>
                <w:color w:val="auto"/>
              </w:rPr>
            </w:pPr>
            <w:r>
              <w:rPr>
                <w:rFonts w:ascii="Arial" w:cs="Arial" w:eastAsia="Arial" w:hAnsi="Arial"/>
                <w:sz w:val="5"/>
                <w:szCs w:val="5"/>
                <w:color w:val="auto"/>
                <w:vertAlign w:val="subscript"/>
              </w:rPr>
              <w:t>â</w:t>
            </w:r>
            <w:r>
              <w:rPr>
                <w:rFonts w:ascii="Arial" w:cs="Arial" w:eastAsia="Arial" w:hAnsi="Arial"/>
                <w:sz w:val="13"/>
                <w:szCs w:val="13"/>
                <w:b w:val="1"/>
                <w:bCs w:val="1"/>
                <w:color w:val="auto"/>
              </w:rPr>
              <w:t>Date</w:t>
            </w:r>
            <w:r>
              <w:rPr>
                <w:rFonts w:ascii="Arial" w:cs="Arial" w:eastAsia="Arial" w:hAnsi="Arial"/>
                <w:sz w:val="5"/>
                <w:szCs w:val="5"/>
                <w:color w:val="auto"/>
                <w:vertAlign w:val="subscript"/>
              </w:rPr>
              <w:t>€‹</w:t>
            </w:r>
          </w:p>
        </w:tc>
        <w:tc>
          <w:tcPr>
            <w:tcW w:w="180" w:type="dxa"/>
            <w:vAlign w:val="bottom"/>
          </w:tcPr>
          <w:p>
            <w:pPr>
              <w:ind w:left="80"/>
              <w:spacing w:after="0"/>
              <w:rPr>
                <w:sz w:val="20"/>
                <w:szCs w:val="20"/>
                <w:color w:val="auto"/>
              </w:rPr>
            </w:pPr>
            <w:r>
              <w:rPr>
                <w:rFonts w:ascii="Arial" w:cs="Arial" w:eastAsia="Arial" w:hAnsi="Arial"/>
                <w:sz w:val="3"/>
                <w:szCs w:val="3"/>
                <w:color w:val="auto"/>
              </w:rPr>
              <w:t>â€‹</w:t>
            </w:r>
          </w:p>
        </w:tc>
        <w:tc>
          <w:tcPr>
            <w:tcW w:w="220" w:type="dxa"/>
            <w:vAlign w:val="bottom"/>
          </w:tcPr>
          <w:p>
            <w:pPr>
              <w:ind w:left="60"/>
              <w:spacing w:after="0"/>
              <w:rPr>
                <w:sz w:val="20"/>
                <w:szCs w:val="20"/>
                <w:color w:val="auto"/>
              </w:rPr>
            </w:pPr>
            <w:r>
              <w:rPr>
                <w:rFonts w:ascii="Arial" w:cs="Arial" w:eastAsia="Arial" w:hAnsi="Arial"/>
                <w:sz w:val="3"/>
                <w:szCs w:val="3"/>
                <w:color w:val="auto"/>
              </w:rPr>
              <w:t>â€‹</w:t>
            </w:r>
          </w:p>
        </w:tc>
        <w:tc>
          <w:tcPr>
            <w:tcW w:w="120" w:type="dxa"/>
            <w:vAlign w:val="bottom"/>
          </w:tcPr>
          <w:p>
            <w:pPr>
              <w:ind w:left="20"/>
              <w:spacing w:after="0"/>
              <w:rPr>
                <w:sz w:val="20"/>
                <w:szCs w:val="20"/>
                <w:color w:val="auto"/>
              </w:rPr>
            </w:pPr>
            <w:r>
              <w:rPr>
                <w:rFonts w:ascii="Arial" w:cs="Arial" w:eastAsia="Arial" w:hAnsi="Arial"/>
                <w:sz w:val="3"/>
                <w:szCs w:val="3"/>
                <w:color w:val="auto"/>
              </w:rPr>
              <w:t>â€‹</w:t>
            </w:r>
          </w:p>
        </w:tc>
        <w:tc>
          <w:tcPr>
            <w:tcW w:w="3620" w:type="dxa"/>
            <w:vAlign w:val="bottom"/>
          </w:tcPr>
          <w:p>
            <w:pPr>
              <w:ind w:left="60"/>
              <w:spacing w:after="0"/>
              <w:rPr>
                <w:sz w:val="20"/>
                <w:szCs w:val="20"/>
                <w:color w:val="auto"/>
              </w:rPr>
            </w:pPr>
            <w:r>
              <w:rPr>
                <w:rFonts w:ascii="Arial" w:cs="Arial" w:eastAsia="Arial" w:hAnsi="Arial"/>
                <w:sz w:val="3"/>
                <w:szCs w:val="3"/>
                <w:color w:val="auto"/>
              </w:rPr>
              <w:t>â€‹</w:t>
            </w:r>
          </w:p>
        </w:tc>
        <w:tc>
          <w:tcPr>
            <w:tcW w:w="3440" w:type="dxa"/>
            <w:vAlign w:val="bottom"/>
          </w:tcPr>
          <w:p>
            <w:pPr>
              <w:ind w:left="20"/>
              <w:spacing w:after="0"/>
              <w:rPr>
                <w:sz w:val="20"/>
                <w:szCs w:val="20"/>
                <w:color w:val="auto"/>
              </w:rPr>
            </w:pPr>
            <w:r>
              <w:rPr>
                <w:rFonts w:ascii="Arial" w:cs="Arial" w:eastAsia="Arial" w:hAnsi="Arial"/>
                <w:sz w:val="13"/>
                <w:szCs w:val="13"/>
                <w:b w:val="1"/>
                <w:bCs w:val="1"/>
                <w:color w:val="auto"/>
              </w:rPr>
              <w:t>Vessel(s) Transferred</w:t>
            </w:r>
          </w:p>
        </w:tc>
        <w:tc>
          <w:tcPr>
            <w:tcW w:w="1460" w:type="dxa"/>
            <w:vAlign w:val="bottom"/>
          </w:tcPr>
          <w:p>
            <w:pPr>
              <w:ind w:left="1360"/>
              <w:spacing w:after="0"/>
              <w:rPr>
                <w:sz w:val="20"/>
                <w:szCs w:val="20"/>
                <w:color w:val="auto"/>
              </w:rPr>
            </w:pPr>
            <w:r>
              <w:rPr>
                <w:rFonts w:ascii="Arial" w:cs="Arial" w:eastAsia="Arial" w:hAnsi="Arial"/>
                <w:sz w:val="3"/>
                <w:szCs w:val="3"/>
                <w:color w:val="auto"/>
              </w:rPr>
              <w:t>â€‹</w:t>
            </w:r>
          </w:p>
        </w:tc>
        <w:tc>
          <w:tcPr>
            <w:tcW w:w="240" w:type="dxa"/>
            <w:vAlign w:val="bottom"/>
            <w:tcBorders>
              <w:right w:val="single" w:sz="8" w:color="auto"/>
            </w:tcBorders>
          </w:tcPr>
          <w:p>
            <w:pPr>
              <w:ind w:left="60"/>
              <w:spacing w:after="0"/>
              <w:rPr>
                <w:sz w:val="20"/>
                <w:szCs w:val="20"/>
                <w:color w:val="auto"/>
              </w:rPr>
            </w:pPr>
            <w:r>
              <w:rPr>
                <w:rFonts w:ascii="Arial" w:cs="Arial" w:eastAsia="Arial" w:hAnsi="Arial"/>
                <w:sz w:val="3"/>
                <w:szCs w:val="3"/>
                <w:color w:val="auto"/>
              </w:rPr>
              <w:t>â€‹</w:t>
            </w:r>
          </w:p>
        </w:tc>
        <w:tc>
          <w:tcPr>
            <w:tcW w:w="22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May 12, 2014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GasLog Santiago</w:t>
            </w:r>
            <w:r>
              <w:rPr>
                <w:rFonts w:ascii="Arial" w:cs="Arial" w:eastAsia="Arial" w:hAnsi="Arial"/>
                <w:sz w:val="18"/>
                <w:szCs w:val="18"/>
                <w:color w:val="auto"/>
              </w:rPr>
              <w:t>,</w:t>
            </w:r>
            <w:r>
              <w:rPr>
                <w:rFonts w:ascii="Arial" w:cs="Arial" w:eastAsia="Arial" w:hAnsi="Arial"/>
                <w:sz w:val="18"/>
                <w:szCs w:val="18"/>
                <w:i w:val="1"/>
                <w:iCs w:val="1"/>
                <w:color w:val="auto"/>
              </w:rPr>
              <w:t xml:space="preserve"> GasLog Shanghai </w:t>
            </w:r>
            <w:r>
              <w:rPr>
                <w:rFonts w:ascii="Arial" w:cs="Arial" w:eastAsia="Arial" w:hAnsi="Arial"/>
                <w:sz w:val="18"/>
                <w:szCs w:val="18"/>
                <w:color w:val="auto"/>
              </w:rPr>
              <w:t>and</w:t>
            </w:r>
            <w:r>
              <w:rPr>
                <w:rFonts w:ascii="Arial" w:cs="Arial" w:eastAsia="Arial" w:hAnsi="Arial"/>
                <w:sz w:val="18"/>
                <w:szCs w:val="18"/>
                <w:i w:val="1"/>
                <w:iCs w:val="1"/>
                <w:color w:val="auto"/>
              </w:rPr>
              <w:t xml:space="preserve"> GasLog Sydney</w:t>
            </w:r>
          </w:p>
        </w:tc>
        <w:tc>
          <w:tcPr>
            <w:tcW w:w="14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458"/>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18"/>
                <w:szCs w:val="18"/>
                <w:color w:val="auto"/>
                <w:w w:val="90"/>
              </w:rPr>
              <w:t>September 29, 2014</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18"/>
                <w:szCs w:val="18"/>
                <w:i w:val="1"/>
                <w:iCs w:val="1"/>
                <w:color w:val="auto"/>
                <w:w w:val="87"/>
              </w:rPr>
              <w:t xml:space="preserve">Methane Jane Elizabeth </w:t>
            </w:r>
            <w:r>
              <w:rPr>
                <w:rFonts w:ascii="Arial" w:cs="Arial" w:eastAsia="Arial" w:hAnsi="Arial"/>
                <w:sz w:val="18"/>
                <w:szCs w:val="18"/>
                <w:color w:val="auto"/>
                <w:w w:val="87"/>
              </w:rPr>
              <w:t>and</w:t>
            </w:r>
            <w:r>
              <w:rPr>
                <w:rFonts w:ascii="Arial" w:cs="Arial" w:eastAsia="Arial" w:hAnsi="Arial"/>
                <w:sz w:val="18"/>
                <w:szCs w:val="18"/>
                <w:i w:val="1"/>
                <w:iCs w:val="1"/>
                <w:color w:val="auto"/>
                <w:w w:val="87"/>
              </w:rPr>
              <w:t xml:space="preserve"> Methane Rita Andrea</w:t>
            </w:r>
          </w:p>
        </w:tc>
        <w:tc>
          <w:tcPr>
            <w:tcW w:w="3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60"/>
        </w:trPr>
        <w:tc>
          <w:tcPr>
            <w:tcW w:w="260" w:type="dxa"/>
            <w:vAlign w:val="bottom"/>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July 1, 2015</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6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 xml:space="preserve">Methane Alison Victoria, Methane Heather Sally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Shirley Elisabeth</w:t>
            </w:r>
          </w:p>
        </w:tc>
        <w:tc>
          <w:tcPr>
            <w:tcW w:w="1460" w:type="dxa"/>
            <w:vAlign w:val="bottom"/>
            <w:shd w:val="clear" w:color="auto" w:fill="CCEEFF"/>
          </w:tcPr>
          <w:p>
            <w:pPr>
              <w:spacing w:after="0"/>
              <w:rPr>
                <w:sz w:val="24"/>
                <w:szCs w:val="24"/>
                <w:color w:val="auto"/>
              </w:rPr>
            </w:pPr>
          </w:p>
        </w:tc>
        <w:tc>
          <w:tcPr>
            <w:tcW w:w="240" w:type="dxa"/>
            <w:vAlign w:val="bottom"/>
            <w:tcBorders>
              <w:right w:val="single" w:sz="8" w:color="auto"/>
            </w:tcBorders>
            <w:shd w:val="clear" w:color="auto" w:fill="CCEEFF"/>
          </w:tcPr>
          <w:p>
            <w:pPr>
              <w:spacing w:after="0"/>
              <w:rPr>
                <w:sz w:val="24"/>
                <w:szCs w:val="24"/>
                <w:color w:val="auto"/>
              </w:rPr>
            </w:pPr>
          </w:p>
        </w:tc>
        <w:tc>
          <w:tcPr>
            <w:tcW w:w="220" w:type="dxa"/>
            <w:vAlign w:val="bottom"/>
          </w:tcPr>
          <w:p>
            <w:pPr>
              <w:spacing w:after="0"/>
              <w:rPr>
                <w:sz w:val="24"/>
                <w:szCs w:val="24"/>
                <w:color w:val="auto"/>
              </w:rPr>
            </w:pPr>
          </w:p>
        </w:tc>
      </w:tr>
      <w:tr>
        <w:trPr>
          <w:trHeight w:val="458"/>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18"/>
                <w:szCs w:val="18"/>
                <w:color w:val="auto"/>
                <w:w w:val="99"/>
              </w:rPr>
              <w:t>November 1, 2016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18"/>
                <w:szCs w:val="18"/>
                <w:i w:val="1"/>
                <w:iCs w:val="1"/>
                <w:color w:val="auto"/>
              </w:rPr>
              <w:t>GasLog Seattle</w:t>
            </w:r>
          </w:p>
        </w:tc>
        <w:tc>
          <w:tcPr>
            <w:tcW w:w="3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60"/>
        </w:trPr>
        <w:tc>
          <w:tcPr>
            <w:tcW w:w="260" w:type="dxa"/>
            <w:vAlign w:val="bottom"/>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May 3, 2017</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20" w:type="dxa"/>
            <w:vAlign w:val="bottom"/>
            <w:shd w:val="clear" w:color="auto" w:fill="CCEEFF"/>
          </w:tcPr>
          <w:p>
            <w:pPr>
              <w:ind w:left="60"/>
              <w:spacing w:after="0"/>
              <w:rPr>
                <w:sz w:val="20"/>
                <w:szCs w:val="20"/>
                <w:color w:val="auto"/>
              </w:rPr>
            </w:pPr>
            <w:r>
              <w:rPr>
                <w:rFonts w:ascii="Arial" w:cs="Arial" w:eastAsia="Arial" w:hAnsi="Arial"/>
                <w:sz w:val="18"/>
                <w:szCs w:val="18"/>
                <w:i w:val="1"/>
                <w:iCs w:val="1"/>
                <w:color w:val="auto"/>
              </w:rPr>
              <w:t>GasLog Greece</w:t>
            </w:r>
          </w:p>
        </w:tc>
        <w:tc>
          <w:tcPr>
            <w:tcW w:w="3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40" w:type="dxa"/>
            <w:vAlign w:val="bottom"/>
            <w:tcBorders>
              <w:right w:val="single" w:sz="8" w:color="auto"/>
            </w:tcBorders>
            <w:shd w:val="clear" w:color="auto" w:fill="CCEEFF"/>
          </w:tcPr>
          <w:p>
            <w:pPr>
              <w:spacing w:after="0"/>
              <w:rPr>
                <w:sz w:val="24"/>
                <w:szCs w:val="24"/>
                <w:color w:val="auto"/>
              </w:rPr>
            </w:pPr>
          </w:p>
        </w:tc>
        <w:tc>
          <w:tcPr>
            <w:tcW w:w="220" w:type="dxa"/>
            <w:vAlign w:val="bottom"/>
          </w:tcPr>
          <w:p>
            <w:pPr>
              <w:spacing w:after="0"/>
              <w:rPr>
                <w:sz w:val="24"/>
                <w:szCs w:val="24"/>
                <w:color w:val="auto"/>
              </w:rPr>
            </w:pPr>
          </w:p>
        </w:tc>
      </w:tr>
      <w:tr>
        <w:trPr>
          <w:trHeight w:val="458"/>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18"/>
                <w:szCs w:val="18"/>
                <w:color w:val="auto"/>
              </w:rPr>
              <w:t>July 3, 2017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18"/>
                <w:szCs w:val="18"/>
                <w:i w:val="1"/>
                <w:iCs w:val="1"/>
                <w:color w:val="auto"/>
              </w:rPr>
              <w:t>GasLog Geneva</w:t>
            </w:r>
          </w:p>
        </w:tc>
        <w:tc>
          <w:tcPr>
            <w:tcW w:w="3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60"/>
        </w:trPr>
        <w:tc>
          <w:tcPr>
            <w:tcW w:w="260" w:type="dxa"/>
            <w:vAlign w:val="bottom"/>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October 20, 2017</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20" w:type="dxa"/>
            <w:vAlign w:val="bottom"/>
            <w:shd w:val="clear" w:color="auto" w:fill="CCEEFF"/>
          </w:tcPr>
          <w:p>
            <w:pPr>
              <w:ind w:left="60"/>
              <w:spacing w:after="0"/>
              <w:rPr>
                <w:sz w:val="20"/>
                <w:szCs w:val="20"/>
                <w:color w:val="auto"/>
              </w:rPr>
            </w:pPr>
            <w:r>
              <w:rPr>
                <w:rFonts w:ascii="Arial" w:cs="Arial" w:eastAsia="Arial" w:hAnsi="Arial"/>
                <w:sz w:val="18"/>
                <w:szCs w:val="18"/>
                <w:i w:val="1"/>
                <w:iCs w:val="1"/>
                <w:color w:val="auto"/>
              </w:rPr>
              <w:t>Solaris</w:t>
            </w:r>
          </w:p>
        </w:tc>
        <w:tc>
          <w:tcPr>
            <w:tcW w:w="3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40" w:type="dxa"/>
            <w:vAlign w:val="bottom"/>
            <w:tcBorders>
              <w:right w:val="single" w:sz="8" w:color="auto"/>
            </w:tcBorders>
            <w:shd w:val="clear" w:color="auto" w:fill="CCEEFF"/>
          </w:tcPr>
          <w:p>
            <w:pPr>
              <w:spacing w:after="0"/>
              <w:rPr>
                <w:sz w:val="24"/>
                <w:szCs w:val="24"/>
                <w:color w:val="auto"/>
              </w:rPr>
            </w:pPr>
          </w:p>
        </w:tc>
        <w:tc>
          <w:tcPr>
            <w:tcW w:w="220" w:type="dxa"/>
            <w:vAlign w:val="bottom"/>
          </w:tcPr>
          <w:p>
            <w:pPr>
              <w:spacing w:after="0"/>
              <w:rPr>
                <w:sz w:val="24"/>
                <w:szCs w:val="24"/>
                <w:color w:val="auto"/>
              </w:rPr>
            </w:pPr>
          </w:p>
        </w:tc>
      </w:tr>
      <w:tr>
        <w:trPr>
          <w:trHeight w:val="457"/>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18"/>
                <w:szCs w:val="18"/>
                <w:color w:val="auto"/>
              </w:rPr>
              <w:t>April 26, 2018</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18"/>
                <w:szCs w:val="18"/>
                <w:i w:val="1"/>
                <w:iCs w:val="1"/>
                <w:color w:val="auto"/>
              </w:rPr>
              <w:t>GasLog Gibraltar</w:t>
            </w:r>
          </w:p>
        </w:tc>
        <w:tc>
          <w:tcPr>
            <w:tcW w:w="3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48"/>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18"/>
                <w:szCs w:val="18"/>
                <w:color w:val="auto"/>
                <w:w w:val="93"/>
              </w:rPr>
              <w:t>November 14, 2018</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18"/>
                <w:szCs w:val="18"/>
                <w:i w:val="1"/>
                <w:iCs w:val="1"/>
                <w:color w:val="auto"/>
              </w:rPr>
              <w:t>Methane Becki Anne</w:t>
            </w:r>
          </w:p>
        </w:tc>
        <w:tc>
          <w:tcPr>
            <w:tcW w:w="3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6"/>
        </w:trPr>
        <w:tc>
          <w:tcPr>
            <w:tcW w:w="340" w:type="dxa"/>
            <w:vAlign w:val="bottom"/>
            <w:gridSpan w:val="2"/>
          </w:tcPr>
          <w:p>
            <w:pPr>
              <w:jc w:val="right"/>
              <w:ind w:right="53"/>
              <w:spacing w:after="0" w:line="7" w:lineRule="exact"/>
              <w:rPr>
                <w:sz w:val="20"/>
                <w:szCs w:val="20"/>
                <w:color w:val="auto"/>
              </w:rPr>
            </w:pPr>
            <w:r>
              <w:rPr>
                <w:rFonts w:ascii="Arial" w:cs="Arial" w:eastAsia="Arial" w:hAnsi="Arial"/>
                <w:sz w:val="1"/>
                <w:szCs w:val="1"/>
                <w:color w:val="auto"/>
              </w:rPr>
              <w:t>â€‹</w:t>
            </w:r>
          </w:p>
        </w:tc>
        <w:tc>
          <w:tcPr>
            <w:tcW w:w="160" w:type="dxa"/>
            <w:vAlign w:val="bottom"/>
          </w:tcPr>
          <w:p>
            <w:pPr>
              <w:jc w:val="right"/>
              <w:ind w:right="50"/>
              <w:spacing w:after="0" w:line="7" w:lineRule="exact"/>
              <w:rPr>
                <w:sz w:val="20"/>
                <w:szCs w:val="20"/>
                <w:color w:val="auto"/>
              </w:rPr>
            </w:pPr>
            <w:r>
              <w:rPr>
                <w:rFonts w:ascii="Arial" w:cs="Arial" w:eastAsia="Arial" w:hAnsi="Arial"/>
                <w:sz w:val="1"/>
                <w:szCs w:val="1"/>
                <w:color w:val="auto"/>
              </w:rPr>
              <w:t>â€‹</w:t>
            </w:r>
          </w:p>
        </w:tc>
        <w:tc>
          <w:tcPr>
            <w:tcW w:w="1560" w:type="dxa"/>
            <w:vAlign w:val="bottom"/>
          </w:tcPr>
          <w:p>
            <w:pPr>
              <w:ind w:left="60"/>
              <w:spacing w:after="0" w:line="7" w:lineRule="exact"/>
              <w:rPr>
                <w:sz w:val="20"/>
                <w:szCs w:val="20"/>
                <w:color w:val="auto"/>
              </w:rPr>
            </w:pPr>
            <w:r>
              <w:rPr>
                <w:rFonts w:ascii="Arial" w:cs="Arial" w:eastAsia="Arial" w:hAnsi="Arial"/>
                <w:sz w:val="1"/>
                <w:szCs w:val="1"/>
                <w:color w:val="auto"/>
              </w:rPr>
              <w:t>â€‹</w:t>
            </w:r>
          </w:p>
        </w:tc>
        <w:tc>
          <w:tcPr>
            <w:tcW w:w="180" w:type="dxa"/>
            <w:vAlign w:val="bottom"/>
          </w:tcPr>
          <w:p>
            <w:pPr>
              <w:ind w:left="80"/>
              <w:spacing w:after="0" w:line="7" w:lineRule="exact"/>
              <w:rPr>
                <w:sz w:val="20"/>
                <w:szCs w:val="20"/>
                <w:color w:val="auto"/>
              </w:rPr>
            </w:pPr>
            <w:r>
              <w:rPr>
                <w:rFonts w:ascii="Arial" w:cs="Arial" w:eastAsia="Arial" w:hAnsi="Arial"/>
                <w:sz w:val="1"/>
                <w:szCs w:val="1"/>
                <w:color w:val="auto"/>
              </w:rPr>
              <w:t>â€‹</w:t>
            </w:r>
          </w:p>
        </w:tc>
        <w:tc>
          <w:tcPr>
            <w:tcW w:w="220" w:type="dxa"/>
            <w:vAlign w:val="bottom"/>
          </w:tcPr>
          <w:p>
            <w:pPr>
              <w:ind w:left="60"/>
              <w:spacing w:after="0" w:line="7" w:lineRule="exact"/>
              <w:rPr>
                <w:sz w:val="20"/>
                <w:szCs w:val="20"/>
                <w:color w:val="auto"/>
              </w:rPr>
            </w:pPr>
            <w:r>
              <w:rPr>
                <w:rFonts w:ascii="Arial" w:cs="Arial" w:eastAsia="Arial" w:hAnsi="Arial"/>
                <w:sz w:val="1"/>
                <w:szCs w:val="1"/>
                <w:color w:val="auto"/>
              </w:rPr>
              <w:t>â€‹</w:t>
            </w:r>
          </w:p>
        </w:tc>
        <w:tc>
          <w:tcPr>
            <w:tcW w:w="120" w:type="dxa"/>
            <w:vAlign w:val="bottom"/>
          </w:tcPr>
          <w:p>
            <w:pPr>
              <w:ind w:left="20"/>
              <w:spacing w:after="0" w:line="7" w:lineRule="exact"/>
              <w:rPr>
                <w:sz w:val="20"/>
                <w:szCs w:val="20"/>
                <w:color w:val="auto"/>
              </w:rPr>
            </w:pPr>
            <w:r>
              <w:rPr>
                <w:rFonts w:ascii="Arial" w:cs="Arial" w:eastAsia="Arial" w:hAnsi="Arial"/>
                <w:sz w:val="1"/>
                <w:szCs w:val="1"/>
                <w:color w:val="auto"/>
              </w:rPr>
              <w:t>â€‹</w:t>
            </w:r>
          </w:p>
        </w:tc>
        <w:tc>
          <w:tcPr>
            <w:tcW w:w="3620" w:type="dxa"/>
            <w:vAlign w:val="bottom"/>
          </w:tcPr>
          <w:p>
            <w:pPr>
              <w:ind w:left="60"/>
              <w:spacing w:after="0" w:line="7" w:lineRule="exact"/>
              <w:rPr>
                <w:sz w:val="20"/>
                <w:szCs w:val="20"/>
                <w:color w:val="auto"/>
              </w:rPr>
            </w:pPr>
            <w:r>
              <w:rPr>
                <w:rFonts w:ascii="Arial" w:cs="Arial" w:eastAsia="Arial" w:hAnsi="Arial"/>
                <w:sz w:val="1"/>
                <w:szCs w:val="1"/>
                <w:color w:val="auto"/>
              </w:rPr>
              <w:t>â€‹</w:t>
            </w:r>
          </w:p>
        </w:tc>
        <w:tc>
          <w:tcPr>
            <w:tcW w:w="3440" w:type="dxa"/>
            <w:vAlign w:val="bottom"/>
          </w:tcPr>
          <w:p>
            <w:pPr>
              <w:spacing w:after="0"/>
              <w:rPr>
                <w:sz w:val="2"/>
                <w:szCs w:val="2"/>
                <w:color w:val="auto"/>
              </w:rPr>
            </w:pPr>
          </w:p>
        </w:tc>
        <w:tc>
          <w:tcPr>
            <w:tcW w:w="1460" w:type="dxa"/>
            <w:vAlign w:val="bottom"/>
          </w:tcPr>
          <w:p>
            <w:pPr>
              <w:ind w:left="1360"/>
              <w:spacing w:after="0" w:line="7" w:lineRule="exact"/>
              <w:rPr>
                <w:sz w:val="20"/>
                <w:szCs w:val="20"/>
                <w:color w:val="auto"/>
              </w:rPr>
            </w:pPr>
            <w:r>
              <w:rPr>
                <w:rFonts w:ascii="Arial" w:cs="Arial" w:eastAsia="Arial" w:hAnsi="Arial"/>
                <w:sz w:val="1"/>
                <w:szCs w:val="1"/>
                <w:color w:val="auto"/>
              </w:rPr>
              <w:t>â€‹</w:t>
            </w:r>
          </w:p>
        </w:tc>
        <w:tc>
          <w:tcPr>
            <w:tcW w:w="240" w:type="dxa"/>
            <w:vAlign w:val="bottom"/>
            <w:tcBorders>
              <w:right w:val="single" w:sz="8" w:color="auto"/>
            </w:tcBorders>
          </w:tcPr>
          <w:p>
            <w:pPr>
              <w:ind w:left="60"/>
              <w:spacing w:after="0" w:line="7" w:lineRule="exact"/>
              <w:rPr>
                <w:sz w:val="20"/>
                <w:szCs w:val="20"/>
                <w:color w:val="auto"/>
              </w:rPr>
            </w:pPr>
            <w:r>
              <w:rPr>
                <w:rFonts w:ascii="Arial" w:cs="Arial" w:eastAsia="Arial" w:hAnsi="Arial"/>
                <w:sz w:val="1"/>
                <w:szCs w:val="1"/>
                <w:color w:val="auto"/>
              </w:rPr>
              <w:t>â€‹</w:t>
            </w:r>
          </w:p>
        </w:tc>
        <w:tc>
          <w:tcPr>
            <w:tcW w:w="220" w:type="dxa"/>
            <w:vAlign w:val="bottom"/>
          </w:tcPr>
          <w:p>
            <w:pPr>
              <w:spacing w:after="0"/>
              <w:rPr>
                <w:sz w:val="2"/>
                <w:szCs w:val="2"/>
                <w:color w:val="auto"/>
              </w:rPr>
            </w:pPr>
          </w:p>
        </w:tc>
      </w:tr>
      <w:tr>
        <w:trPr>
          <w:trHeight w:val="226"/>
        </w:trPr>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427"/>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ind w:left="3040"/>
              <w:spacing w:after="0"/>
              <w:rPr>
                <w:sz w:val="20"/>
                <w:szCs w:val="20"/>
                <w:color w:val="auto"/>
              </w:rPr>
            </w:pPr>
            <w:r>
              <w:rPr>
                <w:rFonts w:ascii="Arial" w:cs="Arial" w:eastAsia="Arial" w:hAnsi="Arial"/>
                <w:sz w:val="18"/>
                <w:szCs w:val="18"/>
                <w:color w:val="auto"/>
              </w:rPr>
              <w:t>S-10</w:t>
            </w:r>
          </w:p>
        </w:tc>
        <w:tc>
          <w:tcPr>
            <w:tcW w:w="3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8"/>
        </w:trPr>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083"/>
        </w:trPr>
        <w:tc>
          <w:tcPr>
            <w:tcW w:w="1340" w:type="dxa"/>
            <w:vAlign w:val="bottom"/>
            <w:tcBorders>
              <w:top w:val="single" w:sz="8" w:color="auto"/>
              <w:lef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7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4"/>
              </w:rPr>
              <w:t>Historical</w:t>
            </w:r>
          </w:p>
        </w:tc>
        <w:tc>
          <w:tcPr>
            <w:tcW w:w="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15"/>
          </w:tcPr>
          <w:p>
            <w:pPr>
              <w:jc w:val="center"/>
              <w:ind w:right="6"/>
              <w:spacing w:after="0" w:line="142" w:lineRule="exact"/>
              <w:rPr>
                <w:sz w:val="20"/>
                <w:szCs w:val="20"/>
                <w:color w:val="auto"/>
              </w:rPr>
            </w:pPr>
            <w:r>
              <w:rPr>
                <w:rFonts w:ascii="Arial" w:cs="Arial" w:eastAsia="Arial" w:hAnsi="Arial"/>
                <w:sz w:val="13"/>
                <w:szCs w:val="13"/>
                <w:b w:val="1"/>
                <w:bCs w:val="1"/>
                <w:color w:val="auto"/>
                <w:w w:val="93"/>
              </w:rPr>
              <w:t>Year Ended December 31,</w:t>
            </w:r>
          </w:p>
        </w:tc>
        <w:tc>
          <w:tcPr>
            <w:tcW w:w="150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2016</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2017</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ind w:left="80"/>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4"/>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Borders>
              <w:right w:val="single" w:sz="8" w:color="auto"/>
            </w:tcBorders>
            <w:gridSpan w:val="17"/>
          </w:tcPr>
          <w:p>
            <w:pPr>
              <w:jc w:val="center"/>
              <w:ind w:right="1580"/>
              <w:spacing w:after="0"/>
              <w:rPr>
                <w:sz w:val="20"/>
                <w:szCs w:val="20"/>
                <w:color w:val="auto"/>
              </w:rPr>
            </w:pPr>
            <w:r>
              <w:rPr>
                <w:rFonts w:ascii="Arial" w:cs="Arial" w:eastAsia="Arial" w:hAnsi="Arial"/>
                <w:sz w:val="13"/>
                <w:szCs w:val="13"/>
                <w:b w:val="1"/>
                <w:bCs w:val="1"/>
                <w:color w:val="auto"/>
                <w:w w:val="91"/>
              </w:rPr>
              <w:t>(in thousands of U.S. dollars, except</w:t>
            </w:r>
          </w:p>
        </w:tc>
        <w:tc>
          <w:tcPr>
            <w:tcW w:w="0" w:type="dxa"/>
            <w:vAlign w:val="bottom"/>
          </w:tcPr>
          <w:p>
            <w:pPr>
              <w:spacing w:after="0"/>
              <w:rPr>
                <w:sz w:val="1"/>
                <w:szCs w:val="1"/>
                <w:color w:val="auto"/>
              </w:rPr>
            </w:pPr>
          </w:p>
        </w:tc>
      </w:tr>
      <w:tr>
        <w:trPr>
          <w:trHeight w:val="161"/>
        </w:trPr>
        <w:tc>
          <w:tcPr>
            <w:tcW w:w="134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7"/>
              </w:rPr>
              <w:t>per unit data)</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PROFIT OR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317,489</w:t>
            </w:r>
          </w:p>
        </w:tc>
        <w:tc>
          <w:tcPr>
            <w:tcW w:w="6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371,146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352,541</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pool allocation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â€”</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â€”</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3,700</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Voyage expenses and commissions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(4,333)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(4,650)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(7,122)</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Vessel operating costs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(63,076)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(71,369)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(68,725)</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(70,290)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(81,089)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(81,590)</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720" w:type="dxa"/>
            <w:vAlign w:val="bottom"/>
          </w:tcPr>
          <w:p>
            <w:pPr>
              <w:ind w:left="80"/>
              <w:spacing w:after="0" w:line="203" w:lineRule="exact"/>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5"/>
          </w:tcPr>
          <w:p>
            <w:pPr>
              <w:jc w:val="right"/>
              <w:spacing w:after="0" w:line="203" w:lineRule="exact"/>
              <w:rPr>
                <w:sz w:val="20"/>
                <w:szCs w:val="20"/>
                <w:color w:val="auto"/>
              </w:rPr>
            </w:pPr>
            <w:r>
              <w:rPr>
                <w:rFonts w:ascii="Arial" w:cs="Arial" w:eastAsia="Arial" w:hAnsi="Arial"/>
                <w:sz w:val="18"/>
                <w:szCs w:val="18"/>
                <w:color w:val="auto"/>
              </w:rPr>
              <w:t>(13,206)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5"/>
          </w:tcPr>
          <w:p>
            <w:pPr>
              <w:jc w:val="right"/>
              <w:spacing w:after="0" w:line="203" w:lineRule="exact"/>
              <w:rPr>
                <w:sz w:val="20"/>
                <w:szCs w:val="20"/>
                <w:color w:val="auto"/>
              </w:rPr>
            </w:pPr>
            <w:r>
              <w:rPr>
                <w:rFonts w:ascii="Arial" w:cs="Arial" w:eastAsia="Arial" w:hAnsi="Arial"/>
                <w:sz w:val="18"/>
                <w:szCs w:val="18"/>
                <w:color w:val="auto"/>
              </w:rPr>
              <w:t>(15,311)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(19,369)</w:t>
            </w: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340" w:type="dxa"/>
            <w:vAlign w:val="bottom"/>
            <w:tcBorders>
              <w:left w:val="single" w:sz="8" w:color="auto"/>
            </w:tcBorders>
          </w:tcPr>
          <w:p>
            <w:pPr>
              <w:spacing w:after="0"/>
              <w:rPr>
                <w:sz w:val="2"/>
                <w:szCs w:val="2"/>
                <w:color w:val="auto"/>
              </w:rPr>
            </w:pPr>
          </w:p>
        </w:tc>
        <w:tc>
          <w:tcPr>
            <w:tcW w:w="5840" w:type="dxa"/>
            <w:vAlign w:val="bottom"/>
            <w:gridSpan w:val="2"/>
            <w:vMerge w:val="restart"/>
          </w:tcPr>
          <w:p>
            <w:pPr>
              <w:ind w:left="20"/>
              <w:spacing w:after="0"/>
              <w:rPr>
                <w:sz w:val="20"/>
                <w:szCs w:val="20"/>
                <w:color w:val="auto"/>
              </w:rPr>
            </w:pPr>
            <w:r>
              <w:rPr>
                <w:rFonts w:ascii="Arial" w:cs="Arial" w:eastAsia="Arial" w:hAnsi="Arial"/>
                <w:sz w:val="5"/>
                <w:szCs w:val="5"/>
                <w:color w:val="auto"/>
                <w:vertAlign w:val="superscript"/>
              </w:rPr>
              <w:t>â€‹</w:t>
            </w:r>
            <w:r>
              <w:rPr>
                <w:rFonts w:ascii="Arial" w:cs="Arial" w:eastAsia="Arial" w:hAnsi="Arial"/>
                <w:sz w:val="18"/>
                <w:szCs w:val="18"/>
                <w:b w:val="1"/>
                <w:bCs w:val="1"/>
                <w:color w:val="auto"/>
              </w:rPr>
              <w:t xml:space="preserve">            Profit from operations</w:t>
            </w:r>
          </w:p>
        </w:tc>
        <w:tc>
          <w:tcPr>
            <w:tcW w:w="100" w:type="dxa"/>
            <w:vAlign w:val="bottom"/>
            <w:vMerge w:val="restart"/>
          </w:tcPr>
          <w:p>
            <w:pPr>
              <w:jc w:val="right"/>
              <w:spacing w:after="0"/>
              <w:rPr>
                <w:sz w:val="20"/>
                <w:szCs w:val="20"/>
                <w:color w:val="auto"/>
              </w:rPr>
            </w:pPr>
            <w:r>
              <w:rPr>
                <w:rFonts w:ascii="Arial" w:cs="Arial" w:eastAsia="Arial" w:hAnsi="Arial"/>
                <w:sz w:val="3"/>
                <w:szCs w:val="3"/>
                <w:color w:val="auto"/>
              </w:rPr>
              <w:t>â€‹</w:t>
            </w:r>
          </w:p>
        </w:tc>
        <w:tc>
          <w:tcPr>
            <w:tcW w:w="100" w:type="dxa"/>
            <w:vAlign w:val="bottom"/>
          </w:tcPr>
          <w:p>
            <w:pPr>
              <w:spacing w:after="0"/>
              <w:rPr>
                <w:sz w:val="2"/>
                <w:szCs w:val="2"/>
                <w:color w:val="auto"/>
              </w:rPr>
            </w:pPr>
          </w:p>
        </w:tc>
        <w:tc>
          <w:tcPr>
            <w:tcW w:w="100" w:type="dxa"/>
            <w:vAlign w:val="bottom"/>
          </w:tcPr>
          <w:p>
            <w:pPr>
              <w:spacing w:after="0"/>
              <w:rPr>
                <w:sz w:val="20"/>
                <w:szCs w:val="20"/>
                <w:color w:val="auto"/>
              </w:rPr>
            </w:pPr>
            <w:r>
              <w:rPr>
                <w:rFonts w:ascii="Arial" w:cs="Arial" w:eastAsia="Arial" w:hAnsi="Arial"/>
                <w:sz w:val="3"/>
                <w:szCs w:val="3"/>
                <w:color w:val="auto"/>
              </w:rPr>
              <w:t>â€‹</w:t>
            </w:r>
          </w:p>
        </w:tc>
        <w:tc>
          <w:tcPr>
            <w:tcW w:w="76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3"/>
              </w:rPr>
              <w:t>166,584</w:t>
            </w:r>
            <w:r>
              <w:rPr>
                <w:rFonts w:ascii="Arial" w:cs="Arial" w:eastAsia="Arial" w:hAnsi="Arial"/>
                <w:sz w:val="5"/>
                <w:szCs w:val="5"/>
                <w:color w:val="auto"/>
                <w:w w:val="93"/>
                <w:vertAlign w:val="superscript"/>
              </w:rPr>
              <w:t>â€‹â€‹</w:t>
            </w:r>
          </w:p>
        </w:tc>
        <w:tc>
          <w:tcPr>
            <w:tcW w:w="80" w:type="dxa"/>
            <w:vAlign w:val="bottom"/>
          </w:tcPr>
          <w:p>
            <w:pPr>
              <w:spacing w:after="0"/>
              <w:rPr>
                <w:sz w:val="2"/>
                <w:szCs w:val="2"/>
                <w:color w:val="auto"/>
              </w:rPr>
            </w:pPr>
          </w:p>
        </w:tc>
        <w:tc>
          <w:tcPr>
            <w:tcW w:w="100" w:type="dxa"/>
            <w:vAlign w:val="bottom"/>
          </w:tcPr>
          <w:p>
            <w:pPr>
              <w:ind w:left="20"/>
              <w:spacing w:after="0"/>
              <w:rPr>
                <w:sz w:val="20"/>
                <w:szCs w:val="20"/>
                <w:color w:val="auto"/>
              </w:rPr>
            </w:pPr>
            <w:r>
              <w:rPr>
                <w:rFonts w:ascii="Arial" w:cs="Arial" w:eastAsia="Arial" w:hAnsi="Arial"/>
                <w:sz w:val="3"/>
                <w:szCs w:val="3"/>
                <w:color w:val="auto"/>
              </w:rPr>
              <w:t>â€‹</w:t>
            </w:r>
          </w:p>
        </w:tc>
        <w:tc>
          <w:tcPr>
            <w:tcW w:w="840" w:type="dxa"/>
            <w:vAlign w:val="bottom"/>
            <w:gridSpan w:val="6"/>
            <w:vMerge w:val="restart"/>
          </w:tcPr>
          <w:p>
            <w:pPr>
              <w:jc w:val="right"/>
              <w:ind w:right="120"/>
              <w:spacing w:after="0"/>
              <w:rPr>
                <w:sz w:val="20"/>
                <w:szCs w:val="20"/>
                <w:color w:val="auto"/>
              </w:rPr>
            </w:pPr>
            <w:r>
              <w:rPr>
                <w:rFonts w:ascii="Arial" w:cs="Arial" w:eastAsia="Arial" w:hAnsi="Arial"/>
                <w:sz w:val="18"/>
                <w:szCs w:val="18"/>
                <w:b w:val="1"/>
                <w:bCs w:val="1"/>
                <w:color w:val="auto"/>
                <w:w w:val="93"/>
              </w:rPr>
              <w:t>198,727</w:t>
            </w:r>
            <w:r>
              <w:rPr>
                <w:rFonts w:ascii="Arial" w:cs="Arial" w:eastAsia="Arial" w:hAnsi="Arial"/>
                <w:sz w:val="5"/>
                <w:szCs w:val="5"/>
                <w:color w:val="auto"/>
                <w:w w:val="93"/>
                <w:vertAlign w:val="superscript"/>
              </w:rPr>
              <w:t>â€‹â€‹</w:t>
            </w:r>
          </w:p>
        </w:tc>
        <w:tc>
          <w:tcPr>
            <w:tcW w:w="140" w:type="dxa"/>
            <w:vAlign w:val="bottom"/>
          </w:tcPr>
          <w:p>
            <w:pPr>
              <w:ind w:left="20"/>
              <w:spacing w:after="0"/>
              <w:rPr>
                <w:sz w:val="20"/>
                <w:szCs w:val="20"/>
                <w:color w:val="auto"/>
              </w:rPr>
            </w:pPr>
            <w:r>
              <w:rPr>
                <w:rFonts w:ascii="Arial" w:cs="Arial" w:eastAsia="Arial" w:hAnsi="Arial"/>
                <w:sz w:val="3"/>
                <w:szCs w:val="3"/>
                <w:color w:val="auto"/>
              </w:rPr>
              <w:t>â€‹</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90"/>
              </w:rPr>
              <w:t>179,435</w:t>
            </w:r>
            <w:r>
              <w:rPr>
                <w:rFonts w:ascii="Arial" w:cs="Arial" w:eastAsia="Arial" w:hAnsi="Arial"/>
                <w:sz w:val="5"/>
                <w:szCs w:val="5"/>
                <w:color w:val="auto"/>
                <w:w w:val="90"/>
                <w:vertAlign w:val="superscript"/>
              </w:rPr>
              <w:t>â€‹â€‹</w:t>
            </w: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40" w:type="dxa"/>
            <w:vAlign w:val="bottom"/>
            <w:tcBorders>
              <w:left w:val="single" w:sz="8" w:color="auto"/>
            </w:tcBorders>
          </w:tcPr>
          <w:p>
            <w:pPr>
              <w:spacing w:after="0"/>
              <w:rPr>
                <w:sz w:val="16"/>
                <w:szCs w:val="16"/>
                <w:color w:val="auto"/>
              </w:rPr>
            </w:pPr>
          </w:p>
        </w:tc>
        <w:tc>
          <w:tcPr>
            <w:tcW w:w="58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340" w:type="dxa"/>
            <w:vAlign w:val="bottom"/>
            <w:tcBorders>
              <w:left w:val="single" w:sz="8" w:color="auto"/>
            </w:tcBorders>
          </w:tcPr>
          <w:p>
            <w:pPr>
              <w:spacing w:after="0"/>
              <w:rPr>
                <w:sz w:val="3"/>
                <w:szCs w:val="3"/>
                <w:color w:val="auto"/>
              </w:rPr>
            </w:pPr>
          </w:p>
        </w:tc>
        <w:tc>
          <w:tcPr>
            <w:tcW w:w="120" w:type="dxa"/>
            <w:vAlign w:val="bottom"/>
          </w:tcPr>
          <w:p>
            <w:pPr>
              <w:ind w:left="20"/>
              <w:spacing w:after="0"/>
              <w:rPr>
                <w:sz w:val="20"/>
                <w:szCs w:val="20"/>
                <w:color w:val="auto"/>
              </w:rPr>
            </w:pPr>
            <w:r>
              <w:rPr>
                <w:rFonts w:ascii="Arial" w:cs="Arial" w:eastAsia="Arial" w:hAnsi="Arial"/>
                <w:sz w:val="3"/>
                <w:szCs w:val="3"/>
                <w:color w:val="auto"/>
              </w:rPr>
              <w:t>â€‹</w:t>
            </w:r>
          </w:p>
        </w:tc>
        <w:tc>
          <w:tcPr>
            <w:tcW w:w="5720" w:type="dxa"/>
            <w:vAlign w:val="bottom"/>
            <w:vMerge w:val="restart"/>
          </w:tcPr>
          <w:p>
            <w:pPr>
              <w:ind w:left="80"/>
              <w:spacing w:after="0"/>
              <w:rPr>
                <w:sz w:val="20"/>
                <w:szCs w:val="20"/>
                <w:color w:val="auto"/>
              </w:rPr>
            </w:pPr>
            <w:r>
              <w:rPr>
                <w:rFonts w:ascii="Arial" w:cs="Arial" w:eastAsia="Arial" w:hAnsi="Arial"/>
                <w:sz w:val="18"/>
                <w:szCs w:val="18"/>
                <w:color w:val="auto"/>
              </w:rPr>
              <w:t>Financial costs</w:t>
            </w:r>
          </w:p>
        </w:tc>
        <w:tc>
          <w:tcPr>
            <w:tcW w:w="100" w:type="dxa"/>
            <w:vAlign w:val="bottom"/>
          </w:tcPr>
          <w:p>
            <w:pPr>
              <w:jc w:val="right"/>
              <w:spacing w:after="0"/>
              <w:rPr>
                <w:sz w:val="20"/>
                <w:szCs w:val="20"/>
                <w:color w:val="auto"/>
              </w:rPr>
            </w:pPr>
            <w:r>
              <w:rPr>
                <w:rFonts w:ascii="Arial" w:cs="Arial" w:eastAsia="Arial" w:hAnsi="Arial"/>
                <w:sz w:val="3"/>
                <w:szCs w:val="3"/>
                <w:color w:val="auto"/>
              </w:rPr>
              <w:t>â€‹</w:t>
            </w:r>
          </w:p>
        </w:tc>
        <w:tc>
          <w:tcPr>
            <w:tcW w:w="100" w:type="dxa"/>
            <w:vAlign w:val="bottom"/>
          </w:tcPr>
          <w:p>
            <w:pPr>
              <w:spacing w:after="0"/>
              <w:rPr>
                <w:sz w:val="3"/>
                <w:szCs w:val="3"/>
                <w:color w:val="auto"/>
              </w:rPr>
            </w:pPr>
          </w:p>
        </w:tc>
        <w:tc>
          <w:tcPr>
            <w:tcW w:w="100" w:type="dxa"/>
            <w:vAlign w:val="bottom"/>
          </w:tcPr>
          <w:p>
            <w:pPr>
              <w:spacing w:after="0"/>
              <w:rPr>
                <w:sz w:val="20"/>
                <w:szCs w:val="20"/>
                <w:color w:val="auto"/>
              </w:rPr>
            </w:pPr>
            <w:r>
              <w:rPr>
                <w:rFonts w:ascii="Arial" w:cs="Arial" w:eastAsia="Arial" w:hAnsi="Arial"/>
                <w:sz w:val="3"/>
                <w:szCs w:val="3"/>
                <w:color w:val="auto"/>
              </w:rPr>
              <w:t>â€‹</w:t>
            </w: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gridSpan w:val="3"/>
          </w:tcPr>
          <w:p>
            <w:pPr>
              <w:jc w:val="right"/>
              <w:spacing w:after="0" w:line="40" w:lineRule="exact"/>
              <w:rPr>
                <w:sz w:val="20"/>
                <w:szCs w:val="20"/>
                <w:color w:val="auto"/>
              </w:rPr>
            </w:pPr>
            <w:r>
              <w:rPr>
                <w:rFonts w:ascii="Arial" w:cs="Arial" w:eastAsia="Arial" w:hAnsi="Arial"/>
                <w:sz w:val="2"/>
                <w:szCs w:val="2"/>
                <w:color w:val="auto"/>
              </w:rPr>
              <w:t>â€‹</w:t>
            </w:r>
            <w:r>
              <w:rPr>
                <w:rFonts w:ascii="Arial" w:cs="Arial" w:eastAsia="Arial" w:hAnsi="Arial"/>
                <w:sz w:val="4"/>
                <w:szCs w:val="4"/>
                <w:color w:val="auto"/>
                <w:vertAlign w:val="subscript"/>
              </w:rPr>
              <w:t>â€‹</w:t>
            </w:r>
          </w:p>
        </w:tc>
        <w:tc>
          <w:tcPr>
            <w:tcW w:w="80" w:type="dxa"/>
            <w:vAlign w:val="bottom"/>
          </w:tcPr>
          <w:p>
            <w:pPr>
              <w:spacing w:after="0"/>
              <w:rPr>
                <w:sz w:val="3"/>
                <w:szCs w:val="3"/>
                <w:color w:val="auto"/>
              </w:rPr>
            </w:pPr>
          </w:p>
        </w:tc>
        <w:tc>
          <w:tcPr>
            <w:tcW w:w="100" w:type="dxa"/>
            <w:vAlign w:val="bottom"/>
          </w:tcPr>
          <w:p>
            <w:pPr>
              <w:ind w:left="20"/>
              <w:spacing w:after="0"/>
              <w:rPr>
                <w:sz w:val="20"/>
                <w:szCs w:val="20"/>
                <w:color w:val="auto"/>
              </w:rPr>
            </w:pPr>
            <w:r>
              <w:rPr>
                <w:rFonts w:ascii="Arial" w:cs="Arial" w:eastAsia="Arial" w:hAnsi="Arial"/>
                <w:sz w:val="3"/>
                <w:szCs w:val="3"/>
                <w:color w:val="auto"/>
              </w:rPr>
              <w:t>â€‹</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gridSpan w:val="4"/>
          </w:tcPr>
          <w:p>
            <w:pPr>
              <w:jc w:val="right"/>
              <w:ind w:right="120"/>
              <w:spacing w:after="0" w:line="40" w:lineRule="exact"/>
              <w:rPr>
                <w:sz w:val="20"/>
                <w:szCs w:val="20"/>
                <w:color w:val="auto"/>
              </w:rPr>
            </w:pPr>
            <w:r>
              <w:rPr>
                <w:rFonts w:ascii="Arial" w:cs="Arial" w:eastAsia="Arial" w:hAnsi="Arial"/>
                <w:sz w:val="2"/>
                <w:szCs w:val="2"/>
                <w:color w:val="auto"/>
              </w:rPr>
              <w:t>â€‹</w:t>
            </w:r>
            <w:r>
              <w:rPr>
                <w:rFonts w:ascii="Arial" w:cs="Arial" w:eastAsia="Arial" w:hAnsi="Arial"/>
                <w:sz w:val="4"/>
                <w:szCs w:val="4"/>
                <w:color w:val="auto"/>
                <w:vertAlign w:val="subscript"/>
              </w:rPr>
              <w:t>â€‹</w:t>
            </w:r>
          </w:p>
        </w:tc>
        <w:tc>
          <w:tcPr>
            <w:tcW w:w="140" w:type="dxa"/>
            <w:vAlign w:val="bottom"/>
          </w:tcPr>
          <w:p>
            <w:pPr>
              <w:ind w:left="20"/>
              <w:spacing w:after="0"/>
              <w:rPr>
                <w:sz w:val="20"/>
                <w:szCs w:val="20"/>
                <w:color w:val="auto"/>
              </w:rPr>
            </w:pPr>
            <w:r>
              <w:rPr>
                <w:rFonts w:ascii="Arial" w:cs="Arial" w:eastAsia="Arial" w:hAnsi="Arial"/>
                <w:sz w:val="3"/>
                <w:szCs w:val="3"/>
                <w:color w:val="auto"/>
              </w:rPr>
              <w:t>â€‹</w:t>
            </w:r>
          </w:p>
        </w:tc>
        <w:tc>
          <w:tcPr>
            <w:tcW w:w="820" w:type="dxa"/>
            <w:vAlign w:val="bottom"/>
            <w:gridSpan w:val="2"/>
          </w:tcPr>
          <w:p>
            <w:pPr>
              <w:jc w:val="right"/>
              <w:ind w:right="120"/>
              <w:spacing w:after="0" w:line="40" w:lineRule="exact"/>
              <w:rPr>
                <w:sz w:val="20"/>
                <w:szCs w:val="20"/>
                <w:color w:val="auto"/>
              </w:rPr>
            </w:pPr>
            <w:r>
              <w:rPr>
                <w:rFonts w:ascii="Arial" w:cs="Arial" w:eastAsia="Arial" w:hAnsi="Arial"/>
                <w:sz w:val="2"/>
                <w:szCs w:val="2"/>
                <w:color w:val="auto"/>
              </w:rPr>
              <w:t>â€‹</w:t>
            </w:r>
            <w:r>
              <w:rPr>
                <w:rFonts w:ascii="Arial" w:cs="Arial" w:eastAsia="Arial" w:hAnsi="Arial"/>
                <w:sz w:val="4"/>
                <w:szCs w:val="4"/>
                <w:color w:val="auto"/>
                <w:vertAlign w:val="subscript"/>
              </w:rPr>
              <w:t>â€‹</w:t>
            </w:r>
          </w:p>
        </w:tc>
        <w:tc>
          <w:tcPr>
            <w:tcW w:w="1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(60,247)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(65,122)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(66,287)</w:t>
            </w: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Financial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1,019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2,413</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720" w:type="dxa"/>
            <w:vAlign w:val="bottom"/>
          </w:tcPr>
          <w:p>
            <w:pPr>
              <w:ind w:left="80"/>
              <w:spacing w:after="0" w:line="203" w:lineRule="exact"/>
              <w:rPr>
                <w:sz w:val="20"/>
                <w:szCs w:val="20"/>
                <w:color w:val="auto"/>
              </w:rPr>
            </w:pPr>
            <w:r>
              <w:rPr>
                <w:rFonts w:ascii="Arial" w:cs="Arial" w:eastAsia="Arial" w:hAnsi="Arial"/>
                <w:sz w:val="18"/>
                <w:szCs w:val="18"/>
                <w:color w:val="auto"/>
              </w:rPr>
              <w:t>(Loss)/gain on derivatives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5"/>
          </w:tcPr>
          <w:p>
            <w:pPr>
              <w:jc w:val="right"/>
              <w:spacing w:after="0" w:line="203" w:lineRule="exact"/>
              <w:rPr>
                <w:sz w:val="20"/>
                <w:szCs w:val="20"/>
                <w:color w:val="auto"/>
              </w:rPr>
            </w:pPr>
            <w:r>
              <w:rPr>
                <w:rFonts w:ascii="Arial" w:cs="Arial" w:eastAsia="Arial" w:hAnsi="Arial"/>
                <w:sz w:val="18"/>
                <w:szCs w:val="18"/>
                <w:color w:val="auto"/>
              </w:rPr>
              <w:t>(6,837)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121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(48)</w:t>
            </w: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340" w:type="dxa"/>
            <w:vAlign w:val="bottom"/>
            <w:tcBorders>
              <w:left w:val="single" w:sz="8" w:color="auto"/>
            </w:tcBorders>
          </w:tcPr>
          <w:p>
            <w:pPr>
              <w:spacing w:after="0"/>
              <w:rPr>
                <w:sz w:val="3"/>
                <w:szCs w:val="3"/>
                <w:color w:val="auto"/>
              </w:rPr>
            </w:pPr>
          </w:p>
        </w:tc>
        <w:tc>
          <w:tcPr>
            <w:tcW w:w="120" w:type="dxa"/>
            <w:vAlign w:val="bottom"/>
          </w:tcPr>
          <w:p>
            <w:pPr>
              <w:ind w:left="20"/>
              <w:spacing w:after="0"/>
              <w:rPr>
                <w:sz w:val="20"/>
                <w:szCs w:val="20"/>
                <w:color w:val="auto"/>
              </w:rPr>
            </w:pPr>
            <w:r>
              <w:rPr>
                <w:rFonts w:ascii="Arial" w:cs="Arial" w:eastAsia="Arial" w:hAnsi="Arial"/>
                <w:sz w:val="3"/>
                <w:szCs w:val="3"/>
                <w:color w:val="auto"/>
              </w:rPr>
              <w:t>â€‹</w:t>
            </w:r>
          </w:p>
        </w:tc>
        <w:tc>
          <w:tcPr>
            <w:tcW w:w="57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Total other expenses, net</w:t>
            </w:r>
          </w:p>
        </w:tc>
        <w:tc>
          <w:tcPr>
            <w:tcW w:w="100" w:type="dxa"/>
            <w:vAlign w:val="bottom"/>
          </w:tcPr>
          <w:p>
            <w:pPr>
              <w:jc w:val="right"/>
              <w:spacing w:after="0"/>
              <w:rPr>
                <w:sz w:val="20"/>
                <w:szCs w:val="20"/>
                <w:color w:val="auto"/>
              </w:rPr>
            </w:pPr>
            <w:r>
              <w:rPr>
                <w:rFonts w:ascii="Arial" w:cs="Arial" w:eastAsia="Arial" w:hAnsi="Arial"/>
                <w:sz w:val="3"/>
                <w:szCs w:val="3"/>
                <w:color w:val="auto"/>
              </w:rPr>
              <w:t>â€‹</w:t>
            </w:r>
          </w:p>
        </w:tc>
        <w:tc>
          <w:tcPr>
            <w:tcW w:w="100" w:type="dxa"/>
            <w:vAlign w:val="bottom"/>
          </w:tcPr>
          <w:p>
            <w:pPr>
              <w:spacing w:after="0"/>
              <w:rPr>
                <w:sz w:val="3"/>
                <w:szCs w:val="3"/>
                <w:color w:val="auto"/>
              </w:rPr>
            </w:pPr>
          </w:p>
        </w:tc>
        <w:tc>
          <w:tcPr>
            <w:tcW w:w="100" w:type="dxa"/>
            <w:vAlign w:val="bottom"/>
          </w:tcPr>
          <w:p>
            <w:pPr>
              <w:spacing w:after="0"/>
              <w:rPr>
                <w:sz w:val="20"/>
                <w:szCs w:val="20"/>
                <w:color w:val="auto"/>
              </w:rPr>
            </w:pPr>
            <w:r>
              <w:rPr>
                <w:rFonts w:ascii="Arial" w:cs="Arial" w:eastAsia="Arial" w:hAnsi="Arial"/>
                <w:sz w:val="3"/>
                <w:szCs w:val="3"/>
                <w:color w:val="auto"/>
              </w:rPr>
              <w:t>â€‹</w:t>
            </w: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gridSpan w:val="3"/>
          </w:tcPr>
          <w:p>
            <w:pPr>
              <w:jc w:val="right"/>
              <w:spacing w:after="0" w:line="40"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80" w:type="dxa"/>
            <w:vAlign w:val="bottom"/>
          </w:tcPr>
          <w:p>
            <w:pPr>
              <w:spacing w:after="0"/>
              <w:rPr>
                <w:sz w:val="3"/>
                <w:szCs w:val="3"/>
                <w:color w:val="auto"/>
              </w:rPr>
            </w:pPr>
          </w:p>
        </w:tc>
        <w:tc>
          <w:tcPr>
            <w:tcW w:w="100" w:type="dxa"/>
            <w:vAlign w:val="bottom"/>
          </w:tcPr>
          <w:p>
            <w:pPr>
              <w:ind w:left="20"/>
              <w:spacing w:after="0"/>
              <w:rPr>
                <w:sz w:val="20"/>
                <w:szCs w:val="20"/>
                <w:color w:val="auto"/>
              </w:rPr>
            </w:pPr>
            <w:r>
              <w:rPr>
                <w:rFonts w:ascii="Arial" w:cs="Arial" w:eastAsia="Arial" w:hAnsi="Arial"/>
                <w:sz w:val="3"/>
                <w:szCs w:val="3"/>
                <w:color w:val="auto"/>
              </w:rPr>
              <w:t>â€‹</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gridSpan w:val="4"/>
          </w:tcPr>
          <w:p>
            <w:pPr>
              <w:jc w:val="right"/>
              <w:ind w:right="120"/>
              <w:spacing w:after="0" w:line="40"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140" w:type="dxa"/>
            <w:vAlign w:val="bottom"/>
          </w:tcPr>
          <w:p>
            <w:pPr>
              <w:ind w:left="20"/>
              <w:spacing w:after="0"/>
              <w:rPr>
                <w:sz w:val="20"/>
                <w:szCs w:val="20"/>
                <w:color w:val="auto"/>
              </w:rPr>
            </w:pPr>
            <w:r>
              <w:rPr>
                <w:rFonts w:ascii="Arial" w:cs="Arial" w:eastAsia="Arial" w:hAnsi="Arial"/>
                <w:sz w:val="3"/>
                <w:szCs w:val="3"/>
                <w:color w:val="auto"/>
              </w:rPr>
              <w:t>â€‹</w:t>
            </w:r>
          </w:p>
        </w:tc>
        <w:tc>
          <w:tcPr>
            <w:tcW w:w="820" w:type="dxa"/>
            <w:vAlign w:val="bottom"/>
            <w:gridSpan w:val="2"/>
          </w:tcPr>
          <w:p>
            <w:pPr>
              <w:jc w:val="right"/>
              <w:ind w:right="120"/>
              <w:spacing w:after="0" w:line="40"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1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34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5"/>
          </w:tcPr>
          <w:p>
            <w:pPr>
              <w:jc w:val="right"/>
              <w:spacing w:after="0" w:line="190" w:lineRule="exact"/>
              <w:rPr>
                <w:sz w:val="20"/>
                <w:szCs w:val="20"/>
                <w:color w:val="auto"/>
              </w:rPr>
            </w:pPr>
            <w:r>
              <w:rPr>
                <w:rFonts w:ascii="Arial" w:cs="Arial" w:eastAsia="Arial" w:hAnsi="Arial"/>
                <w:sz w:val="18"/>
                <w:szCs w:val="18"/>
                <w:b w:val="1"/>
                <w:bCs w:val="1"/>
                <w:color w:val="auto"/>
              </w:rPr>
              <w:t>(66,875)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5"/>
          </w:tcPr>
          <w:p>
            <w:pPr>
              <w:jc w:val="right"/>
              <w:spacing w:after="0" w:line="190" w:lineRule="exact"/>
              <w:rPr>
                <w:sz w:val="20"/>
                <w:szCs w:val="20"/>
                <w:color w:val="auto"/>
              </w:rPr>
            </w:pPr>
            <w:r>
              <w:rPr>
                <w:rFonts w:ascii="Arial" w:cs="Arial" w:eastAsia="Arial" w:hAnsi="Arial"/>
                <w:sz w:val="18"/>
                <w:szCs w:val="18"/>
                <w:b w:val="1"/>
                <w:bCs w:val="1"/>
                <w:color w:val="auto"/>
              </w:rPr>
              <w:t>(63,982)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0" w:lineRule="exact"/>
              <w:rPr>
                <w:sz w:val="20"/>
                <w:szCs w:val="20"/>
                <w:color w:val="auto"/>
              </w:rPr>
            </w:pPr>
            <w:r>
              <w:rPr>
                <w:rFonts w:ascii="Arial" w:cs="Arial" w:eastAsia="Arial" w:hAnsi="Arial"/>
                <w:sz w:val="18"/>
                <w:szCs w:val="18"/>
                <w:b w:val="1"/>
                <w:bCs w:val="1"/>
                <w:color w:val="auto"/>
              </w:rPr>
              <w:t>(63,922)</w:t>
            </w: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340" w:type="dxa"/>
            <w:vAlign w:val="bottom"/>
            <w:tcBorders>
              <w:left w:val="single" w:sz="8" w:color="auto"/>
            </w:tcBorders>
          </w:tcPr>
          <w:p>
            <w:pPr>
              <w:spacing w:after="0"/>
              <w:rPr>
                <w:sz w:val="2"/>
                <w:szCs w:val="2"/>
                <w:color w:val="auto"/>
              </w:rPr>
            </w:pPr>
          </w:p>
        </w:tc>
        <w:tc>
          <w:tcPr>
            <w:tcW w:w="120" w:type="dxa"/>
            <w:vAlign w:val="bottom"/>
          </w:tcPr>
          <w:p>
            <w:pPr>
              <w:ind w:left="20"/>
              <w:spacing w:after="0" w:line="33" w:lineRule="exact"/>
              <w:rPr>
                <w:sz w:val="20"/>
                <w:szCs w:val="20"/>
                <w:color w:val="auto"/>
              </w:rPr>
            </w:pPr>
            <w:r>
              <w:rPr>
                <w:rFonts w:ascii="Arial" w:cs="Arial" w:eastAsia="Arial" w:hAnsi="Arial"/>
                <w:sz w:val="3"/>
                <w:szCs w:val="3"/>
                <w:color w:val="auto"/>
              </w:rPr>
              <w:t>â€‹</w:t>
            </w:r>
          </w:p>
        </w:tc>
        <w:tc>
          <w:tcPr>
            <w:tcW w:w="5720" w:type="dxa"/>
            <w:vAlign w:val="bottom"/>
          </w:tcPr>
          <w:p>
            <w:pPr>
              <w:spacing w:after="0"/>
              <w:rPr>
                <w:sz w:val="2"/>
                <w:szCs w:val="2"/>
                <w:color w:val="auto"/>
              </w:rPr>
            </w:pPr>
          </w:p>
        </w:tc>
        <w:tc>
          <w:tcPr>
            <w:tcW w:w="100" w:type="dxa"/>
            <w:vAlign w:val="bottom"/>
          </w:tcPr>
          <w:p>
            <w:pPr>
              <w:jc w:val="right"/>
              <w:spacing w:after="0" w:line="33" w:lineRule="exact"/>
              <w:rPr>
                <w:sz w:val="20"/>
                <w:szCs w:val="20"/>
                <w:color w:val="auto"/>
              </w:rPr>
            </w:pPr>
            <w:r>
              <w:rPr>
                <w:rFonts w:ascii="Arial" w:cs="Arial" w:eastAsia="Arial" w:hAnsi="Arial"/>
                <w:sz w:val="3"/>
                <w:szCs w:val="3"/>
                <w:color w:val="auto"/>
              </w:rPr>
              <w:t>â€‹</w:t>
            </w:r>
          </w:p>
        </w:tc>
        <w:tc>
          <w:tcPr>
            <w:tcW w:w="100" w:type="dxa"/>
            <w:vAlign w:val="bottom"/>
          </w:tcPr>
          <w:p>
            <w:pPr>
              <w:spacing w:after="0"/>
              <w:rPr>
                <w:sz w:val="2"/>
                <w:szCs w:val="2"/>
                <w:color w:val="auto"/>
              </w:rPr>
            </w:pPr>
          </w:p>
        </w:tc>
        <w:tc>
          <w:tcPr>
            <w:tcW w:w="10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80" w:type="dxa"/>
            <w:vAlign w:val="bottom"/>
            <w:gridSpan w:val="2"/>
          </w:tcPr>
          <w:p>
            <w:pPr>
              <w:jc w:val="right"/>
              <w:spacing w:after="0"/>
              <w:rPr>
                <w:sz w:val="20"/>
                <w:szCs w:val="20"/>
                <w:color w:val="auto"/>
              </w:rPr>
            </w:pPr>
            <w:r>
              <w:rPr>
                <w:rFonts w:ascii="Arial" w:cs="Arial" w:eastAsia="Arial" w:hAnsi="Arial"/>
                <w:sz w:val="2"/>
                <w:szCs w:val="2"/>
                <w:color w:val="auto"/>
                <w:vertAlign w:val="superscript"/>
              </w:rPr>
              <w:t>‹</w:t>
            </w:r>
            <w:r>
              <w:rPr>
                <w:rFonts w:ascii="Arial" w:cs="Arial" w:eastAsia="Arial" w:hAnsi="Arial"/>
                <w:sz w:val="1"/>
                <w:szCs w:val="1"/>
                <w:color w:val="auto"/>
              </w:rPr>
              <w:t>â€‹</w:t>
            </w:r>
          </w:p>
        </w:tc>
        <w:tc>
          <w:tcPr>
            <w:tcW w:w="80" w:type="dxa"/>
            <w:vAlign w:val="bottom"/>
          </w:tcPr>
          <w:p>
            <w:pPr>
              <w:spacing w:after="0"/>
              <w:rPr>
                <w:sz w:val="2"/>
                <w:szCs w:val="2"/>
                <w:color w:val="auto"/>
              </w:rPr>
            </w:pPr>
          </w:p>
        </w:tc>
        <w:tc>
          <w:tcPr>
            <w:tcW w:w="100" w:type="dxa"/>
            <w:vAlign w:val="bottom"/>
          </w:tcPr>
          <w:p>
            <w:pPr>
              <w:ind w:left="20"/>
              <w:spacing w:after="0" w:line="27" w:lineRule="exact"/>
              <w:rPr>
                <w:sz w:val="20"/>
                <w:szCs w:val="20"/>
                <w:color w:val="auto"/>
              </w:rPr>
            </w:pPr>
            <w:r>
              <w:rPr>
                <w:rFonts w:ascii="Arial" w:cs="Arial" w:eastAsia="Arial" w:hAnsi="Arial"/>
                <w:sz w:val="3"/>
                <w:szCs w:val="3"/>
                <w:color w:val="auto"/>
              </w:rPr>
              <w:t>â€‹</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4"/>
          </w:tcPr>
          <w:p>
            <w:pPr>
              <w:jc w:val="right"/>
              <w:ind w:right="120"/>
              <w:spacing w:after="0" w:line="33"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tcPr>
          <w:p>
            <w:pPr>
              <w:ind w:left="20"/>
              <w:spacing w:after="0" w:line="27" w:lineRule="exact"/>
              <w:rPr>
                <w:sz w:val="20"/>
                <w:szCs w:val="20"/>
                <w:color w:val="auto"/>
              </w:rPr>
            </w:pPr>
            <w:r>
              <w:rPr>
                <w:rFonts w:ascii="Arial" w:cs="Arial" w:eastAsia="Arial" w:hAnsi="Arial"/>
                <w:sz w:val="3"/>
                <w:szCs w:val="3"/>
                <w:color w:val="auto"/>
              </w:rPr>
              <w:t>â€‹</w:t>
            </w:r>
          </w:p>
        </w:tc>
        <w:tc>
          <w:tcPr>
            <w:tcW w:w="820" w:type="dxa"/>
            <w:vAlign w:val="bottom"/>
            <w:gridSpan w:val="2"/>
          </w:tcPr>
          <w:p>
            <w:pPr>
              <w:jc w:val="right"/>
              <w:ind w:right="120"/>
              <w:spacing w:after="0" w:line="33"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3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720" w:type="dxa"/>
            <w:vAlign w:val="bottom"/>
          </w:tcPr>
          <w:p>
            <w:pPr>
              <w:ind w:left="80"/>
              <w:spacing w:after="0" w:line="197" w:lineRule="exact"/>
              <w:rPr>
                <w:sz w:val="20"/>
                <w:szCs w:val="20"/>
                <w:color w:val="auto"/>
              </w:rPr>
            </w:pPr>
            <w:r>
              <w:rPr>
                <w:rFonts w:ascii="Arial" w:cs="Arial" w:eastAsia="Arial" w:hAnsi="Arial"/>
                <w:sz w:val="18"/>
                <w:szCs w:val="18"/>
                <w:b w:val="1"/>
                <w:bCs w:val="1"/>
                <w:color w:val="auto"/>
              </w:rPr>
              <w:t>Profit for the year</w:t>
            </w:r>
          </w:p>
        </w:tc>
        <w:tc>
          <w:tcPr>
            <w:tcW w:w="100" w:type="dxa"/>
            <w:vAlign w:val="bottom"/>
          </w:tcPr>
          <w:p>
            <w:pPr>
              <w:spacing w:after="0"/>
              <w:rPr>
                <w:sz w:val="17"/>
                <w:szCs w:val="17"/>
                <w:color w:val="auto"/>
              </w:rPr>
            </w:pPr>
          </w:p>
        </w:tc>
        <w:tc>
          <w:tcPr>
            <w:tcW w:w="200" w:type="dxa"/>
            <w:vAlign w:val="bottom"/>
            <w:gridSpan w:val="2"/>
          </w:tcPr>
          <w:p>
            <w:pPr>
              <w:ind w:left="100"/>
              <w:spacing w:after="0" w:line="197" w:lineRule="exact"/>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gridSpan w:val="4"/>
          </w:tcPr>
          <w:p>
            <w:pPr>
              <w:jc w:val="right"/>
              <w:spacing w:after="0" w:line="197" w:lineRule="exact"/>
              <w:rPr>
                <w:sz w:val="20"/>
                <w:szCs w:val="20"/>
                <w:color w:val="auto"/>
              </w:rPr>
            </w:pPr>
            <w:r>
              <w:rPr>
                <w:rFonts w:ascii="Arial" w:cs="Arial" w:eastAsia="Arial" w:hAnsi="Arial"/>
                <w:sz w:val="18"/>
                <w:szCs w:val="18"/>
                <w:b w:val="1"/>
                <w:bCs w:val="1"/>
                <w:u w:val="single" w:color="auto"/>
                <w:color w:val="auto"/>
              </w:rPr>
              <w:t>99,709</w:t>
            </w:r>
          </w:p>
        </w:tc>
        <w:tc>
          <w:tcPr>
            <w:tcW w:w="60" w:type="dxa"/>
            <w:vAlign w:val="bottom"/>
          </w:tcPr>
          <w:p>
            <w:pPr>
              <w:spacing w:after="0"/>
              <w:rPr>
                <w:sz w:val="17"/>
                <w:szCs w:val="17"/>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gridSpan w:val="4"/>
          </w:tcPr>
          <w:p>
            <w:pPr>
              <w:jc w:val="right"/>
              <w:ind w:right="20"/>
              <w:spacing w:after="0" w:line="197" w:lineRule="exact"/>
              <w:rPr>
                <w:sz w:val="20"/>
                <w:szCs w:val="20"/>
                <w:color w:val="auto"/>
              </w:rPr>
            </w:pPr>
            <w:r>
              <w:rPr>
                <w:rFonts w:ascii="Arial" w:cs="Arial" w:eastAsia="Arial" w:hAnsi="Arial"/>
                <w:sz w:val="18"/>
                <w:szCs w:val="18"/>
                <w:b w:val="1"/>
                <w:bCs w:val="1"/>
                <w:u w:val="single" w:color="auto"/>
                <w:color w:val="auto"/>
              </w:rPr>
              <w:t>134,745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ind w:left="20"/>
              <w:spacing w:after="0" w:line="197" w:lineRule="exact"/>
              <w:rPr>
                <w:sz w:val="20"/>
                <w:szCs w:val="20"/>
                <w:color w:val="auto"/>
              </w:rPr>
            </w:pPr>
            <w:r>
              <w:rPr>
                <w:rFonts w:ascii="Arial" w:cs="Arial" w:eastAsia="Arial" w:hAnsi="Arial"/>
                <w:sz w:val="18"/>
                <w:szCs w:val="18"/>
                <w:b w:val="1"/>
                <w:bCs w:val="1"/>
                <w:u w:val="single" w:color="auto"/>
                <w:color w:val="auto"/>
                <w:w w:val="99"/>
              </w:rPr>
              <w:t>$</w:t>
            </w:r>
          </w:p>
        </w:tc>
        <w:tc>
          <w:tcPr>
            <w:tcW w:w="820" w:type="dxa"/>
            <w:vAlign w:val="bottom"/>
            <w:gridSpan w:val="2"/>
          </w:tcPr>
          <w:p>
            <w:pPr>
              <w:jc w:val="right"/>
              <w:ind w:right="160"/>
              <w:spacing w:after="0" w:line="197" w:lineRule="exact"/>
              <w:rPr>
                <w:sz w:val="20"/>
                <w:szCs w:val="20"/>
                <w:color w:val="auto"/>
              </w:rPr>
            </w:pPr>
            <w:r>
              <w:rPr>
                <w:rFonts w:ascii="Arial" w:cs="Arial" w:eastAsia="Arial" w:hAnsi="Arial"/>
                <w:sz w:val="18"/>
                <w:szCs w:val="18"/>
                <w:b w:val="1"/>
                <w:bCs w:val="1"/>
                <w:u w:val="single" w:color="auto"/>
                <w:color w:val="auto"/>
                <w:w w:val="98"/>
              </w:rPr>
              <w:t>115,513</w:t>
            </w: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340" w:type="dxa"/>
            <w:vAlign w:val="bottom"/>
            <w:tcBorders>
              <w:left w:val="single" w:sz="8" w:color="auto"/>
            </w:tcBorders>
          </w:tcPr>
          <w:p>
            <w:pPr>
              <w:spacing w:after="0"/>
              <w:rPr>
                <w:sz w:val="2"/>
                <w:szCs w:val="2"/>
                <w:color w:val="auto"/>
              </w:rPr>
            </w:pPr>
          </w:p>
        </w:tc>
        <w:tc>
          <w:tcPr>
            <w:tcW w:w="120" w:type="dxa"/>
            <w:vAlign w:val="bottom"/>
          </w:tcPr>
          <w:p>
            <w:pPr>
              <w:ind w:left="20"/>
              <w:spacing w:after="0" w:line="34" w:lineRule="exact"/>
              <w:rPr>
                <w:sz w:val="20"/>
                <w:szCs w:val="20"/>
                <w:color w:val="auto"/>
              </w:rPr>
            </w:pPr>
            <w:r>
              <w:rPr>
                <w:rFonts w:ascii="Arial" w:cs="Arial" w:eastAsia="Arial" w:hAnsi="Arial"/>
                <w:sz w:val="3"/>
                <w:szCs w:val="3"/>
                <w:color w:val="auto"/>
              </w:rPr>
              <w:t>â€‹</w:t>
            </w:r>
          </w:p>
        </w:tc>
        <w:tc>
          <w:tcPr>
            <w:tcW w:w="5720" w:type="dxa"/>
            <w:vAlign w:val="bottom"/>
          </w:tcPr>
          <w:p>
            <w:pPr>
              <w:spacing w:after="0"/>
              <w:rPr>
                <w:sz w:val="2"/>
                <w:szCs w:val="2"/>
                <w:color w:val="auto"/>
              </w:rPr>
            </w:pPr>
          </w:p>
        </w:tc>
        <w:tc>
          <w:tcPr>
            <w:tcW w:w="100" w:type="dxa"/>
            <w:vAlign w:val="bottom"/>
          </w:tcPr>
          <w:p>
            <w:pPr>
              <w:jc w:val="right"/>
              <w:spacing w:after="0" w:line="34" w:lineRule="exact"/>
              <w:rPr>
                <w:sz w:val="20"/>
                <w:szCs w:val="20"/>
                <w:color w:val="auto"/>
              </w:rPr>
            </w:pPr>
            <w:r>
              <w:rPr>
                <w:rFonts w:ascii="Arial" w:cs="Arial" w:eastAsia="Arial" w:hAnsi="Arial"/>
                <w:sz w:val="3"/>
                <w:szCs w:val="3"/>
                <w:color w:val="auto"/>
              </w:rPr>
              <w:t>â€‹</w:t>
            </w:r>
          </w:p>
        </w:tc>
        <w:tc>
          <w:tcPr>
            <w:tcW w:w="100" w:type="dxa"/>
            <w:vAlign w:val="bottom"/>
          </w:tcPr>
          <w:p>
            <w:pPr>
              <w:spacing w:after="0"/>
              <w:rPr>
                <w:sz w:val="2"/>
                <w:szCs w:val="2"/>
                <w:color w:val="auto"/>
              </w:rPr>
            </w:pPr>
          </w:p>
        </w:tc>
        <w:tc>
          <w:tcPr>
            <w:tcW w:w="10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3"/>
          </w:tcPr>
          <w:p>
            <w:pPr>
              <w:jc w:val="right"/>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80" w:type="dxa"/>
            <w:vAlign w:val="bottom"/>
          </w:tcPr>
          <w:p>
            <w:pPr>
              <w:spacing w:after="0"/>
              <w:rPr>
                <w:sz w:val="2"/>
                <w:szCs w:val="2"/>
                <w:color w:val="auto"/>
              </w:rPr>
            </w:pPr>
          </w:p>
        </w:tc>
        <w:tc>
          <w:tcPr>
            <w:tcW w:w="100" w:type="dxa"/>
            <w:vAlign w:val="bottom"/>
          </w:tcPr>
          <w:p>
            <w:pPr>
              <w:ind w:left="20"/>
              <w:spacing w:after="0" w:line="27" w:lineRule="exact"/>
              <w:rPr>
                <w:sz w:val="20"/>
                <w:szCs w:val="20"/>
                <w:color w:val="auto"/>
              </w:rPr>
            </w:pPr>
            <w:r>
              <w:rPr>
                <w:rFonts w:ascii="Arial" w:cs="Arial" w:eastAsia="Arial" w:hAnsi="Arial"/>
                <w:sz w:val="3"/>
                <w:szCs w:val="3"/>
                <w:color w:val="auto"/>
              </w:rPr>
              <w:t>â€‹</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4"/>
          </w:tcPr>
          <w:p>
            <w:pPr>
              <w:jc w:val="right"/>
              <w:ind w:right="12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40" w:type="dxa"/>
            <w:vAlign w:val="bottom"/>
          </w:tcPr>
          <w:p>
            <w:pPr>
              <w:ind w:left="20"/>
              <w:spacing w:after="0" w:line="27" w:lineRule="exact"/>
              <w:rPr>
                <w:sz w:val="20"/>
                <w:szCs w:val="20"/>
                <w:color w:val="auto"/>
              </w:rPr>
            </w:pPr>
            <w:r>
              <w:rPr>
                <w:rFonts w:ascii="Arial" w:cs="Arial" w:eastAsia="Arial" w:hAnsi="Arial"/>
                <w:sz w:val="3"/>
                <w:szCs w:val="3"/>
                <w:color w:val="auto"/>
              </w:rPr>
              <w:t>â€‹</w:t>
            </w:r>
          </w:p>
        </w:tc>
        <w:tc>
          <w:tcPr>
            <w:tcW w:w="820" w:type="dxa"/>
            <w:vAlign w:val="bottom"/>
            <w:gridSpan w:val="2"/>
          </w:tcPr>
          <w:p>
            <w:pPr>
              <w:jc w:val="right"/>
              <w:ind w:right="12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1340" w:type="dxa"/>
            <w:vAlign w:val="bottom"/>
            <w:tcBorders>
              <w:left w:val="single" w:sz="8" w:color="auto"/>
            </w:tcBorders>
          </w:tcPr>
          <w:p>
            <w:pPr>
              <w:spacing w:after="0"/>
              <w:rPr>
                <w:sz w:val="2"/>
                <w:szCs w:val="2"/>
                <w:color w:val="auto"/>
              </w:rPr>
            </w:pPr>
          </w:p>
        </w:tc>
        <w:tc>
          <w:tcPr>
            <w:tcW w:w="120" w:type="dxa"/>
            <w:vAlign w:val="bottom"/>
          </w:tcPr>
          <w:p>
            <w:pPr>
              <w:ind w:left="20"/>
              <w:spacing w:after="0" w:line="27" w:lineRule="exact"/>
              <w:rPr>
                <w:sz w:val="20"/>
                <w:szCs w:val="20"/>
                <w:color w:val="auto"/>
              </w:rPr>
            </w:pPr>
            <w:r>
              <w:rPr>
                <w:rFonts w:ascii="Arial" w:cs="Arial" w:eastAsia="Arial" w:hAnsi="Arial"/>
                <w:sz w:val="3"/>
                <w:szCs w:val="3"/>
                <w:color w:val="auto"/>
              </w:rPr>
              <w:t>â€‹</w:t>
            </w:r>
          </w:p>
        </w:tc>
        <w:tc>
          <w:tcPr>
            <w:tcW w:w="5720" w:type="dxa"/>
            <w:vAlign w:val="bottom"/>
          </w:tcPr>
          <w:p>
            <w:pPr>
              <w:spacing w:after="0"/>
              <w:rPr>
                <w:sz w:val="2"/>
                <w:szCs w:val="2"/>
                <w:color w:val="auto"/>
              </w:rPr>
            </w:pPr>
          </w:p>
        </w:tc>
        <w:tc>
          <w:tcPr>
            <w:tcW w:w="10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00" w:type="dxa"/>
            <w:vAlign w:val="bottom"/>
          </w:tcPr>
          <w:p>
            <w:pPr>
              <w:spacing w:after="0"/>
              <w:rPr>
                <w:sz w:val="2"/>
                <w:szCs w:val="2"/>
                <w:color w:val="auto"/>
              </w:rPr>
            </w:pPr>
          </w:p>
        </w:tc>
        <w:tc>
          <w:tcPr>
            <w:tcW w:w="10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3"/>
          </w:tcPr>
          <w:p>
            <w:pPr>
              <w:jc w:val="right"/>
              <w:spacing w:after="0" w:line="27"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80" w:type="dxa"/>
            <w:vAlign w:val="bottom"/>
          </w:tcPr>
          <w:p>
            <w:pPr>
              <w:spacing w:after="0"/>
              <w:rPr>
                <w:sz w:val="2"/>
                <w:szCs w:val="2"/>
                <w:color w:val="auto"/>
              </w:rPr>
            </w:pPr>
          </w:p>
        </w:tc>
        <w:tc>
          <w:tcPr>
            <w:tcW w:w="100" w:type="dxa"/>
            <w:vAlign w:val="bottom"/>
          </w:tcPr>
          <w:p>
            <w:pPr>
              <w:ind w:left="20"/>
              <w:spacing w:after="0" w:line="27" w:lineRule="exact"/>
              <w:rPr>
                <w:sz w:val="20"/>
                <w:szCs w:val="20"/>
                <w:color w:val="auto"/>
              </w:rPr>
            </w:pPr>
            <w:r>
              <w:rPr>
                <w:rFonts w:ascii="Arial" w:cs="Arial" w:eastAsia="Arial" w:hAnsi="Arial"/>
                <w:sz w:val="3"/>
                <w:szCs w:val="3"/>
                <w:color w:val="auto"/>
              </w:rPr>
              <w:t>â€‹</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4"/>
          </w:tcPr>
          <w:p>
            <w:pPr>
              <w:jc w:val="right"/>
              <w:ind w:right="120"/>
              <w:spacing w:after="0" w:line="27"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tcPr>
          <w:p>
            <w:pPr>
              <w:ind w:left="20"/>
              <w:spacing w:after="0" w:line="27" w:lineRule="exact"/>
              <w:rPr>
                <w:sz w:val="20"/>
                <w:szCs w:val="20"/>
                <w:color w:val="auto"/>
              </w:rPr>
            </w:pPr>
            <w:r>
              <w:rPr>
                <w:rFonts w:ascii="Arial" w:cs="Arial" w:eastAsia="Arial" w:hAnsi="Arial"/>
                <w:sz w:val="3"/>
                <w:szCs w:val="3"/>
                <w:color w:val="auto"/>
              </w:rPr>
              <w:t>â€‹</w:t>
            </w:r>
          </w:p>
        </w:tc>
        <w:tc>
          <w:tcPr>
            <w:tcW w:w="2160" w:type="dxa"/>
            <w:vAlign w:val="bottom"/>
            <w:tcBorders>
              <w:right w:val="single" w:sz="8" w:color="auto"/>
            </w:tcBorders>
            <w:gridSpan w:val="3"/>
          </w:tcPr>
          <w:p>
            <w:pPr>
              <w:jc w:val="right"/>
              <w:ind w:right="1460"/>
              <w:spacing w:after="0" w:line="27"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0" w:type="dxa"/>
            <w:vAlign w:val="bottom"/>
          </w:tcPr>
          <w:p>
            <w:pPr>
              <w:spacing w:after="0" w:line="20" w:lineRule="exact"/>
              <w:rPr>
                <w:sz w:val="1"/>
                <w:szCs w:val="1"/>
                <w:color w:val="auto"/>
              </w:rPr>
            </w:pPr>
          </w:p>
        </w:tc>
      </w:tr>
      <w:tr>
        <w:trPr>
          <w:trHeight w:val="209"/>
        </w:trPr>
        <w:tc>
          <w:tcPr>
            <w:tcW w:w="1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b w:val="1"/>
                <w:bCs w:val="1"/>
                <w:color w:val="auto"/>
              </w:rPr>
              <w:t>Profit attributable to GasLog's operations</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b w:val="1"/>
                <w:bCs w:val="1"/>
                <w:color w:val="auto"/>
                <w:highlight w:val="white"/>
                <w:w w:val="79"/>
              </w:rPr>
              <w:t>$</w:t>
            </w:r>
          </w:p>
        </w:tc>
        <w:tc>
          <w:tcPr>
            <w:tcW w:w="700" w:type="dxa"/>
            <w:vAlign w:val="bottom"/>
            <w:gridSpan w:val="4"/>
          </w:tcPr>
          <w:p>
            <w:pPr>
              <w:jc w:val="right"/>
              <w:spacing w:after="0"/>
              <w:rPr>
                <w:sz w:val="20"/>
                <w:szCs w:val="20"/>
                <w:color w:val="auto"/>
              </w:rPr>
            </w:pPr>
            <w:r>
              <w:rPr>
                <w:rFonts w:ascii="Arial" w:cs="Arial" w:eastAsia="Arial" w:hAnsi="Arial"/>
                <w:sz w:val="18"/>
                <w:szCs w:val="18"/>
                <w:b w:val="1"/>
                <w:bCs w:val="1"/>
                <w:color w:val="auto"/>
              </w:rPr>
              <w:t>22,439</w:t>
            </w:r>
          </w:p>
        </w:tc>
        <w:tc>
          <w:tcPr>
            <w:tcW w:w="6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40,628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12,916</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Partnership's profit</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77,270</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94,117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102,597</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40" w:type="dxa"/>
            <w:vAlign w:val="bottom"/>
            <w:tcBorders>
              <w:left w:val="single" w:sz="8" w:color="auto"/>
            </w:tcBorders>
          </w:tcPr>
          <w:p>
            <w:pPr>
              <w:spacing w:after="0"/>
              <w:rPr>
                <w:sz w:val="24"/>
                <w:szCs w:val="24"/>
                <w:color w:val="auto"/>
              </w:rPr>
            </w:pPr>
          </w:p>
        </w:tc>
        <w:tc>
          <w:tcPr>
            <w:tcW w:w="584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PER UNIT ATTRIBUTABLE TO THE PARTNERSHIP:</w:t>
            </w:r>
            <w:r>
              <w:rPr>
                <w:rFonts w:ascii="Arial" w:cs="Arial" w:eastAsia="Arial" w:hAnsi="Arial"/>
                <w:sz w:val="29"/>
                <w:szCs w:val="29"/>
                <w:b w:val="1"/>
                <w:bCs w:val="1"/>
                <w:color w:val="auto"/>
                <w:vertAlign w:val="superscript"/>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 units (basic)</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Common units (diluted)</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40" w:type="dxa"/>
            <w:vAlign w:val="bottom"/>
            <w:tcBorders>
              <w:left w:val="single" w:sz="8" w:color="auto"/>
            </w:tcBorders>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720" w:type="dxa"/>
            <w:vAlign w:val="bottom"/>
            <w:shd w:val="clear" w:color="auto" w:fill="CCEEFF"/>
          </w:tcPr>
          <w:p>
            <w:pPr>
              <w:ind w:left="80"/>
              <w:spacing w:after="0" w:line="256" w:lineRule="exact"/>
              <w:rPr>
                <w:sz w:val="20"/>
                <w:szCs w:val="20"/>
                <w:color w:val="auto"/>
              </w:rPr>
            </w:pPr>
            <w:r>
              <w:rPr>
                <w:rFonts w:ascii="Arial" w:cs="Arial" w:eastAsia="Arial" w:hAnsi="Arial"/>
                <w:sz w:val="18"/>
                <w:szCs w:val="18"/>
                <w:color w:val="auto"/>
              </w:rPr>
              <w:t>Subordinated units</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34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General partner units</w:t>
            </w:r>
          </w:p>
        </w:tc>
        <w:tc>
          <w:tcPr>
            <w:tcW w:w="10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9"/>
                <w:szCs w:val="19"/>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134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7"/>
          </w:tcPr>
          <w:p>
            <w:pPr>
              <w:jc w:val="center"/>
              <w:ind w:left="176"/>
              <w:spacing w:after="0"/>
              <w:rPr>
                <w:sz w:val="20"/>
                <w:szCs w:val="20"/>
                <w:color w:val="auto"/>
              </w:rPr>
            </w:pPr>
            <w:r>
              <w:rPr>
                <w:rFonts w:ascii="Arial" w:cs="Arial" w:eastAsia="Arial" w:hAnsi="Arial"/>
                <w:sz w:val="13"/>
                <w:szCs w:val="13"/>
                <w:b w:val="1"/>
                <w:bCs w:val="1"/>
                <w:color w:val="auto"/>
                <w:w w:val="94"/>
              </w:rPr>
              <w:t>Historical</w:t>
            </w: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8"/>
          </w:tcPr>
          <w:p>
            <w:pPr>
              <w:jc w:val="center"/>
              <w:ind w:right="326"/>
              <w:spacing w:after="0" w:line="142" w:lineRule="exact"/>
              <w:rPr>
                <w:sz w:val="20"/>
                <w:szCs w:val="20"/>
                <w:color w:val="auto"/>
              </w:rPr>
            </w:pPr>
            <w:r>
              <w:rPr>
                <w:rFonts w:ascii="Arial" w:cs="Arial" w:eastAsia="Arial" w:hAnsi="Arial"/>
                <w:sz w:val="13"/>
                <w:szCs w:val="13"/>
                <w:b w:val="1"/>
                <w:bCs w:val="1"/>
                <w:color w:val="auto"/>
                <w:w w:val="92"/>
              </w:rPr>
              <w:t>As of December 31,</w:t>
            </w:r>
          </w:p>
        </w:tc>
        <w:tc>
          <w:tcPr>
            <w:tcW w:w="150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ind w:right="236"/>
              <w:spacing w:after="0" w:line="142" w:lineRule="exact"/>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5"/>
          </w:tcPr>
          <w:p>
            <w:pPr>
              <w:jc w:val="right"/>
              <w:ind w:right="56"/>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34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80" w:type="dxa"/>
            <w:vAlign w:val="bottom"/>
            <w:tcBorders>
              <w:right w:val="single" w:sz="8" w:color="auto"/>
            </w:tcBorders>
            <w:gridSpan w:val="13"/>
          </w:tcPr>
          <w:p>
            <w:pPr>
              <w:jc w:val="center"/>
              <w:ind w:right="1660"/>
              <w:spacing w:after="0"/>
              <w:rPr>
                <w:sz w:val="20"/>
                <w:szCs w:val="20"/>
                <w:color w:val="auto"/>
              </w:rPr>
            </w:pPr>
            <w:r>
              <w:rPr>
                <w:rFonts w:ascii="Arial" w:cs="Arial" w:eastAsia="Arial" w:hAnsi="Arial"/>
                <w:sz w:val="13"/>
                <w:szCs w:val="13"/>
                <w:b w:val="1"/>
                <w:bCs w:val="1"/>
                <w:color w:val="auto"/>
                <w:w w:val="93"/>
              </w:rPr>
              <w:t>(in thousands of U.S. dollars)</w:t>
            </w: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FINANCIAL POSITION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149,455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129,125</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â€”</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Vessels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w w:val="84"/>
              </w:rPr>
              <w:t>2,363,668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2,315,823</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4"/>
              </w:rPr>
              <w:t>2,528,263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2,488,638</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Borrowingsâ€”current portion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121,197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429,437</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Borrowingsâ€”non-current portion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4"/>
              </w:rPr>
              <w:t>1,278,931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805,560</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4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w w:val="84"/>
              </w:rPr>
              <w:t>1,065,708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1,179,659</w:t>
            </w: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134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14"/>
          </w:tcPr>
          <w:p>
            <w:pPr>
              <w:jc w:val="center"/>
              <w:ind w:left="277"/>
              <w:spacing w:after="0"/>
              <w:rPr>
                <w:sz w:val="20"/>
                <w:szCs w:val="20"/>
                <w:color w:val="auto"/>
              </w:rPr>
            </w:pPr>
            <w:r>
              <w:rPr>
                <w:rFonts w:ascii="Arial" w:cs="Arial" w:eastAsia="Arial" w:hAnsi="Arial"/>
                <w:sz w:val="13"/>
                <w:szCs w:val="13"/>
                <w:b w:val="1"/>
                <w:bCs w:val="1"/>
                <w:color w:val="auto"/>
                <w:w w:val="92"/>
              </w:rPr>
              <w:t>Year Ended December 31,</w:t>
            </w: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2016</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3"/>
                <w:szCs w:val="13"/>
                <w:b w:val="1"/>
                <w:bCs w:val="1"/>
                <w:color w:val="auto"/>
                <w:w w:val="96"/>
              </w:rPr>
              <w:t>2017</w:t>
            </w: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4"/>
          </w:tcPr>
          <w:p>
            <w:pPr>
              <w:jc w:val="right"/>
              <w:ind w:right="120"/>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jc w:val="center"/>
              <w:ind w:right="40"/>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34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80" w:type="dxa"/>
            <w:vAlign w:val="bottom"/>
            <w:tcBorders>
              <w:right w:val="single" w:sz="8" w:color="auto"/>
            </w:tcBorders>
            <w:gridSpan w:val="17"/>
          </w:tcPr>
          <w:p>
            <w:pPr>
              <w:jc w:val="center"/>
              <w:ind w:right="1800"/>
              <w:spacing w:after="0"/>
              <w:rPr>
                <w:sz w:val="20"/>
                <w:szCs w:val="20"/>
                <w:color w:val="auto"/>
              </w:rPr>
            </w:pPr>
            <w:r>
              <w:rPr>
                <w:rFonts w:ascii="Arial" w:cs="Arial" w:eastAsia="Arial" w:hAnsi="Arial"/>
                <w:sz w:val="13"/>
                <w:szCs w:val="13"/>
                <w:b w:val="1"/>
                <w:bCs w:val="1"/>
                <w:color w:val="auto"/>
                <w:w w:val="93"/>
              </w:rPr>
              <w:t>(in thousands of U.S. dollars)</w:t>
            </w: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5"/>
          </w:tcPr>
          <w:p>
            <w:pPr>
              <w:jc w:val="right"/>
              <w:ind w:right="109"/>
              <w:spacing w:after="0"/>
              <w:rPr>
                <w:sz w:val="20"/>
                <w:szCs w:val="20"/>
                <w:color w:val="auto"/>
              </w:rPr>
            </w:pPr>
            <w:r>
              <w:rPr>
                <w:rFonts w:ascii="Arial" w:cs="Arial" w:eastAsia="Arial" w:hAnsi="Arial"/>
                <w:sz w:val="18"/>
                <w:szCs w:val="18"/>
                <w:color w:val="auto"/>
              </w:rPr>
              <w:t>204,930</w:t>
            </w: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80" w:type="dxa"/>
            <w:vAlign w:val="bottom"/>
            <w:gridSpan w:val="3"/>
          </w:tcPr>
          <w:p>
            <w:pPr>
              <w:jc w:val="right"/>
              <w:ind w:right="50"/>
              <w:spacing w:after="0"/>
              <w:rPr>
                <w:sz w:val="20"/>
                <w:szCs w:val="20"/>
                <w:color w:val="auto"/>
              </w:rPr>
            </w:pPr>
            <w:r>
              <w:rPr>
                <w:rFonts w:ascii="Arial" w:cs="Arial" w:eastAsia="Arial" w:hAnsi="Arial"/>
                <w:sz w:val="18"/>
                <w:szCs w:val="18"/>
                <w:color w:val="auto"/>
                <w:w w:val="92"/>
              </w:rPr>
              <w:t>242,827</w:t>
            </w:r>
          </w:p>
        </w:tc>
        <w:tc>
          <w:tcPr>
            <w:tcW w:w="4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185,107</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in)/provided by investing activities</w:t>
            </w: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9"/>
              <w:spacing w:after="0"/>
              <w:rPr>
                <w:sz w:val="20"/>
                <w:szCs w:val="20"/>
                <w:color w:val="auto"/>
              </w:rPr>
            </w:pPr>
            <w:r>
              <w:rPr>
                <w:rFonts w:ascii="Arial" w:cs="Arial" w:eastAsia="Arial" w:hAnsi="Arial"/>
                <w:sz w:val="18"/>
                <w:szCs w:val="18"/>
                <w:color w:val="auto"/>
              </w:rPr>
              <w:t>(506,428)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3,381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(31,851)</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40" w:type="dxa"/>
            <w:vAlign w:val="bottom"/>
            <w:tcBorders>
              <w:left w:val="single" w:sz="8" w:color="auto"/>
            </w:tcBorders>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Net cash provided by/(used in) financing activities</w:t>
            </w:r>
          </w:p>
        </w:tc>
        <w:tc>
          <w:tcPr>
            <w:tcW w:w="100" w:type="dxa"/>
            <w:vAlign w:val="bottom"/>
          </w:tcPr>
          <w:p>
            <w:pPr>
              <w:spacing w:after="0"/>
              <w:rPr>
                <w:sz w:val="19"/>
                <w:szCs w:val="19"/>
                <w:color w:val="auto"/>
              </w:rPr>
            </w:pPr>
          </w:p>
        </w:tc>
        <w:tc>
          <w:tcPr>
            <w:tcW w:w="880" w:type="dxa"/>
            <w:vAlign w:val="bottom"/>
            <w:gridSpan w:val="5"/>
          </w:tcPr>
          <w:p>
            <w:pPr>
              <w:jc w:val="right"/>
              <w:ind w:right="109"/>
              <w:spacing w:after="0"/>
              <w:rPr>
                <w:sz w:val="20"/>
                <w:szCs w:val="20"/>
                <w:color w:val="auto"/>
              </w:rPr>
            </w:pPr>
            <w:r>
              <w:rPr>
                <w:rFonts w:ascii="Arial" w:cs="Arial" w:eastAsia="Arial" w:hAnsi="Arial"/>
                <w:sz w:val="18"/>
                <w:szCs w:val="18"/>
                <w:color w:val="auto"/>
              </w:rPr>
              <w:t>295,392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5"/>
              </w:rPr>
              <w:t>(160,926)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(173,586)</w:t>
            </w: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34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20" w:type="dxa"/>
            <w:vAlign w:val="bottom"/>
          </w:tcPr>
          <w:p>
            <w:pPr>
              <w:ind w:left="4160"/>
              <w:spacing w:after="0"/>
              <w:rPr>
                <w:sz w:val="20"/>
                <w:szCs w:val="20"/>
                <w:color w:val="auto"/>
              </w:rPr>
            </w:pPr>
            <w:r>
              <w:rPr>
                <w:rFonts w:ascii="Arial" w:cs="Arial" w:eastAsia="Arial" w:hAnsi="Arial"/>
                <w:sz w:val="18"/>
                <w:szCs w:val="18"/>
                <w:color w:val="auto"/>
              </w:rPr>
              <w:t>S-11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-6876415</wp:posOffset>
            </wp:positionV>
            <wp:extent cx="563181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31815" cy="13716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-6602095</wp:posOffset>
            </wp:positionV>
            <wp:extent cx="563181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31815" cy="13716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-6327775</wp:posOffset>
            </wp:positionV>
            <wp:extent cx="5631815" cy="2280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31815" cy="228028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-2950210</wp:posOffset>
            </wp:positionV>
            <wp:extent cx="563181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31815" cy="13716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-2675890</wp:posOffset>
            </wp:positionV>
            <wp:extent cx="563181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31815" cy="13716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-2401570</wp:posOffset>
            </wp:positionV>
            <wp:extent cx="563181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31815" cy="13716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-2127250</wp:posOffset>
            </wp:positionV>
            <wp:extent cx="563181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31815" cy="13716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-995680</wp:posOffset>
            </wp:positionV>
            <wp:extent cx="563181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31815" cy="13716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-721360</wp:posOffset>
            </wp:positionV>
            <wp:extent cx="563181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31815" cy="13716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5318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41870" cy="531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340" w:type="dxa"/>
            <w:vAlign w:val="bottom"/>
            <w:gridSpan w:val="6"/>
          </w:tcPr>
          <w:p>
            <w:pPr>
              <w:ind w:left="340"/>
              <w:spacing w:after="0"/>
              <w:rPr>
                <w:sz w:val="20"/>
                <w:szCs w:val="20"/>
                <w:color w:val="auto"/>
              </w:rPr>
            </w:pPr>
            <w:r>
              <w:rPr>
                <w:rFonts w:ascii="Arial" w:cs="Arial" w:eastAsia="Arial" w:hAnsi="Arial"/>
                <w:sz w:val="13"/>
                <w:szCs w:val="13"/>
                <w:b w:val="1"/>
                <w:bCs w:val="1"/>
                <w:color w:val="auto"/>
              </w:rPr>
              <w:t>Year Ended December 31,</w:t>
            </w:r>
          </w:p>
        </w:tc>
      </w:tr>
      <w:tr>
        <w:trPr>
          <w:trHeight w:val="142"/>
        </w:trPr>
        <w:tc>
          <w:tcPr>
            <w:tcW w:w="23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169"/>
        </w:trPr>
        <w:tc>
          <w:tcPr>
            <w:tcW w:w="23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FLEET DATA*:</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Number of LNG carriers at end of period</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number of LNG carriers during period</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Average age of LNG carriers (years)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r>
      <w:tr>
        <w:trPr>
          <w:trHeight w:val="216"/>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calendar days of fleet for the period</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5,110</w:t>
            </w:r>
          </w:p>
        </w:tc>
      </w:tr>
      <w:tr>
        <w:trPr>
          <w:trHeight w:val="364"/>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29"/>
                <w:szCs w:val="29"/>
                <w:color w:val="auto"/>
                <w:vertAlign w:val="superscript"/>
              </w:rPr>
              <w:t>(4)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4,411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5,091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4,910</w:t>
            </w:r>
          </w:p>
        </w:tc>
      </w:tr>
      <w:tr>
        <w:trPr>
          <w:trHeight w:val="20"/>
        </w:trPr>
        <w:tc>
          <w:tcPr>
            <w:tcW w:w="234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900" w:hanging="549"/>
        <w:spacing w:after="0"/>
        <w:tabs>
          <w:tab w:leader="none" w:pos="1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Fleet Data above is calculated consistent with our IFRS Common Control Reported Results.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300" w:type="dxa"/>
            <w:vAlign w:val="bottom"/>
            <w:tcBorders>
              <w:bottom w:val="single" w:sz="8" w:color="auto"/>
            </w:tcBorders>
            <w:gridSpan w:val="5"/>
          </w:tcPr>
          <w:p>
            <w:pPr>
              <w:jc w:val="center"/>
              <w:ind w:left="521"/>
              <w:spacing w:after="0"/>
              <w:rPr>
                <w:sz w:val="20"/>
                <w:szCs w:val="20"/>
                <w:color w:val="auto"/>
              </w:rPr>
            </w:pPr>
            <w:r>
              <w:rPr>
                <w:rFonts w:ascii="Arial" w:cs="Arial" w:eastAsia="Arial" w:hAnsi="Arial"/>
                <w:sz w:val="13"/>
                <w:szCs w:val="13"/>
                <w:b w:val="1"/>
                <w:bCs w:val="1"/>
                <w:color w:val="auto"/>
                <w:w w:val="93"/>
              </w:rPr>
              <w:t>Year Ended December 31,</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78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3"/>
                <w:szCs w:val="13"/>
                <w:b w:val="1"/>
                <w:bCs w:val="1"/>
                <w:color w:val="auto"/>
              </w:rPr>
              <w:t>2016</w:t>
            </w:r>
          </w:p>
        </w:tc>
        <w:tc>
          <w:tcPr>
            <w:tcW w:w="26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2017</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3"/>
                <w:szCs w:val="13"/>
                <w:b w:val="1"/>
                <w:bCs w:val="1"/>
                <w:color w:val="auto"/>
              </w:rPr>
              <w:t>2018</w:t>
            </w:r>
          </w:p>
        </w:tc>
        <w:tc>
          <w:tcPr>
            <w:tcW w:w="280" w:type="dxa"/>
            <w:vAlign w:val="bottom"/>
          </w:tcPr>
          <w:p>
            <w:pPr>
              <w:spacing w:after="0"/>
              <w:rPr>
                <w:sz w:val="12"/>
                <w:szCs w:val="12"/>
                <w:color w:val="auto"/>
              </w:rPr>
            </w:pPr>
          </w:p>
        </w:tc>
      </w:tr>
      <w:tr>
        <w:trPr>
          <w:trHeight w:val="156"/>
        </w:trPr>
        <w:tc>
          <w:tcPr>
            <w:tcW w:w="572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26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61"/>
        </w:trPr>
        <w:tc>
          <w:tcPr>
            <w:tcW w:w="5720" w:type="dxa"/>
            <w:vAlign w:val="bottom"/>
          </w:tcPr>
          <w:p>
            <w:pPr>
              <w:spacing w:after="0"/>
              <w:rPr>
                <w:sz w:val="14"/>
                <w:szCs w:val="14"/>
                <w:color w:val="auto"/>
              </w:rPr>
            </w:pPr>
          </w:p>
        </w:tc>
        <w:tc>
          <w:tcPr>
            <w:tcW w:w="2300" w:type="dxa"/>
            <w:vAlign w:val="bottom"/>
            <w:gridSpan w:val="5"/>
          </w:tcPr>
          <w:p>
            <w:pPr>
              <w:jc w:val="center"/>
              <w:ind w:left="501"/>
              <w:spacing w:after="0"/>
              <w:rPr>
                <w:sz w:val="20"/>
                <w:szCs w:val="20"/>
                <w:color w:val="auto"/>
              </w:rPr>
            </w:pPr>
            <w:r>
              <w:rPr>
                <w:rFonts w:ascii="Arial" w:cs="Arial" w:eastAsia="Arial" w:hAnsi="Arial"/>
                <w:sz w:val="13"/>
                <w:szCs w:val="13"/>
                <w:b w:val="1"/>
                <w:bCs w:val="1"/>
                <w:color w:val="auto"/>
                <w:w w:val="93"/>
              </w:rPr>
              <w:t>(in thousands of U.S. dollars)</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57"/>
        </w:trPr>
        <w:tc>
          <w:tcPr>
            <w:tcW w:w="5720" w:type="dxa"/>
            <w:vAlign w:val="bottom"/>
          </w:tcPr>
          <w:p>
            <w:pPr>
              <w:ind w:left="200"/>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236,874</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  279,816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261,025</w:t>
            </w: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720" w:type="dxa"/>
            <w:vAlign w:val="bottom"/>
          </w:tcPr>
          <w:p>
            <w:pPr>
              <w:ind w:left="380"/>
              <w:spacing w:after="0"/>
              <w:rPr>
                <w:sz w:val="20"/>
                <w:szCs w:val="20"/>
                <w:color w:val="auto"/>
              </w:rPr>
            </w:pPr>
            <w:r>
              <w:rPr>
                <w:rFonts w:ascii="Arial" w:cs="Arial" w:eastAsia="Arial" w:hAnsi="Arial"/>
                <w:sz w:val="18"/>
                <w:szCs w:val="18"/>
                <w:color w:val="auto"/>
              </w:rPr>
              <w:t>Payment for vessels and vessel additions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502,132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5,131</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24,177</w:t>
            </w:r>
          </w:p>
        </w:tc>
      </w:tr>
      <w:tr>
        <w:trPr>
          <w:trHeight w:val="257"/>
        </w:trPr>
        <w:tc>
          <w:tcPr>
            <w:tcW w:w="5720" w:type="dxa"/>
            <w:vAlign w:val="bottom"/>
            <w:shd w:val="clear" w:color="auto" w:fill="CCEEFF"/>
          </w:tcPr>
          <w:p>
            <w:pPr>
              <w:ind w:left="380"/>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83,660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100,551</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108,945</w:t>
            </w:r>
          </w:p>
        </w:tc>
      </w:tr>
      <w:tr>
        <w:trPr>
          <w:trHeight w:val="216"/>
        </w:trPr>
        <w:tc>
          <w:tcPr>
            <w:tcW w:w="5720" w:type="dxa"/>
            <w:vAlign w:val="bottom"/>
          </w:tcPr>
          <w:p>
            <w:pPr>
              <w:ind w:left="380"/>
              <w:spacing w:after="0"/>
              <w:rPr>
                <w:sz w:val="20"/>
                <w:szCs w:val="20"/>
                <w:color w:val="auto"/>
              </w:rPr>
            </w:pPr>
            <w:r>
              <w:rPr>
                <w:rFonts w:ascii="Arial" w:cs="Arial" w:eastAsia="Arial" w:hAnsi="Arial"/>
                <w:sz w:val="18"/>
                <w:szCs w:val="18"/>
                <w:color w:val="auto"/>
              </w:rPr>
              <w:t>Cash distributions declared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65,577</w:t>
            </w:r>
            <w:r>
              <w:rPr>
                <w:rFonts w:ascii="Arial" w:cs="Arial" w:eastAsia="Arial" w:hAnsi="Arial"/>
                <w:sz w:val="14"/>
                <w:szCs w:val="14"/>
                <w:color w:val="auto"/>
              </w:rPr>
              <w:t>(6)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97,105</w:t>
            </w:r>
            <w:r>
              <w:rPr>
                <w:rFonts w:ascii="Arial" w:cs="Arial" w:eastAsia="Arial" w:hAnsi="Arial"/>
                <w:sz w:val="14"/>
                <w:szCs w:val="14"/>
                <w:color w:val="auto"/>
              </w:rPr>
              <w:t>(9)</w:t>
            </w:r>
          </w:p>
        </w:tc>
      </w:tr>
      <w:tr>
        <w:trPr>
          <w:trHeight w:val="216"/>
        </w:trPr>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distributions paid</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77,377</w:t>
            </w:r>
            <w:r>
              <w:rPr>
                <w:rFonts w:ascii="Arial" w:cs="Arial" w:eastAsia="Arial" w:hAnsi="Arial"/>
                <w:sz w:val="14"/>
                <w:szCs w:val="14"/>
                <w:color w:val="auto"/>
              </w:rPr>
              <w:t>(7)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97,105</w:t>
            </w:r>
            <w:r>
              <w:rPr>
                <w:rFonts w:ascii="Arial" w:cs="Arial" w:eastAsia="Arial" w:hAnsi="Arial"/>
                <w:sz w:val="14"/>
                <w:szCs w:val="14"/>
                <w:color w:val="auto"/>
              </w:rPr>
              <w:t>(9)</w:t>
            </w:r>
          </w:p>
        </w:tc>
      </w:tr>
      <w:tr>
        <w:trPr>
          <w:trHeight w:val="222"/>
        </w:trPr>
        <w:tc>
          <w:tcPr>
            <w:tcW w:w="5720" w:type="dxa"/>
            <w:vAlign w:val="bottom"/>
          </w:tcPr>
          <w:p>
            <w:pPr>
              <w:ind w:left="380"/>
              <w:spacing w:after="0"/>
              <w:rPr>
                <w:sz w:val="20"/>
                <w:szCs w:val="20"/>
                <w:color w:val="auto"/>
              </w:rPr>
            </w:pPr>
            <w:r>
              <w:rPr>
                <w:rFonts w:ascii="Arial" w:cs="Arial" w:eastAsia="Arial" w:hAnsi="Arial"/>
                <w:sz w:val="18"/>
                <w:szCs w:val="18"/>
                <w:color w:val="auto"/>
              </w:rPr>
              <w:t>Preference Unit distributions declared and paid</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â€”</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7,232</w:t>
            </w:r>
          </w:p>
        </w:tc>
        <w:tc>
          <w:tcPr>
            <w:tcW w:w="2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20,989</w:t>
            </w:r>
          </w:p>
        </w:tc>
      </w:tr>
    </w:tbl>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Partnership Performance Results</w:t>
      </w:r>
    </w:p>
    <w:p>
      <w:pPr>
        <w:spacing w:after="0" w:line="231" w:lineRule="exact"/>
        <w:rPr>
          <w:sz w:val="20"/>
          <w:szCs w:val="20"/>
          <w:color w:val="auto"/>
        </w:rPr>
      </w:pPr>
    </w:p>
    <w:p>
      <w:pPr>
        <w:ind w:left="240" w:firstLine="348"/>
        <w:spacing w:after="0" w:line="323" w:lineRule="auto"/>
        <w:rPr>
          <w:sz w:val="20"/>
          <w:szCs w:val="20"/>
          <w:color w:val="auto"/>
        </w:rPr>
      </w:pPr>
      <w:r>
        <w:rPr>
          <w:rFonts w:ascii="Arial" w:cs="Arial" w:eastAsia="Arial" w:hAnsi="Arial"/>
          <w:sz w:val="15"/>
          <w:szCs w:val="15"/>
          <w:color w:val="auto"/>
        </w:rPr>
        <w:t>The financial and operating data below exclude amounts related to vessels currently owned by the Partnership for the periods prior to their respective transfer to GasLog Partners from GasLog, as 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060"/>
          </w:cols>
          <w:pgMar w:left="160" w:top="51" w:right="6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7385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41870" cy="738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calculation of the quarterly distribution and the earnings per unit, which similarly exclude the results of vessels prior to their transfer to the Partnership.</w:t>
      </w:r>
    </w:p>
    <w:p>
      <w:pPr>
        <w:spacing w:after="0" w:line="29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12"/>
          </w:tcPr>
          <w:p>
            <w:pPr>
              <w:jc w:val="center"/>
              <w:ind w:left="375"/>
              <w:spacing w:after="0"/>
              <w:rPr>
                <w:sz w:val="20"/>
                <w:szCs w:val="20"/>
                <w:color w:val="auto"/>
              </w:rPr>
            </w:pPr>
            <w:r>
              <w:rPr>
                <w:rFonts w:ascii="Arial" w:cs="Arial" w:eastAsia="Arial" w:hAnsi="Arial"/>
                <w:sz w:val="13"/>
                <w:szCs w:val="13"/>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3"/>
                <w:szCs w:val="13"/>
                <w:b w:val="1"/>
                <w:bCs w:val="1"/>
                <w:color w:val="auto"/>
              </w:rPr>
              <w:t>2016</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186"/>
              <w:spacing w:after="0" w:line="142" w:lineRule="exact"/>
              <w:rPr>
                <w:sz w:val="20"/>
                <w:szCs w:val="20"/>
                <w:color w:val="auto"/>
              </w:rPr>
            </w:pPr>
            <w:r>
              <w:rPr>
                <w:rFonts w:ascii="Arial" w:cs="Arial" w:eastAsia="Arial" w:hAnsi="Arial"/>
                <w:sz w:val="13"/>
                <w:szCs w:val="13"/>
                <w:b w:val="1"/>
                <w:bCs w:val="1"/>
                <w:color w:val="auto"/>
              </w:rPr>
              <w:t>2017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49"/>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ind w:left="340"/>
              <w:spacing w:after="0" w:line="142"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6"/>
          </w:tcPr>
          <w:p>
            <w:pPr>
              <w:spacing w:after="0" w:line="142" w:lineRule="exact"/>
              <w:rPr>
                <w:sz w:val="20"/>
                <w:szCs w:val="20"/>
                <w:color w:val="auto"/>
              </w:rPr>
            </w:pPr>
            <w:r>
              <w:rPr>
                <w:rFonts w:ascii="Arial" w:cs="Arial" w:eastAsia="Arial" w:hAnsi="Arial"/>
                <w:sz w:val="13"/>
                <w:szCs w:val="13"/>
                <w:b w:val="1"/>
                <w:bCs w:val="1"/>
                <w:color w:val="auto"/>
                <w:w w:val="83"/>
              </w:rPr>
              <w:t>thousands of U.S.</w:t>
            </w:r>
          </w:p>
        </w:tc>
        <w:tc>
          <w:tcPr>
            <w:tcW w:w="960" w:type="dxa"/>
            <w:vAlign w:val="bottom"/>
            <w:gridSpan w:val="6"/>
          </w:tcPr>
          <w:p>
            <w:pPr>
              <w:jc w:val="right"/>
              <w:ind w:right="489"/>
              <w:spacing w:after="0" w:line="142" w:lineRule="exact"/>
              <w:rPr>
                <w:sz w:val="20"/>
                <w:szCs w:val="20"/>
                <w:color w:val="auto"/>
              </w:rPr>
            </w:pPr>
            <w:r>
              <w:rPr>
                <w:rFonts w:ascii="Arial" w:cs="Arial" w:eastAsia="Arial" w:hAnsi="Arial"/>
                <w:sz w:val="13"/>
                <w:szCs w:val="13"/>
                <w:b w:val="1"/>
                <w:bCs w:val="1"/>
                <w:color w:val="auto"/>
                <w:w w:val="93"/>
              </w:rPr>
              <w:t>dollars)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8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b w:val="1"/>
                <w:bCs w:val="1"/>
                <w:color w:val="auto"/>
                <w:w w:val="96"/>
              </w:rPr>
              <w:t>PARTNERSHIP PERFORMANCE STATEMENT OF PROFIT OR LOSS</w:t>
            </w:r>
            <w:r>
              <w:rPr>
                <w:rFonts w:ascii="Arial" w:cs="Arial" w:eastAsia="Arial" w:hAnsi="Arial"/>
                <w:sz w:val="29"/>
                <w:szCs w:val="29"/>
                <w:b w:val="1"/>
                <w:bCs w:val="1"/>
                <w:color w:val="auto"/>
                <w:w w:val="96"/>
                <w:vertAlign w:val="superscript"/>
              </w:rPr>
              <w:t>(5)</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700" w:type="dxa"/>
            <w:vAlign w:val="bottom"/>
            <w:gridSpan w:val="2"/>
          </w:tcPr>
          <w:p>
            <w:pPr>
              <w:ind w:left="8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3"/>
              <w:spacing w:after="0"/>
              <w:rPr>
                <w:sz w:val="20"/>
                <w:szCs w:val="20"/>
                <w:color w:val="auto"/>
              </w:rPr>
            </w:pPr>
            <w:r>
              <w:rPr>
                <w:rFonts w:ascii="Arial" w:cs="Arial" w:eastAsia="Arial" w:hAnsi="Arial"/>
                <w:sz w:val="18"/>
                <w:szCs w:val="18"/>
                <w:color w:val="auto"/>
                <w:w w:val="92"/>
              </w:rPr>
              <w:t>206,424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269,071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316,991</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Net pool allocation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3"/>
              <w:spacing w:after="0"/>
              <w:rPr>
                <w:sz w:val="20"/>
                <w:szCs w:val="20"/>
                <w:color w:val="auto"/>
              </w:rPr>
            </w:pPr>
            <w:r>
              <w:rPr>
                <w:rFonts w:ascii="Arial" w:cs="Arial" w:eastAsia="Arial" w:hAnsi="Arial"/>
                <w:sz w:val="18"/>
                <w:szCs w:val="18"/>
                <w:color w:val="auto"/>
              </w:rPr>
              <w:t>â€”</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â€”</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700" w:type="dxa"/>
            <w:vAlign w:val="bottom"/>
            <w:gridSpan w:val="2"/>
          </w:tcPr>
          <w:p>
            <w:pPr>
              <w:ind w:left="80"/>
              <w:spacing w:after="0"/>
              <w:rPr>
                <w:sz w:val="20"/>
                <w:szCs w:val="20"/>
                <w:color w:val="auto"/>
              </w:rPr>
            </w:pPr>
            <w:r>
              <w:rPr>
                <w:rFonts w:ascii="Arial" w:cs="Arial" w:eastAsia="Arial" w:hAnsi="Arial"/>
                <w:sz w:val="18"/>
                <w:szCs w:val="18"/>
                <w:color w:val="auto"/>
              </w:rPr>
              <w:t>Voyage expenses and commissions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3"/>
              <w:spacing w:after="0"/>
              <w:rPr>
                <w:sz w:val="20"/>
                <w:szCs w:val="20"/>
                <w:color w:val="auto"/>
              </w:rPr>
            </w:pPr>
            <w:r>
              <w:rPr>
                <w:rFonts w:ascii="Arial" w:cs="Arial" w:eastAsia="Arial" w:hAnsi="Arial"/>
                <w:sz w:val="18"/>
                <w:szCs w:val="18"/>
                <w:color w:val="auto"/>
              </w:rPr>
              <w:t>(2,841)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Vessel operating costs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
              <w:spacing w:after="0"/>
              <w:rPr>
                <w:sz w:val="20"/>
                <w:szCs w:val="20"/>
                <w:color w:val="auto"/>
              </w:rPr>
            </w:pPr>
            <w:r>
              <w:rPr>
                <w:rFonts w:ascii="Arial" w:cs="Arial" w:eastAsia="Arial" w:hAnsi="Arial"/>
                <w:sz w:val="18"/>
                <w:szCs w:val="18"/>
                <w:color w:val="auto"/>
                <w:w w:val="98"/>
              </w:rPr>
              <w:t>(43,479)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(55,692)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(61,452)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700" w:type="dxa"/>
            <w:vAlign w:val="bottom"/>
            <w:gridSpan w:val="2"/>
          </w:tcPr>
          <w:p>
            <w:pPr>
              <w:ind w:left="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3"/>
              <w:spacing w:after="0"/>
              <w:rPr>
                <w:sz w:val="20"/>
                <w:szCs w:val="20"/>
                <w:color w:val="auto"/>
              </w:rPr>
            </w:pPr>
            <w:r>
              <w:rPr>
                <w:rFonts w:ascii="Arial" w:cs="Arial" w:eastAsia="Arial" w:hAnsi="Arial"/>
                <w:sz w:val="18"/>
                <w:szCs w:val="18"/>
                <w:color w:val="auto"/>
                <w:w w:val="98"/>
              </w:rPr>
              <w:t>(45,230)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(58,193)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(73,151)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70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3"/>
              <w:spacing w:after="0" w:line="203" w:lineRule="exact"/>
              <w:rPr>
                <w:sz w:val="20"/>
                <w:szCs w:val="20"/>
                <w:color w:val="auto"/>
              </w:rPr>
            </w:pPr>
            <w:r>
              <w:rPr>
                <w:rFonts w:ascii="Arial" w:cs="Arial" w:eastAsia="Arial" w:hAnsi="Arial"/>
                <w:sz w:val="18"/>
                <w:szCs w:val="18"/>
                <w:color w:val="auto"/>
                <w:w w:val="98"/>
              </w:rPr>
              <w:t>(11,219)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5"/>
          </w:tcPr>
          <w:p>
            <w:pPr>
              <w:jc w:val="right"/>
              <w:spacing w:after="0" w:line="203" w:lineRule="exact"/>
              <w:rPr>
                <w:sz w:val="20"/>
                <w:szCs w:val="20"/>
                <w:color w:val="auto"/>
              </w:rPr>
            </w:pPr>
            <w:r>
              <w:rPr>
                <w:rFonts w:ascii="Arial" w:cs="Arial" w:eastAsia="Arial" w:hAnsi="Arial"/>
                <w:sz w:val="18"/>
                <w:szCs w:val="18"/>
                <w:color w:val="auto"/>
              </w:rPr>
              <w:t>(13,869)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w w:val="92"/>
              </w:rPr>
              <w:t>(18,905)</w:t>
            </w:r>
          </w:p>
        </w:tc>
        <w:tc>
          <w:tcPr>
            <w:tcW w:w="0" w:type="dxa"/>
            <w:vAlign w:val="bottom"/>
          </w:tcPr>
          <w:p>
            <w:pPr>
              <w:spacing w:after="0"/>
              <w:rPr>
                <w:sz w:val="1"/>
                <w:szCs w:val="1"/>
                <w:color w:val="auto"/>
              </w:rPr>
            </w:pPr>
          </w:p>
        </w:tc>
      </w:tr>
      <w:tr>
        <w:trPr>
          <w:trHeight w:val="34"/>
        </w:trPr>
        <w:tc>
          <w:tcPr>
            <w:tcW w:w="5820" w:type="dxa"/>
            <w:vAlign w:val="bottom"/>
            <w:gridSpan w:val="3"/>
            <w:vMerge w:val="restart"/>
          </w:tcPr>
          <w:p>
            <w:pPr>
              <w:ind w:left="20"/>
              <w:spacing w:after="0"/>
              <w:rPr>
                <w:sz w:val="20"/>
                <w:szCs w:val="20"/>
                <w:color w:val="auto"/>
              </w:rPr>
            </w:pPr>
            <w:r>
              <w:rPr>
                <w:rFonts w:ascii="Arial" w:cs="Arial" w:eastAsia="Arial" w:hAnsi="Arial"/>
                <w:sz w:val="5"/>
                <w:szCs w:val="5"/>
                <w:color w:val="auto"/>
                <w:vertAlign w:val="superscript"/>
              </w:rPr>
              <w:t>â€‹</w:t>
            </w:r>
            <w:r>
              <w:rPr>
                <w:rFonts w:ascii="Arial" w:cs="Arial" w:eastAsia="Arial" w:hAnsi="Arial"/>
                <w:sz w:val="18"/>
                <w:szCs w:val="18"/>
                <w:b w:val="1"/>
                <w:bCs w:val="1"/>
                <w:color w:val="auto"/>
              </w:rPr>
              <w:t xml:space="preserve">            Profit from operations</w:t>
            </w:r>
          </w:p>
        </w:tc>
        <w:tc>
          <w:tcPr>
            <w:tcW w:w="220" w:type="dxa"/>
            <w:vAlign w:val="bottom"/>
            <w:vMerge w:val="restart"/>
          </w:tcPr>
          <w:p>
            <w:pPr>
              <w:ind w:left="60"/>
              <w:spacing w:after="0"/>
              <w:rPr>
                <w:sz w:val="20"/>
                <w:szCs w:val="20"/>
                <w:color w:val="auto"/>
              </w:rPr>
            </w:pPr>
            <w:r>
              <w:rPr>
                <w:rFonts w:ascii="Arial" w:cs="Arial" w:eastAsia="Arial" w:hAnsi="Arial"/>
                <w:sz w:val="3"/>
                <w:szCs w:val="3"/>
                <w:color w:val="auto"/>
              </w:rPr>
              <w:t>â€‹</w:t>
            </w:r>
          </w:p>
        </w:tc>
        <w:tc>
          <w:tcPr>
            <w:tcW w:w="160" w:type="dxa"/>
            <w:vAlign w:val="bottom"/>
          </w:tcPr>
          <w:p>
            <w:pPr>
              <w:spacing w:after="0"/>
              <w:rPr>
                <w:sz w:val="20"/>
                <w:szCs w:val="20"/>
                <w:color w:val="auto"/>
              </w:rPr>
            </w:pPr>
            <w:r>
              <w:rPr>
                <w:rFonts w:ascii="Arial" w:cs="Arial" w:eastAsia="Arial" w:hAnsi="Arial"/>
                <w:sz w:val="3"/>
                <w:szCs w:val="3"/>
                <w:color w:val="auto"/>
              </w:rPr>
              <w:t>â€‹</w:t>
            </w:r>
          </w:p>
        </w:tc>
        <w:tc>
          <w:tcPr>
            <w:tcW w:w="720" w:type="dxa"/>
            <w:vAlign w:val="bottom"/>
            <w:gridSpan w:val="3"/>
            <w:vMerge w:val="restart"/>
          </w:tcPr>
          <w:p>
            <w:pPr>
              <w:jc w:val="right"/>
              <w:ind w:right="23"/>
              <w:spacing w:after="0"/>
              <w:rPr>
                <w:sz w:val="20"/>
                <w:szCs w:val="20"/>
                <w:color w:val="auto"/>
              </w:rPr>
            </w:pPr>
            <w:r>
              <w:rPr>
                <w:rFonts w:ascii="Arial" w:cs="Arial" w:eastAsia="Arial" w:hAnsi="Arial"/>
                <w:sz w:val="18"/>
                <w:szCs w:val="18"/>
                <w:b w:val="1"/>
                <w:bCs w:val="1"/>
                <w:color w:val="auto"/>
                <w:w w:val="85"/>
              </w:rPr>
              <w:t>103,655</w:t>
            </w:r>
            <w:r>
              <w:rPr>
                <w:rFonts w:ascii="Arial" w:cs="Arial" w:eastAsia="Arial" w:hAnsi="Arial"/>
                <w:sz w:val="5"/>
                <w:szCs w:val="5"/>
                <w:color w:val="auto"/>
                <w:w w:val="85"/>
                <w:vertAlign w:val="superscript"/>
              </w:rPr>
              <w:t>â€‹â€‹</w:t>
            </w:r>
          </w:p>
        </w:tc>
        <w:tc>
          <w:tcPr>
            <w:tcW w:w="60" w:type="dxa"/>
            <w:vAlign w:val="bottom"/>
          </w:tcPr>
          <w:p>
            <w:pPr>
              <w:spacing w:after="0"/>
              <w:rPr>
                <w:sz w:val="2"/>
                <w:szCs w:val="2"/>
                <w:color w:val="auto"/>
              </w:rPr>
            </w:pPr>
          </w:p>
        </w:tc>
        <w:tc>
          <w:tcPr>
            <w:tcW w:w="120" w:type="dxa"/>
            <w:vAlign w:val="bottom"/>
          </w:tcPr>
          <w:p>
            <w:pPr>
              <w:ind w:left="20"/>
              <w:spacing w:after="0"/>
              <w:rPr>
                <w:sz w:val="20"/>
                <w:szCs w:val="20"/>
                <w:color w:val="auto"/>
              </w:rPr>
            </w:pPr>
            <w:r>
              <w:rPr>
                <w:rFonts w:ascii="Arial" w:cs="Arial" w:eastAsia="Arial" w:hAnsi="Arial"/>
                <w:sz w:val="3"/>
                <w:szCs w:val="3"/>
                <w:color w:val="auto"/>
              </w:rPr>
              <w:t>â€‹</w:t>
            </w:r>
          </w:p>
        </w:tc>
        <w:tc>
          <w:tcPr>
            <w:tcW w:w="7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0"/>
              </w:rPr>
              <w:t>137,940</w:t>
            </w:r>
            <w:r>
              <w:rPr>
                <w:rFonts w:ascii="Arial" w:cs="Arial" w:eastAsia="Arial" w:hAnsi="Arial"/>
                <w:sz w:val="5"/>
                <w:szCs w:val="5"/>
                <w:color w:val="auto"/>
                <w:w w:val="90"/>
                <w:vertAlign w:val="superscript"/>
              </w:rPr>
              <w:t>â€‹â€‹</w:t>
            </w:r>
          </w:p>
        </w:tc>
        <w:tc>
          <w:tcPr>
            <w:tcW w:w="120" w:type="dxa"/>
            <w:vAlign w:val="bottom"/>
          </w:tcPr>
          <w:p>
            <w:pPr>
              <w:spacing w:after="0"/>
              <w:rPr>
                <w:sz w:val="2"/>
                <w:szCs w:val="2"/>
                <w:color w:val="auto"/>
              </w:rPr>
            </w:pPr>
          </w:p>
        </w:tc>
        <w:tc>
          <w:tcPr>
            <w:tcW w:w="220" w:type="dxa"/>
            <w:vAlign w:val="bottom"/>
            <w:gridSpan w:val="2"/>
          </w:tcPr>
          <w:p>
            <w:pPr>
              <w:ind w:left="20"/>
              <w:spacing w:after="0"/>
              <w:rPr>
                <w:sz w:val="20"/>
                <w:szCs w:val="20"/>
                <w:color w:val="auto"/>
              </w:rPr>
            </w:pPr>
            <w:r>
              <w:rPr>
                <w:rFonts w:ascii="Arial" w:cs="Arial" w:eastAsia="Arial" w:hAnsi="Arial"/>
                <w:sz w:val="3"/>
                <w:szCs w:val="3"/>
                <w:color w:val="auto"/>
              </w:rPr>
              <w:t>â€‹</w:t>
            </w: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w w:val="80"/>
              </w:rPr>
              <w:t>160,505</w:t>
            </w:r>
            <w:r>
              <w:rPr>
                <w:rFonts w:ascii="Arial" w:cs="Arial" w:eastAsia="Arial" w:hAnsi="Arial"/>
                <w:sz w:val="5"/>
                <w:szCs w:val="5"/>
                <w:color w:val="auto"/>
                <w:w w:val="80"/>
                <w:vertAlign w:val="superscript"/>
              </w:rPr>
              <w:t>â€‹â€‹</w:t>
            </w:r>
          </w:p>
        </w:tc>
        <w:tc>
          <w:tcPr>
            <w:tcW w:w="0" w:type="dxa"/>
            <w:vAlign w:val="bottom"/>
          </w:tcPr>
          <w:p>
            <w:pPr>
              <w:spacing w:after="0" w:line="20" w:lineRule="exact"/>
              <w:rPr>
                <w:sz w:val="1"/>
                <w:szCs w:val="1"/>
                <w:color w:val="auto"/>
              </w:rPr>
            </w:pPr>
          </w:p>
        </w:tc>
      </w:tr>
      <w:tr>
        <w:trPr>
          <w:trHeight w:val="195"/>
        </w:trPr>
        <w:tc>
          <w:tcPr>
            <w:tcW w:w="5820" w:type="dxa"/>
            <w:vAlign w:val="bottom"/>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20" w:type="dxa"/>
            <w:vAlign w:val="bottom"/>
          </w:tcPr>
          <w:p>
            <w:pPr>
              <w:ind w:left="20"/>
              <w:spacing w:after="0"/>
              <w:rPr>
                <w:sz w:val="20"/>
                <w:szCs w:val="20"/>
                <w:color w:val="auto"/>
              </w:rPr>
            </w:pPr>
            <w:r>
              <w:rPr>
                <w:rFonts w:ascii="Arial" w:cs="Arial" w:eastAsia="Arial" w:hAnsi="Arial"/>
                <w:sz w:val="3"/>
                <w:szCs w:val="3"/>
                <w:color w:val="auto"/>
              </w:rPr>
              <w:t>â€‹</w:t>
            </w:r>
          </w:p>
        </w:tc>
        <w:tc>
          <w:tcPr>
            <w:tcW w:w="5700" w:type="dxa"/>
            <w:vAlign w:val="bottom"/>
            <w:gridSpan w:val="2"/>
            <w:vMerge w:val="restart"/>
          </w:tcPr>
          <w:p>
            <w:pPr>
              <w:ind w:left="80"/>
              <w:spacing w:after="0"/>
              <w:rPr>
                <w:sz w:val="20"/>
                <w:szCs w:val="20"/>
                <w:color w:val="auto"/>
              </w:rPr>
            </w:pPr>
            <w:r>
              <w:rPr>
                <w:rFonts w:ascii="Arial" w:cs="Arial" w:eastAsia="Arial" w:hAnsi="Arial"/>
                <w:sz w:val="18"/>
                <w:szCs w:val="18"/>
                <w:color w:val="auto"/>
              </w:rPr>
              <w:t>Financial costs</w:t>
            </w:r>
          </w:p>
        </w:tc>
        <w:tc>
          <w:tcPr>
            <w:tcW w:w="220" w:type="dxa"/>
            <w:vAlign w:val="bottom"/>
          </w:tcPr>
          <w:p>
            <w:pPr>
              <w:ind w:left="60"/>
              <w:spacing w:after="0"/>
              <w:rPr>
                <w:sz w:val="20"/>
                <w:szCs w:val="20"/>
                <w:color w:val="auto"/>
              </w:rPr>
            </w:pPr>
            <w:r>
              <w:rPr>
                <w:rFonts w:ascii="Arial" w:cs="Arial" w:eastAsia="Arial" w:hAnsi="Arial"/>
                <w:sz w:val="3"/>
                <w:szCs w:val="3"/>
                <w:color w:val="auto"/>
              </w:rPr>
              <w:t>â€‹</w:t>
            </w:r>
          </w:p>
        </w:tc>
        <w:tc>
          <w:tcPr>
            <w:tcW w:w="160" w:type="dxa"/>
            <w:vAlign w:val="bottom"/>
          </w:tcPr>
          <w:p>
            <w:pPr>
              <w:spacing w:after="0"/>
              <w:rPr>
                <w:sz w:val="20"/>
                <w:szCs w:val="20"/>
                <w:color w:val="auto"/>
              </w:rPr>
            </w:pPr>
            <w:r>
              <w:rPr>
                <w:rFonts w:ascii="Arial" w:cs="Arial" w:eastAsia="Arial" w:hAnsi="Arial"/>
                <w:sz w:val="3"/>
                <w:szCs w:val="3"/>
                <w:color w:val="auto"/>
              </w:rPr>
              <w:t>â€‹</w:t>
            </w:r>
          </w:p>
        </w:tc>
        <w:tc>
          <w:tcPr>
            <w:tcW w:w="720" w:type="dxa"/>
            <w:vAlign w:val="bottom"/>
            <w:gridSpan w:val="3"/>
          </w:tcPr>
          <w:p>
            <w:pPr>
              <w:jc w:val="right"/>
              <w:ind w:right="23"/>
              <w:spacing w:after="0" w:line="40"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60" w:type="dxa"/>
            <w:vAlign w:val="bottom"/>
          </w:tcPr>
          <w:p>
            <w:pPr>
              <w:spacing w:after="0"/>
              <w:rPr>
                <w:sz w:val="3"/>
                <w:szCs w:val="3"/>
                <w:color w:val="auto"/>
              </w:rPr>
            </w:pPr>
          </w:p>
        </w:tc>
        <w:tc>
          <w:tcPr>
            <w:tcW w:w="120" w:type="dxa"/>
            <w:vAlign w:val="bottom"/>
          </w:tcPr>
          <w:p>
            <w:pPr>
              <w:ind w:left="20"/>
              <w:spacing w:after="0"/>
              <w:rPr>
                <w:sz w:val="20"/>
                <w:szCs w:val="20"/>
                <w:color w:val="auto"/>
              </w:rPr>
            </w:pPr>
            <w:r>
              <w:rPr>
                <w:rFonts w:ascii="Arial" w:cs="Arial" w:eastAsia="Arial" w:hAnsi="Arial"/>
                <w:sz w:val="3"/>
                <w:szCs w:val="3"/>
                <w:color w:val="auto"/>
              </w:rPr>
              <w:t>â€‹</w:t>
            </w: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gridSpan w:val="2"/>
          </w:tcPr>
          <w:p>
            <w:pPr>
              <w:jc w:val="right"/>
              <w:spacing w:after="0" w:line="40"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120" w:type="dxa"/>
            <w:vAlign w:val="bottom"/>
          </w:tcPr>
          <w:p>
            <w:pPr>
              <w:spacing w:after="0"/>
              <w:rPr>
                <w:sz w:val="3"/>
                <w:szCs w:val="3"/>
                <w:color w:val="auto"/>
              </w:rPr>
            </w:pPr>
          </w:p>
        </w:tc>
        <w:tc>
          <w:tcPr>
            <w:tcW w:w="220" w:type="dxa"/>
            <w:vAlign w:val="bottom"/>
            <w:gridSpan w:val="2"/>
          </w:tcPr>
          <w:p>
            <w:pPr>
              <w:ind w:left="20"/>
              <w:spacing w:after="0"/>
              <w:rPr>
                <w:sz w:val="20"/>
                <w:szCs w:val="20"/>
                <w:color w:val="auto"/>
              </w:rPr>
            </w:pPr>
            <w:r>
              <w:rPr>
                <w:rFonts w:ascii="Arial" w:cs="Arial" w:eastAsia="Arial" w:hAnsi="Arial"/>
                <w:sz w:val="3"/>
                <w:szCs w:val="3"/>
                <w:color w:val="auto"/>
              </w:rPr>
              <w:t>â€‹</w:t>
            </w:r>
          </w:p>
        </w:tc>
        <w:tc>
          <w:tcPr>
            <w:tcW w:w="40" w:type="dxa"/>
            <w:vAlign w:val="bottom"/>
          </w:tcPr>
          <w:p>
            <w:pPr>
              <w:spacing w:after="0"/>
              <w:rPr>
                <w:sz w:val="3"/>
                <w:szCs w:val="3"/>
                <w:color w:val="auto"/>
              </w:rPr>
            </w:pPr>
          </w:p>
        </w:tc>
        <w:tc>
          <w:tcPr>
            <w:tcW w:w="700" w:type="dxa"/>
            <w:vAlign w:val="bottom"/>
            <w:gridSpan w:val="2"/>
          </w:tcPr>
          <w:p>
            <w:pPr>
              <w:jc w:val="right"/>
              <w:ind w:right="120"/>
              <w:spacing w:after="0" w:line="40"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57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3"/>
              <w:spacing w:after="0" w:line="202" w:lineRule="exact"/>
              <w:rPr>
                <w:sz w:val="20"/>
                <w:szCs w:val="20"/>
                <w:color w:val="auto"/>
              </w:rPr>
            </w:pPr>
            <w:r>
              <w:rPr>
                <w:rFonts w:ascii="Arial" w:cs="Arial" w:eastAsia="Arial" w:hAnsi="Arial"/>
                <w:sz w:val="18"/>
                <w:szCs w:val="18"/>
                <w:color w:val="auto"/>
                <w:w w:val="98"/>
              </w:rPr>
              <w:t>(30,187)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(44,916)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w w:val="92"/>
              </w:rPr>
              <w:t>(60,258)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700" w:type="dxa"/>
            <w:vAlign w:val="bottom"/>
            <w:gridSpan w:val="2"/>
          </w:tcPr>
          <w:p>
            <w:pPr>
              <w:ind w:left="80"/>
              <w:spacing w:after="0"/>
              <w:rPr>
                <w:sz w:val="20"/>
                <w:szCs w:val="20"/>
                <w:color w:val="auto"/>
              </w:rPr>
            </w:pPr>
            <w:r>
              <w:rPr>
                <w:rFonts w:ascii="Arial" w:cs="Arial" w:eastAsia="Arial" w:hAnsi="Arial"/>
                <w:sz w:val="18"/>
                <w:szCs w:val="18"/>
                <w:color w:val="auto"/>
              </w:rPr>
              <w:t>Financial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63"/>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6"/>
              </w:rPr>
              <w:t>972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70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(Loss)/gain on derivatives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63"/>
              <w:spacing w:after="0" w:line="203" w:lineRule="exact"/>
              <w:rPr>
                <w:sz w:val="20"/>
                <w:szCs w:val="20"/>
                <w:color w:val="auto"/>
              </w:rPr>
            </w:pPr>
            <w:r>
              <w:rPr>
                <w:rFonts w:ascii="Arial" w:cs="Arial" w:eastAsia="Arial" w:hAnsi="Arial"/>
                <w:sz w:val="18"/>
                <w:szCs w:val="18"/>
                <w:color w:val="auto"/>
              </w:rPr>
              <w:t>3,623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86"/>
              </w:rPr>
              <w:t>121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0"/>
        </w:trPr>
        <w:tc>
          <w:tcPr>
            <w:tcW w:w="120" w:type="dxa"/>
            <w:vAlign w:val="bottom"/>
          </w:tcPr>
          <w:p>
            <w:pPr>
              <w:ind w:left="20"/>
              <w:spacing w:after="0"/>
              <w:rPr>
                <w:sz w:val="20"/>
                <w:szCs w:val="20"/>
                <w:color w:val="auto"/>
              </w:rPr>
            </w:pPr>
            <w:r>
              <w:rPr>
                <w:rFonts w:ascii="Arial" w:cs="Arial" w:eastAsia="Arial" w:hAnsi="Arial"/>
                <w:sz w:val="3"/>
                <w:szCs w:val="3"/>
                <w:color w:val="auto"/>
              </w:rPr>
              <w:t>â€‹</w:t>
            </w:r>
          </w:p>
        </w:tc>
        <w:tc>
          <w:tcPr>
            <w:tcW w:w="57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other expenses, net</w:t>
            </w:r>
          </w:p>
        </w:tc>
        <w:tc>
          <w:tcPr>
            <w:tcW w:w="220" w:type="dxa"/>
            <w:vAlign w:val="bottom"/>
          </w:tcPr>
          <w:p>
            <w:pPr>
              <w:ind w:left="60"/>
              <w:spacing w:after="0"/>
              <w:rPr>
                <w:sz w:val="20"/>
                <w:szCs w:val="20"/>
                <w:color w:val="auto"/>
              </w:rPr>
            </w:pPr>
            <w:r>
              <w:rPr>
                <w:rFonts w:ascii="Arial" w:cs="Arial" w:eastAsia="Arial" w:hAnsi="Arial"/>
                <w:sz w:val="3"/>
                <w:szCs w:val="3"/>
                <w:color w:val="auto"/>
              </w:rPr>
              <w:t>â€‹</w:t>
            </w:r>
          </w:p>
        </w:tc>
        <w:tc>
          <w:tcPr>
            <w:tcW w:w="160" w:type="dxa"/>
            <w:vAlign w:val="bottom"/>
          </w:tcPr>
          <w:p>
            <w:pPr>
              <w:spacing w:after="0"/>
              <w:rPr>
                <w:sz w:val="20"/>
                <w:szCs w:val="20"/>
                <w:color w:val="auto"/>
              </w:rPr>
            </w:pPr>
            <w:r>
              <w:rPr>
                <w:rFonts w:ascii="Arial" w:cs="Arial" w:eastAsia="Arial" w:hAnsi="Arial"/>
                <w:sz w:val="3"/>
                <w:szCs w:val="3"/>
                <w:color w:val="auto"/>
              </w:rPr>
              <w:t>â€‹</w:t>
            </w:r>
          </w:p>
        </w:tc>
        <w:tc>
          <w:tcPr>
            <w:tcW w:w="720" w:type="dxa"/>
            <w:vAlign w:val="bottom"/>
            <w:gridSpan w:val="3"/>
          </w:tcPr>
          <w:p>
            <w:pPr>
              <w:jc w:val="right"/>
              <w:ind w:right="23"/>
              <w:spacing w:after="0" w:line="40" w:lineRule="exact"/>
              <w:rPr>
                <w:sz w:val="20"/>
                <w:szCs w:val="20"/>
                <w:color w:val="auto"/>
              </w:rPr>
            </w:pPr>
            <w:r>
              <w:rPr>
                <w:rFonts w:ascii="Arial" w:cs="Arial" w:eastAsia="Arial" w:hAnsi="Arial"/>
                <w:sz w:val="2"/>
                <w:szCs w:val="2"/>
                <w:color w:val="auto"/>
              </w:rPr>
              <w:t>â€‹</w:t>
            </w:r>
            <w:r>
              <w:rPr>
                <w:rFonts w:ascii="Arial" w:cs="Arial" w:eastAsia="Arial" w:hAnsi="Arial"/>
                <w:sz w:val="4"/>
                <w:szCs w:val="4"/>
                <w:color w:val="auto"/>
                <w:vertAlign w:val="subscript"/>
              </w:rPr>
              <w:t>â€‹</w:t>
            </w:r>
          </w:p>
        </w:tc>
        <w:tc>
          <w:tcPr>
            <w:tcW w:w="60" w:type="dxa"/>
            <w:vAlign w:val="bottom"/>
          </w:tcPr>
          <w:p>
            <w:pPr>
              <w:spacing w:after="0"/>
              <w:rPr>
                <w:sz w:val="3"/>
                <w:szCs w:val="3"/>
                <w:color w:val="auto"/>
              </w:rPr>
            </w:pPr>
          </w:p>
        </w:tc>
        <w:tc>
          <w:tcPr>
            <w:tcW w:w="120" w:type="dxa"/>
            <w:vAlign w:val="bottom"/>
          </w:tcPr>
          <w:p>
            <w:pPr>
              <w:ind w:left="20"/>
              <w:spacing w:after="0"/>
              <w:rPr>
                <w:sz w:val="20"/>
                <w:szCs w:val="20"/>
                <w:color w:val="auto"/>
              </w:rPr>
            </w:pPr>
            <w:r>
              <w:rPr>
                <w:rFonts w:ascii="Arial" w:cs="Arial" w:eastAsia="Arial" w:hAnsi="Arial"/>
                <w:sz w:val="3"/>
                <w:szCs w:val="3"/>
                <w:color w:val="auto"/>
              </w:rPr>
              <w:t>â€‹</w:t>
            </w: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gridSpan w:val="2"/>
          </w:tcPr>
          <w:p>
            <w:pPr>
              <w:jc w:val="right"/>
              <w:spacing w:after="0" w:line="40" w:lineRule="exact"/>
              <w:rPr>
                <w:sz w:val="20"/>
                <w:szCs w:val="20"/>
                <w:color w:val="auto"/>
              </w:rPr>
            </w:pPr>
            <w:r>
              <w:rPr>
                <w:rFonts w:ascii="Arial" w:cs="Arial" w:eastAsia="Arial" w:hAnsi="Arial"/>
                <w:sz w:val="2"/>
                <w:szCs w:val="2"/>
                <w:color w:val="auto"/>
              </w:rPr>
              <w:t>â€‹</w:t>
            </w:r>
            <w:r>
              <w:rPr>
                <w:rFonts w:ascii="Arial" w:cs="Arial" w:eastAsia="Arial" w:hAnsi="Arial"/>
                <w:sz w:val="4"/>
                <w:szCs w:val="4"/>
                <w:color w:val="auto"/>
                <w:vertAlign w:val="subscript"/>
              </w:rPr>
              <w:t>â€‹</w:t>
            </w:r>
          </w:p>
        </w:tc>
        <w:tc>
          <w:tcPr>
            <w:tcW w:w="120" w:type="dxa"/>
            <w:vAlign w:val="bottom"/>
          </w:tcPr>
          <w:p>
            <w:pPr>
              <w:spacing w:after="0"/>
              <w:rPr>
                <w:sz w:val="3"/>
                <w:szCs w:val="3"/>
                <w:color w:val="auto"/>
              </w:rPr>
            </w:pPr>
          </w:p>
        </w:tc>
        <w:tc>
          <w:tcPr>
            <w:tcW w:w="220" w:type="dxa"/>
            <w:vAlign w:val="bottom"/>
            <w:gridSpan w:val="2"/>
          </w:tcPr>
          <w:p>
            <w:pPr>
              <w:ind w:left="20"/>
              <w:spacing w:after="0"/>
              <w:rPr>
                <w:sz w:val="20"/>
                <w:szCs w:val="20"/>
                <w:color w:val="auto"/>
              </w:rPr>
            </w:pPr>
            <w:r>
              <w:rPr>
                <w:rFonts w:ascii="Arial" w:cs="Arial" w:eastAsia="Arial" w:hAnsi="Arial"/>
                <w:sz w:val="3"/>
                <w:szCs w:val="3"/>
                <w:color w:val="auto"/>
              </w:rPr>
              <w:t>â€‹</w:t>
            </w:r>
          </w:p>
        </w:tc>
        <w:tc>
          <w:tcPr>
            <w:tcW w:w="40" w:type="dxa"/>
            <w:vAlign w:val="bottom"/>
          </w:tcPr>
          <w:p>
            <w:pPr>
              <w:spacing w:after="0"/>
              <w:rPr>
                <w:sz w:val="3"/>
                <w:szCs w:val="3"/>
                <w:color w:val="auto"/>
              </w:rPr>
            </w:pPr>
          </w:p>
        </w:tc>
        <w:tc>
          <w:tcPr>
            <w:tcW w:w="700" w:type="dxa"/>
            <w:vAlign w:val="bottom"/>
            <w:gridSpan w:val="2"/>
          </w:tcPr>
          <w:p>
            <w:pPr>
              <w:jc w:val="right"/>
              <w:ind w:right="120"/>
              <w:spacing w:after="0" w:line="40" w:lineRule="exact"/>
              <w:rPr>
                <w:sz w:val="20"/>
                <w:szCs w:val="20"/>
                <w:color w:val="auto"/>
              </w:rPr>
            </w:pPr>
            <w:r>
              <w:rPr>
                <w:rFonts w:ascii="Arial" w:cs="Arial" w:eastAsia="Arial" w:hAnsi="Arial"/>
                <w:sz w:val="2"/>
                <w:szCs w:val="2"/>
                <w:color w:val="auto"/>
              </w:rPr>
              <w:t>â€‹</w:t>
            </w:r>
            <w:r>
              <w:rPr>
                <w:rFonts w:ascii="Arial" w:cs="Arial" w:eastAsia="Arial" w:hAnsi="Arial"/>
                <w:sz w:val="4"/>
                <w:szCs w:val="4"/>
                <w:color w:val="auto"/>
                <w:vertAlign w:val="subscript"/>
              </w:rPr>
              <w:t>â€‹</w:t>
            </w:r>
          </w:p>
        </w:tc>
        <w:tc>
          <w:tcPr>
            <w:tcW w:w="0" w:type="dxa"/>
            <w:vAlign w:val="bottom"/>
          </w:tcPr>
          <w:p>
            <w:pPr>
              <w:spacing w:after="0" w:line="20" w:lineRule="exact"/>
              <w:rPr>
                <w:sz w:val="1"/>
                <w:szCs w:val="1"/>
                <w:color w:val="auto"/>
              </w:rPr>
            </w:pPr>
          </w:p>
        </w:tc>
      </w:tr>
      <w:tr>
        <w:trPr>
          <w:trHeight w:val="190"/>
        </w:trPr>
        <w:tc>
          <w:tcPr>
            <w:tcW w:w="120" w:type="dxa"/>
            <w:vAlign w:val="bottom"/>
          </w:tcPr>
          <w:p>
            <w:pPr>
              <w:spacing w:after="0"/>
              <w:rPr>
                <w:sz w:val="16"/>
                <w:szCs w:val="16"/>
                <w:color w:val="auto"/>
              </w:rPr>
            </w:pPr>
          </w:p>
        </w:tc>
        <w:tc>
          <w:tcPr>
            <w:tcW w:w="5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3"/>
          </w:tcPr>
          <w:p>
            <w:pPr>
              <w:jc w:val="right"/>
              <w:ind w:right="3"/>
              <w:spacing w:after="0" w:line="190" w:lineRule="exact"/>
              <w:rPr>
                <w:sz w:val="20"/>
                <w:szCs w:val="20"/>
                <w:color w:val="auto"/>
              </w:rPr>
            </w:pPr>
            <w:r>
              <w:rPr>
                <w:rFonts w:ascii="Arial" w:cs="Arial" w:eastAsia="Arial" w:hAnsi="Arial"/>
                <w:sz w:val="18"/>
                <w:szCs w:val="18"/>
                <w:b w:val="1"/>
                <w:bCs w:val="1"/>
                <w:color w:val="auto"/>
                <w:w w:val="98"/>
              </w:rPr>
              <w:t>(26,385)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5"/>
          </w:tcPr>
          <w:p>
            <w:pPr>
              <w:jc w:val="right"/>
              <w:spacing w:after="0" w:line="190" w:lineRule="exact"/>
              <w:rPr>
                <w:sz w:val="20"/>
                <w:szCs w:val="20"/>
                <w:color w:val="auto"/>
              </w:rPr>
            </w:pPr>
            <w:r>
              <w:rPr>
                <w:rFonts w:ascii="Arial" w:cs="Arial" w:eastAsia="Arial" w:hAnsi="Arial"/>
                <w:sz w:val="18"/>
                <w:szCs w:val="18"/>
                <w:b w:val="1"/>
                <w:bCs w:val="1"/>
                <w:color w:val="auto"/>
              </w:rPr>
              <w:t>(43,823)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jc w:val="right"/>
              <w:ind w:right="100"/>
              <w:spacing w:after="0" w:line="190" w:lineRule="exact"/>
              <w:rPr>
                <w:sz w:val="20"/>
                <w:szCs w:val="20"/>
                <w:color w:val="auto"/>
              </w:rPr>
            </w:pPr>
            <w:r>
              <w:rPr>
                <w:rFonts w:ascii="Arial" w:cs="Arial" w:eastAsia="Arial" w:hAnsi="Arial"/>
                <w:sz w:val="18"/>
                <w:szCs w:val="18"/>
                <w:b w:val="1"/>
                <w:bCs w:val="1"/>
                <w:color w:val="auto"/>
                <w:w w:val="92"/>
              </w:rPr>
              <w:t>(57,908)</w:t>
            </w:r>
          </w:p>
        </w:tc>
        <w:tc>
          <w:tcPr>
            <w:tcW w:w="0" w:type="dxa"/>
            <w:vAlign w:val="bottom"/>
          </w:tcPr>
          <w:p>
            <w:pPr>
              <w:spacing w:after="0"/>
              <w:rPr>
                <w:sz w:val="1"/>
                <w:szCs w:val="1"/>
                <w:color w:val="auto"/>
              </w:rPr>
            </w:pPr>
          </w:p>
        </w:tc>
      </w:tr>
      <w:tr>
        <w:trPr>
          <w:trHeight w:val="33"/>
        </w:trPr>
        <w:tc>
          <w:tcPr>
            <w:tcW w:w="120" w:type="dxa"/>
            <w:vAlign w:val="bottom"/>
          </w:tcPr>
          <w:p>
            <w:pPr>
              <w:ind w:left="20"/>
              <w:spacing w:after="0" w:line="33" w:lineRule="exact"/>
              <w:rPr>
                <w:sz w:val="20"/>
                <w:szCs w:val="20"/>
                <w:color w:val="auto"/>
              </w:rPr>
            </w:pPr>
            <w:r>
              <w:rPr>
                <w:rFonts w:ascii="Arial" w:cs="Arial" w:eastAsia="Arial" w:hAnsi="Arial"/>
                <w:sz w:val="3"/>
                <w:szCs w:val="3"/>
                <w:color w:val="auto"/>
              </w:rPr>
              <w:t>â€‹</w:t>
            </w:r>
          </w:p>
        </w:tc>
        <w:tc>
          <w:tcPr>
            <w:tcW w:w="2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ind w:left="60"/>
              <w:spacing w:after="0" w:line="33"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620" w:type="dxa"/>
            <w:vAlign w:val="bottom"/>
            <w:gridSpan w:val="2"/>
          </w:tcPr>
          <w:p>
            <w:pPr>
              <w:ind w:left="600"/>
              <w:spacing w:after="0"/>
              <w:rPr>
                <w:sz w:val="20"/>
                <w:szCs w:val="20"/>
                <w:color w:val="auto"/>
              </w:rPr>
            </w:pPr>
            <w:r>
              <w:rPr>
                <w:rFonts w:ascii="Arial" w:cs="Arial" w:eastAsia="Arial" w:hAnsi="Arial"/>
                <w:sz w:val="1"/>
                <w:szCs w:val="1"/>
                <w:color w:val="auto"/>
                <w:w w:val="4294967292"/>
              </w:rPr>
              <w:t>â€</w:t>
            </w:r>
          </w:p>
        </w:tc>
        <w:tc>
          <w:tcPr>
            <w:tcW w:w="100" w:type="dxa"/>
            <w:vAlign w:val="bottom"/>
          </w:tcPr>
          <w:p>
            <w:pPr>
              <w:jc w:val="right"/>
              <w:ind w:right="23"/>
              <w:spacing w:after="0"/>
              <w:rPr>
                <w:sz w:val="20"/>
                <w:szCs w:val="20"/>
                <w:color w:val="auto"/>
              </w:rPr>
            </w:pPr>
            <w:r>
              <w:rPr>
                <w:rFonts w:ascii="Arial" w:cs="Arial" w:eastAsia="Arial" w:hAnsi="Arial"/>
                <w:sz w:val="2"/>
                <w:szCs w:val="2"/>
                <w:color w:val="auto"/>
                <w:vertAlign w:val="superscript"/>
              </w:rPr>
              <w:t>‹</w:t>
            </w:r>
            <w:r>
              <w:rPr>
                <w:rFonts w:ascii="Arial" w:cs="Arial" w:eastAsia="Arial" w:hAnsi="Arial"/>
                <w:sz w:val="1"/>
                <w:szCs w:val="1"/>
                <w:color w:val="auto"/>
              </w:rPr>
              <w:t>â€‹</w:t>
            </w:r>
          </w:p>
        </w:tc>
        <w:tc>
          <w:tcPr>
            <w:tcW w:w="60" w:type="dxa"/>
            <w:vAlign w:val="bottom"/>
          </w:tcPr>
          <w:p>
            <w:pPr>
              <w:spacing w:after="0"/>
              <w:rPr>
                <w:sz w:val="2"/>
                <w:szCs w:val="2"/>
                <w:color w:val="auto"/>
              </w:rPr>
            </w:pPr>
          </w:p>
        </w:tc>
        <w:tc>
          <w:tcPr>
            <w:tcW w:w="120" w:type="dxa"/>
            <w:vAlign w:val="bottom"/>
          </w:tcPr>
          <w:p>
            <w:pPr>
              <w:ind w:left="20"/>
              <w:spacing w:after="0" w:line="27" w:lineRule="exact"/>
              <w:rPr>
                <w:sz w:val="20"/>
                <w:szCs w:val="20"/>
                <w:color w:val="auto"/>
              </w:rPr>
            </w:pPr>
            <w:r>
              <w:rPr>
                <w:rFonts w:ascii="Arial" w:cs="Arial" w:eastAsia="Arial" w:hAnsi="Arial"/>
                <w:sz w:val="3"/>
                <w:szCs w:val="3"/>
                <w:color w:val="auto"/>
              </w:rPr>
              <w:t>â€‹</w:t>
            </w: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gridSpan w:val="2"/>
          </w:tcPr>
          <w:p>
            <w:pPr>
              <w:jc w:val="right"/>
              <w:spacing w:after="0" w:line="33"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20" w:type="dxa"/>
            <w:vAlign w:val="bottom"/>
          </w:tcPr>
          <w:p>
            <w:pPr>
              <w:spacing w:after="0"/>
              <w:rPr>
                <w:sz w:val="2"/>
                <w:szCs w:val="2"/>
                <w:color w:val="auto"/>
              </w:rPr>
            </w:pPr>
          </w:p>
        </w:tc>
        <w:tc>
          <w:tcPr>
            <w:tcW w:w="220" w:type="dxa"/>
            <w:vAlign w:val="bottom"/>
            <w:gridSpan w:val="2"/>
          </w:tcPr>
          <w:p>
            <w:pPr>
              <w:ind w:left="20"/>
              <w:spacing w:after="0" w:line="27" w:lineRule="exact"/>
              <w:rPr>
                <w:sz w:val="20"/>
                <w:szCs w:val="20"/>
                <w:color w:val="auto"/>
              </w:rPr>
            </w:pPr>
            <w:r>
              <w:rPr>
                <w:rFonts w:ascii="Arial" w:cs="Arial" w:eastAsia="Arial" w:hAnsi="Arial"/>
                <w:sz w:val="3"/>
                <w:szCs w:val="3"/>
                <w:color w:val="auto"/>
              </w:rPr>
              <w:t>â€‹</w:t>
            </w:r>
          </w:p>
        </w:tc>
        <w:tc>
          <w:tcPr>
            <w:tcW w:w="40" w:type="dxa"/>
            <w:vAlign w:val="bottom"/>
          </w:tcPr>
          <w:p>
            <w:pPr>
              <w:spacing w:after="0"/>
              <w:rPr>
                <w:sz w:val="2"/>
                <w:szCs w:val="2"/>
                <w:color w:val="auto"/>
              </w:rPr>
            </w:pPr>
          </w:p>
        </w:tc>
        <w:tc>
          <w:tcPr>
            <w:tcW w:w="700" w:type="dxa"/>
            <w:vAlign w:val="bottom"/>
            <w:gridSpan w:val="2"/>
          </w:tcPr>
          <w:p>
            <w:pPr>
              <w:jc w:val="right"/>
              <w:ind w:right="120"/>
              <w:spacing w:after="0" w:line="33"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5700" w:type="dxa"/>
            <w:vAlign w:val="bottom"/>
            <w:gridSpan w:val="2"/>
          </w:tcPr>
          <w:p>
            <w:pPr>
              <w:ind w:left="80"/>
              <w:spacing w:after="0" w:line="197" w:lineRule="exact"/>
              <w:rPr>
                <w:sz w:val="20"/>
                <w:szCs w:val="20"/>
                <w:color w:val="auto"/>
              </w:rPr>
            </w:pPr>
            <w:r>
              <w:rPr>
                <w:rFonts w:ascii="Arial" w:cs="Arial" w:eastAsia="Arial" w:hAnsi="Arial"/>
                <w:sz w:val="18"/>
                <w:szCs w:val="18"/>
                <w:b w:val="1"/>
                <w:bCs w:val="1"/>
                <w:color w:val="auto"/>
              </w:rPr>
              <w:t>Partnership's profit</w:t>
            </w:r>
          </w:p>
        </w:tc>
        <w:tc>
          <w:tcPr>
            <w:tcW w:w="220" w:type="dxa"/>
            <w:vAlign w:val="bottom"/>
          </w:tcPr>
          <w:p>
            <w:pPr>
              <w:spacing w:after="0"/>
              <w:rPr>
                <w:sz w:val="17"/>
                <w:szCs w:val="17"/>
                <w:color w:val="auto"/>
              </w:rPr>
            </w:pPr>
          </w:p>
        </w:tc>
        <w:tc>
          <w:tcPr>
            <w:tcW w:w="160" w:type="dxa"/>
            <w:vAlign w:val="bottom"/>
          </w:tcPr>
          <w:p>
            <w:pPr>
              <w:spacing w:after="0" w:line="197" w:lineRule="exact"/>
              <w:rPr>
                <w:sz w:val="20"/>
                <w:szCs w:val="20"/>
                <w:color w:val="auto"/>
              </w:rPr>
            </w:pPr>
            <w:r>
              <w:rPr>
                <w:rFonts w:ascii="Arial" w:cs="Arial" w:eastAsia="Arial" w:hAnsi="Arial"/>
                <w:sz w:val="18"/>
                <w:szCs w:val="18"/>
                <w:b w:val="1"/>
                <w:bCs w:val="1"/>
                <w:u w:val="single" w:color="auto"/>
                <w:color w:val="auto"/>
              </w:rPr>
              <w:t>$</w:t>
            </w:r>
          </w:p>
        </w:tc>
        <w:tc>
          <w:tcPr>
            <w:tcW w:w="720" w:type="dxa"/>
            <w:vAlign w:val="bottom"/>
            <w:gridSpan w:val="3"/>
          </w:tcPr>
          <w:p>
            <w:pPr>
              <w:jc w:val="right"/>
              <w:ind w:right="63"/>
              <w:spacing w:after="0" w:line="197" w:lineRule="exact"/>
              <w:rPr>
                <w:sz w:val="20"/>
                <w:szCs w:val="20"/>
                <w:color w:val="auto"/>
              </w:rPr>
            </w:pPr>
            <w:r>
              <w:rPr>
                <w:rFonts w:ascii="Arial" w:cs="Arial" w:eastAsia="Arial" w:hAnsi="Arial"/>
                <w:sz w:val="18"/>
                <w:szCs w:val="18"/>
                <w:b w:val="1"/>
                <w:bCs w:val="1"/>
                <w:u w:val="single" w:color="auto"/>
                <w:color w:val="auto"/>
              </w:rPr>
              <w:t>77,270</w:t>
            </w:r>
          </w:p>
        </w:tc>
        <w:tc>
          <w:tcPr>
            <w:tcW w:w="180" w:type="dxa"/>
            <w:vAlign w:val="bottom"/>
            <w:gridSpan w:val="2"/>
          </w:tcPr>
          <w:p>
            <w:pPr>
              <w:ind w:left="80"/>
              <w:spacing w:after="0" w:line="197" w:lineRule="exact"/>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gridSpan w:val="4"/>
          </w:tcPr>
          <w:p>
            <w:pPr>
              <w:jc w:val="right"/>
              <w:spacing w:after="0" w:line="197" w:lineRule="exact"/>
              <w:rPr>
                <w:sz w:val="20"/>
                <w:szCs w:val="20"/>
                <w:color w:val="auto"/>
              </w:rPr>
            </w:pPr>
            <w:r>
              <w:rPr>
                <w:rFonts w:ascii="Arial" w:cs="Arial" w:eastAsia="Arial" w:hAnsi="Arial"/>
                <w:sz w:val="18"/>
                <w:szCs w:val="18"/>
                <w:b w:val="1"/>
                <w:bCs w:val="1"/>
                <w:u w:val="single" w:color="auto"/>
                <w:color w:val="auto"/>
              </w:rPr>
              <w:t>94,117</w:t>
            </w:r>
          </w:p>
        </w:tc>
        <w:tc>
          <w:tcPr>
            <w:tcW w:w="220" w:type="dxa"/>
            <w:vAlign w:val="bottom"/>
            <w:gridSpan w:val="2"/>
          </w:tcPr>
          <w:p>
            <w:pPr>
              <w:ind w:left="140"/>
              <w:spacing w:after="0"/>
              <w:rPr>
                <w:sz w:val="20"/>
                <w:szCs w:val="20"/>
                <w:color w:val="auto"/>
              </w:rPr>
            </w:pPr>
            <w:r>
              <w:rPr>
                <w:rFonts w:ascii="Arial" w:cs="Arial" w:eastAsia="Arial" w:hAnsi="Arial"/>
                <w:sz w:val="15"/>
                <w:szCs w:val="15"/>
                <w:b w:val="1"/>
                <w:bCs w:val="1"/>
                <w:u w:val="single" w:color="auto"/>
                <w:color w:val="auto"/>
                <w:w w:val="71"/>
              </w:rPr>
              <w:t>$</w:t>
            </w:r>
          </w:p>
        </w:tc>
        <w:tc>
          <w:tcPr>
            <w:tcW w:w="120" w:type="dxa"/>
            <w:vAlign w:val="bottom"/>
          </w:tcPr>
          <w:p>
            <w:pPr>
              <w:spacing w:after="0"/>
              <w:rPr>
                <w:sz w:val="17"/>
                <w:szCs w:val="17"/>
                <w:color w:val="auto"/>
              </w:rPr>
            </w:pPr>
          </w:p>
        </w:tc>
        <w:tc>
          <w:tcPr>
            <w:tcW w:w="740" w:type="dxa"/>
            <w:vAlign w:val="bottom"/>
            <w:gridSpan w:val="3"/>
          </w:tcPr>
          <w:p>
            <w:pPr>
              <w:jc w:val="right"/>
              <w:ind w:right="160"/>
              <w:spacing w:after="0" w:line="197" w:lineRule="exact"/>
              <w:rPr>
                <w:sz w:val="20"/>
                <w:szCs w:val="20"/>
                <w:color w:val="auto"/>
              </w:rPr>
            </w:pPr>
            <w:r>
              <w:rPr>
                <w:rFonts w:ascii="Arial" w:cs="Arial" w:eastAsia="Arial" w:hAnsi="Arial"/>
                <w:sz w:val="18"/>
                <w:szCs w:val="18"/>
                <w:b w:val="1"/>
                <w:bCs w:val="1"/>
                <w:u w:val="single" w:color="auto"/>
                <w:color w:val="auto"/>
                <w:w w:val="86"/>
              </w:rPr>
              <w:t>102,597</w:t>
            </w:r>
          </w:p>
        </w:tc>
        <w:tc>
          <w:tcPr>
            <w:tcW w:w="0" w:type="dxa"/>
            <w:vAlign w:val="bottom"/>
          </w:tcPr>
          <w:p>
            <w:pPr>
              <w:spacing w:after="0"/>
              <w:rPr>
                <w:sz w:val="1"/>
                <w:szCs w:val="1"/>
                <w:color w:val="auto"/>
              </w:rPr>
            </w:pPr>
          </w:p>
        </w:tc>
      </w:tr>
      <w:tr>
        <w:trPr>
          <w:trHeight w:val="33"/>
        </w:trPr>
        <w:tc>
          <w:tcPr>
            <w:tcW w:w="120" w:type="dxa"/>
            <w:vAlign w:val="bottom"/>
          </w:tcPr>
          <w:p>
            <w:pPr>
              <w:ind w:left="20"/>
              <w:spacing w:after="0" w:line="34" w:lineRule="exact"/>
              <w:rPr>
                <w:sz w:val="20"/>
                <w:szCs w:val="20"/>
                <w:color w:val="auto"/>
              </w:rPr>
            </w:pPr>
            <w:r>
              <w:rPr>
                <w:rFonts w:ascii="Arial" w:cs="Arial" w:eastAsia="Arial" w:hAnsi="Arial"/>
                <w:sz w:val="3"/>
                <w:szCs w:val="3"/>
                <w:color w:val="auto"/>
              </w:rPr>
              <w:t>â€‹</w:t>
            </w:r>
          </w:p>
        </w:tc>
        <w:tc>
          <w:tcPr>
            <w:tcW w:w="2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ind w:left="60"/>
              <w:spacing w:after="0" w:line="34"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720" w:type="dxa"/>
            <w:vAlign w:val="bottom"/>
            <w:gridSpan w:val="3"/>
          </w:tcPr>
          <w:p>
            <w:pPr>
              <w:jc w:val="right"/>
              <w:ind w:right="23"/>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60" w:type="dxa"/>
            <w:vAlign w:val="bottom"/>
          </w:tcPr>
          <w:p>
            <w:pPr>
              <w:spacing w:after="0"/>
              <w:rPr>
                <w:sz w:val="2"/>
                <w:szCs w:val="2"/>
                <w:color w:val="auto"/>
              </w:rPr>
            </w:pPr>
          </w:p>
        </w:tc>
        <w:tc>
          <w:tcPr>
            <w:tcW w:w="120" w:type="dxa"/>
            <w:vAlign w:val="bottom"/>
          </w:tcPr>
          <w:p>
            <w:pPr>
              <w:ind w:left="20"/>
              <w:spacing w:after="0" w:line="27" w:lineRule="exact"/>
              <w:rPr>
                <w:sz w:val="20"/>
                <w:szCs w:val="20"/>
                <w:color w:val="auto"/>
              </w:rPr>
            </w:pPr>
            <w:r>
              <w:rPr>
                <w:rFonts w:ascii="Arial" w:cs="Arial" w:eastAsia="Arial" w:hAnsi="Arial"/>
                <w:sz w:val="3"/>
                <w:szCs w:val="3"/>
                <w:color w:val="auto"/>
              </w:rPr>
              <w:t>â€‹</w:t>
            </w: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gridSpan w:val="2"/>
          </w:tcPr>
          <w:p>
            <w:pPr>
              <w:jc w:val="right"/>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20" w:type="dxa"/>
            <w:vAlign w:val="bottom"/>
          </w:tcPr>
          <w:p>
            <w:pPr>
              <w:spacing w:after="0"/>
              <w:rPr>
                <w:sz w:val="2"/>
                <w:szCs w:val="2"/>
                <w:color w:val="auto"/>
              </w:rPr>
            </w:pPr>
          </w:p>
        </w:tc>
        <w:tc>
          <w:tcPr>
            <w:tcW w:w="220" w:type="dxa"/>
            <w:vAlign w:val="bottom"/>
            <w:gridSpan w:val="2"/>
          </w:tcPr>
          <w:p>
            <w:pPr>
              <w:ind w:left="20"/>
              <w:spacing w:after="0" w:line="27" w:lineRule="exact"/>
              <w:rPr>
                <w:sz w:val="20"/>
                <w:szCs w:val="20"/>
                <w:color w:val="auto"/>
              </w:rPr>
            </w:pPr>
            <w:r>
              <w:rPr>
                <w:rFonts w:ascii="Arial" w:cs="Arial" w:eastAsia="Arial" w:hAnsi="Arial"/>
                <w:sz w:val="3"/>
                <w:szCs w:val="3"/>
                <w:color w:val="auto"/>
              </w:rPr>
              <w:t>â€‹</w:t>
            </w:r>
          </w:p>
        </w:tc>
        <w:tc>
          <w:tcPr>
            <w:tcW w:w="40" w:type="dxa"/>
            <w:vAlign w:val="bottom"/>
          </w:tcPr>
          <w:p>
            <w:pPr>
              <w:spacing w:after="0"/>
              <w:rPr>
                <w:sz w:val="2"/>
                <w:szCs w:val="2"/>
                <w:color w:val="auto"/>
              </w:rPr>
            </w:pPr>
          </w:p>
        </w:tc>
        <w:tc>
          <w:tcPr>
            <w:tcW w:w="700" w:type="dxa"/>
            <w:vAlign w:val="bottom"/>
            <w:gridSpan w:val="2"/>
          </w:tcPr>
          <w:p>
            <w:pPr>
              <w:jc w:val="right"/>
              <w:ind w:right="12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0" w:type="dxa"/>
            <w:vAlign w:val="bottom"/>
          </w:tcPr>
          <w:p>
            <w:pPr>
              <w:spacing w:after="0" w:line="20" w:lineRule="exact"/>
              <w:rPr>
                <w:sz w:val="1"/>
                <w:szCs w:val="1"/>
                <w:color w:val="auto"/>
              </w:rPr>
            </w:pPr>
          </w:p>
        </w:tc>
      </w:tr>
      <w:tr>
        <w:trPr>
          <w:trHeight w:val="28"/>
        </w:trPr>
        <w:tc>
          <w:tcPr>
            <w:tcW w:w="120" w:type="dxa"/>
            <w:vAlign w:val="bottom"/>
            <w:vMerge w:val="restart"/>
          </w:tcPr>
          <w:p>
            <w:pPr>
              <w:ind w:left="20"/>
              <w:spacing w:after="0"/>
              <w:rPr>
                <w:sz w:val="20"/>
                <w:szCs w:val="20"/>
                <w:color w:val="auto"/>
              </w:rPr>
            </w:pPr>
            <w:r>
              <w:rPr>
                <w:rFonts w:ascii="Arial" w:cs="Arial" w:eastAsia="Arial" w:hAnsi="Arial"/>
                <w:sz w:val="3"/>
                <w:szCs w:val="3"/>
                <w:color w:val="auto"/>
              </w:rPr>
              <w:t>â€‹</w:t>
            </w:r>
          </w:p>
        </w:tc>
        <w:tc>
          <w:tcPr>
            <w:tcW w:w="2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vMerge w:val="restart"/>
          </w:tcPr>
          <w:p>
            <w:pPr>
              <w:ind w:left="60"/>
              <w:spacing w:after="0"/>
              <w:rPr>
                <w:sz w:val="20"/>
                <w:szCs w:val="20"/>
                <w:color w:val="auto"/>
              </w:rPr>
            </w:pPr>
            <w:r>
              <w:rPr>
                <w:rFonts w:ascii="Arial" w:cs="Arial" w:eastAsia="Arial" w:hAnsi="Arial"/>
                <w:sz w:val="3"/>
                <w:szCs w:val="3"/>
                <w:color w:val="auto"/>
              </w:rPr>
              <w:t>â€‹</w:t>
            </w:r>
          </w:p>
        </w:tc>
        <w:tc>
          <w:tcPr>
            <w:tcW w:w="160" w:type="dxa"/>
            <w:vAlign w:val="bottom"/>
          </w:tcPr>
          <w:p>
            <w:pPr>
              <w:spacing w:after="0" w:line="28" w:lineRule="exact"/>
              <w:rPr>
                <w:sz w:val="20"/>
                <w:szCs w:val="20"/>
                <w:color w:val="auto"/>
              </w:rPr>
            </w:pPr>
            <w:r>
              <w:rPr>
                <w:rFonts w:ascii="Arial" w:cs="Arial" w:eastAsia="Arial" w:hAnsi="Arial"/>
                <w:sz w:val="3"/>
                <w:szCs w:val="3"/>
                <w:color w:val="auto"/>
              </w:rPr>
              <w:t>â€‹</w:t>
            </w:r>
          </w:p>
        </w:tc>
        <w:tc>
          <w:tcPr>
            <w:tcW w:w="720" w:type="dxa"/>
            <w:vAlign w:val="bottom"/>
            <w:gridSpan w:val="3"/>
            <w:vMerge w:val="restart"/>
          </w:tcPr>
          <w:p>
            <w:pPr>
              <w:jc w:val="right"/>
              <w:ind w:right="23"/>
              <w:spacing w:after="0"/>
              <w:rPr>
                <w:sz w:val="20"/>
                <w:szCs w:val="20"/>
                <w:color w:val="auto"/>
              </w:rPr>
            </w:pPr>
            <w:r>
              <w:rPr>
                <w:rFonts w:ascii="Arial" w:cs="Arial" w:eastAsia="Arial" w:hAnsi="Arial"/>
                <w:sz w:val="5"/>
                <w:szCs w:val="5"/>
                <w:color w:val="auto"/>
                <w:vertAlign w:val="superscript"/>
              </w:rPr>
              <w:t>â€‹</w:t>
            </w:r>
            <w:r>
              <w:rPr>
                <w:rFonts w:ascii="Arial" w:cs="Arial" w:eastAsia="Arial" w:hAnsi="Arial"/>
                <w:sz w:val="3"/>
                <w:szCs w:val="3"/>
                <w:color w:val="auto"/>
              </w:rPr>
              <w:t>â€‹</w:t>
            </w:r>
          </w:p>
        </w:tc>
        <w:tc>
          <w:tcPr>
            <w:tcW w:w="60" w:type="dxa"/>
            <w:vAlign w:val="bottom"/>
          </w:tcPr>
          <w:p>
            <w:pPr>
              <w:spacing w:after="0"/>
              <w:rPr>
                <w:sz w:val="2"/>
                <w:szCs w:val="2"/>
                <w:color w:val="auto"/>
              </w:rPr>
            </w:pPr>
          </w:p>
        </w:tc>
        <w:tc>
          <w:tcPr>
            <w:tcW w:w="120" w:type="dxa"/>
            <w:vAlign w:val="bottom"/>
          </w:tcPr>
          <w:p>
            <w:pPr>
              <w:ind w:left="20"/>
              <w:spacing w:after="0" w:line="28" w:lineRule="exact"/>
              <w:rPr>
                <w:sz w:val="20"/>
                <w:szCs w:val="20"/>
                <w:color w:val="auto"/>
              </w:rPr>
            </w:pPr>
            <w:r>
              <w:rPr>
                <w:rFonts w:ascii="Arial" w:cs="Arial" w:eastAsia="Arial" w:hAnsi="Arial"/>
                <w:sz w:val="3"/>
                <w:szCs w:val="3"/>
                <w:color w:val="auto"/>
              </w:rPr>
              <w:t>â€‹</w:t>
            </w: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5"/>
                <w:szCs w:val="5"/>
                <w:color w:val="auto"/>
                <w:vertAlign w:val="superscript"/>
              </w:rPr>
              <w:t>â€‹</w:t>
            </w:r>
            <w:r>
              <w:rPr>
                <w:rFonts w:ascii="Arial" w:cs="Arial" w:eastAsia="Arial" w:hAnsi="Arial"/>
                <w:sz w:val="3"/>
                <w:szCs w:val="3"/>
                <w:color w:val="auto"/>
              </w:rPr>
              <w:t>â€‹</w:t>
            </w:r>
          </w:p>
        </w:tc>
        <w:tc>
          <w:tcPr>
            <w:tcW w:w="120" w:type="dxa"/>
            <w:vAlign w:val="bottom"/>
          </w:tcPr>
          <w:p>
            <w:pPr>
              <w:spacing w:after="0"/>
              <w:rPr>
                <w:sz w:val="2"/>
                <w:szCs w:val="2"/>
                <w:color w:val="auto"/>
              </w:rPr>
            </w:pPr>
          </w:p>
        </w:tc>
        <w:tc>
          <w:tcPr>
            <w:tcW w:w="220" w:type="dxa"/>
            <w:vAlign w:val="bottom"/>
            <w:gridSpan w:val="2"/>
          </w:tcPr>
          <w:p>
            <w:pPr>
              <w:ind w:left="20"/>
              <w:spacing w:after="0" w:line="28" w:lineRule="exact"/>
              <w:rPr>
                <w:sz w:val="20"/>
                <w:szCs w:val="20"/>
                <w:color w:val="auto"/>
              </w:rPr>
            </w:pPr>
            <w:r>
              <w:rPr>
                <w:rFonts w:ascii="Arial" w:cs="Arial" w:eastAsia="Arial" w:hAnsi="Arial"/>
                <w:sz w:val="3"/>
                <w:szCs w:val="3"/>
                <w:color w:val="auto"/>
              </w:rPr>
              <w:t>â€‹</w:t>
            </w:r>
          </w:p>
        </w:tc>
        <w:tc>
          <w:tcPr>
            <w:tcW w:w="40" w:type="dxa"/>
            <w:vAlign w:val="bottom"/>
          </w:tcPr>
          <w:p>
            <w:pPr>
              <w:spacing w:after="0"/>
              <w:rPr>
                <w:sz w:val="2"/>
                <w:szCs w:val="2"/>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5"/>
                <w:szCs w:val="5"/>
                <w:color w:val="auto"/>
                <w:vertAlign w:val="superscript"/>
              </w:rPr>
              <w:t>â€‹</w:t>
            </w:r>
            <w:r>
              <w:rPr>
                <w:rFonts w:ascii="Arial" w:cs="Arial" w:eastAsia="Arial" w:hAnsi="Arial"/>
                <w:sz w:val="3"/>
                <w:szCs w:val="3"/>
                <w:color w:val="auto"/>
              </w:rPr>
              <w:t>â€‹</w:t>
            </w:r>
          </w:p>
        </w:tc>
        <w:tc>
          <w:tcPr>
            <w:tcW w:w="0" w:type="dxa"/>
            <w:vAlign w:val="bottom"/>
          </w:tcPr>
          <w:p>
            <w:pPr>
              <w:spacing w:after="0" w:line="20" w:lineRule="exact"/>
              <w:rPr>
                <w:sz w:val="1"/>
                <w:szCs w:val="1"/>
                <w:color w:val="auto"/>
              </w:rPr>
            </w:pPr>
          </w:p>
        </w:tc>
      </w:tr>
      <w:tr>
        <w:trPr>
          <w:trHeight w:val="49"/>
        </w:trPr>
        <w:tc>
          <w:tcPr>
            <w:tcW w:w="120" w:type="dxa"/>
            <w:vAlign w:val="bottom"/>
            <w:vMerge w:val="continue"/>
          </w:tcPr>
          <w:p>
            <w:pPr>
              <w:spacing w:after="0"/>
              <w:rPr>
                <w:sz w:val="4"/>
                <w:szCs w:val="4"/>
                <w:color w:val="auto"/>
              </w:rPr>
            </w:pPr>
          </w:p>
        </w:tc>
        <w:tc>
          <w:tcPr>
            <w:tcW w:w="222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4"/>
        </w:trPr>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gridSpan w:val="11"/>
          </w:tcPr>
          <w:p>
            <w:pPr>
              <w:jc w:val="right"/>
              <w:ind w:right="360"/>
              <w:spacing w:after="0"/>
              <w:rPr>
                <w:sz w:val="20"/>
                <w:szCs w:val="20"/>
                <w:color w:val="auto"/>
              </w:rPr>
            </w:pPr>
            <w:r>
              <w:rPr>
                <w:rFonts w:ascii="Arial" w:cs="Arial" w:eastAsia="Arial" w:hAnsi="Arial"/>
                <w:sz w:val="13"/>
                <w:szCs w:val="13"/>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3"/>
          </w:tcPr>
          <w:p>
            <w:pPr>
              <w:jc w:val="right"/>
              <w:ind w:right="34"/>
              <w:spacing w:after="0" w:line="142" w:lineRule="exact"/>
              <w:rPr>
                <w:sz w:val="20"/>
                <w:szCs w:val="20"/>
                <w:color w:val="auto"/>
              </w:rPr>
            </w:pPr>
            <w:r>
              <w:rPr>
                <w:rFonts w:ascii="Arial" w:cs="Arial" w:eastAsia="Arial" w:hAnsi="Arial"/>
                <w:sz w:val="13"/>
                <w:szCs w:val="13"/>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09"/>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PARTNERSHIP PERFORMANCE FLEET DATA*:</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700" w:type="dxa"/>
            <w:vAlign w:val="bottom"/>
            <w:gridSpan w:val="2"/>
          </w:tcPr>
          <w:p>
            <w:pPr>
              <w:ind w:left="80"/>
              <w:spacing w:after="0"/>
              <w:rPr>
                <w:sz w:val="20"/>
                <w:szCs w:val="20"/>
                <w:color w:val="auto"/>
              </w:rPr>
            </w:pPr>
            <w:r>
              <w:rPr>
                <w:rFonts w:ascii="Arial" w:cs="Arial" w:eastAsia="Arial" w:hAnsi="Arial"/>
                <w:sz w:val="18"/>
                <w:szCs w:val="18"/>
                <w:color w:val="auto"/>
              </w:rPr>
              <w:t>Number of LNG carriers at end of period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Average number of LNG carriers during period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8.2</w:t>
            </w:r>
          </w:p>
        </w:tc>
        <w:tc>
          <w:tcPr>
            <w:tcW w:w="6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700" w:type="dxa"/>
            <w:vAlign w:val="bottom"/>
            <w:gridSpan w:val="2"/>
          </w:tcPr>
          <w:p>
            <w:pPr>
              <w:ind w:left="80"/>
              <w:spacing w:after="0"/>
              <w:rPr>
                <w:sz w:val="20"/>
                <w:szCs w:val="20"/>
                <w:color w:val="auto"/>
              </w:rPr>
            </w:pPr>
            <w:r>
              <w:rPr>
                <w:rFonts w:ascii="Arial" w:cs="Arial" w:eastAsia="Arial" w:hAnsi="Arial"/>
                <w:sz w:val="18"/>
                <w:szCs w:val="18"/>
                <w:color w:val="auto"/>
              </w:rPr>
              <w:t>Average age of LNG carriers (years)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7.2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6.7</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Total calendar days of fleet for the period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8"/>
              </w:rPr>
              <w:t>2,989</w:t>
            </w:r>
          </w:p>
        </w:tc>
        <w:tc>
          <w:tcPr>
            <w:tcW w:w="6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3,783</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5700" w:type="dxa"/>
            <w:vAlign w:val="bottom"/>
            <w:gridSpan w:val="2"/>
          </w:tcPr>
          <w:p>
            <w:pPr>
              <w:ind w:left="80"/>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29"/>
                <w:szCs w:val="29"/>
                <w:color w:val="auto"/>
                <w:vertAlign w:val="superscript"/>
              </w:rPr>
              <w:t>(4)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8"/>
                <w:szCs w:val="18"/>
                <w:color w:val="auto"/>
                <w:w w:val="88"/>
              </w:rPr>
              <w:t>2,944</w:t>
            </w:r>
          </w:p>
        </w:tc>
        <w:tc>
          <w:tcPr>
            <w:tcW w:w="640" w:type="dxa"/>
            <w:vAlign w:val="bottom"/>
            <w:gridSpan w:val="5"/>
          </w:tcPr>
          <w:p>
            <w:pPr>
              <w:jc w:val="right"/>
              <w:ind w:right="100"/>
              <w:spacing w:after="0"/>
              <w:rPr>
                <w:sz w:val="20"/>
                <w:szCs w:val="20"/>
                <w:color w:val="auto"/>
              </w:rPr>
            </w:pPr>
            <w:r>
              <w:rPr>
                <w:rFonts w:ascii="Arial" w:cs="Arial" w:eastAsia="Arial" w:hAnsi="Arial"/>
                <w:sz w:val="18"/>
                <w:szCs w:val="18"/>
                <w:color w:val="auto"/>
              </w:rPr>
              <w:t>3,764</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900" w:hanging="549"/>
        <w:spacing w:after="0"/>
        <w:tabs>
          <w:tab w:leader="none" w:pos="19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Partnership Performance Fleet Data above is calculated consistent with our Partnership Performance Results.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80" w:type="dxa"/>
            <w:vAlign w:val="bottom"/>
            <w:tcBorders>
              <w:bottom w:val="single" w:sz="8" w:color="auto"/>
            </w:tcBorders>
          </w:tcPr>
          <w:p>
            <w:pPr>
              <w:jc w:val="right"/>
              <w:ind w:right="161"/>
              <w:spacing w:after="0" w:line="142" w:lineRule="exact"/>
              <w:rPr>
                <w:sz w:val="20"/>
                <w:szCs w:val="20"/>
                <w:color w:val="auto"/>
              </w:rPr>
            </w:pPr>
            <w:r>
              <w:rPr>
                <w:rFonts w:ascii="Arial" w:cs="Arial" w:eastAsia="Arial" w:hAnsi="Arial"/>
                <w:sz w:val="13"/>
                <w:szCs w:val="13"/>
                <w:b w:val="1"/>
                <w:bCs w:val="1"/>
                <w:color w:val="auto"/>
              </w:rPr>
              <w:t>2016</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142"/>
        </w:trPr>
        <w:tc>
          <w:tcPr>
            <w:tcW w:w="23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(in</w:t>
            </w:r>
          </w:p>
        </w:tc>
        <w:tc>
          <w:tcPr>
            <w:tcW w:w="10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86"/>
              </w:rPr>
              <w:t>thousands of U.S.</w:t>
            </w:r>
          </w:p>
        </w:tc>
        <w:tc>
          <w:tcPr>
            <w:tcW w:w="1160" w:type="dxa"/>
            <w:vAlign w:val="bottom"/>
            <w:gridSpan w:val="4"/>
          </w:tcPr>
          <w:p>
            <w:pPr>
              <w:spacing w:after="0" w:line="142" w:lineRule="exact"/>
              <w:rPr>
                <w:sz w:val="20"/>
                <w:szCs w:val="20"/>
                <w:color w:val="auto"/>
              </w:rPr>
            </w:pPr>
            <w:r>
              <w:rPr>
                <w:rFonts w:ascii="Arial" w:cs="Arial" w:eastAsia="Arial" w:hAnsi="Arial"/>
                <w:sz w:val="13"/>
                <w:szCs w:val="13"/>
                <w:b w:val="1"/>
                <w:bCs w:val="1"/>
                <w:color w:val="auto"/>
              </w:rPr>
              <w:t>dollars)</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PARTNERSHIP PERFORMANCE FINANCIAL DATA:</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6"/>
        </w:trPr>
        <w:tc>
          <w:tcPr>
            <w:tcW w:w="594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(5)</w:t>
            </w:r>
          </w:p>
        </w:tc>
        <w:tc>
          <w:tcPr>
            <w:tcW w:w="980" w:type="dxa"/>
            <w:vAlign w:val="bottom"/>
            <w:gridSpan w:val="2"/>
          </w:tcPr>
          <w:p>
            <w:pPr>
              <w:jc w:val="right"/>
              <w:ind w:right="113"/>
              <w:spacing w:after="0"/>
              <w:rPr>
                <w:sz w:val="20"/>
                <w:szCs w:val="20"/>
                <w:color w:val="auto"/>
              </w:rPr>
            </w:pPr>
            <w:r>
              <w:rPr>
                <w:rFonts w:ascii="Arial" w:cs="Arial" w:eastAsia="Arial" w:hAnsi="Arial"/>
                <w:sz w:val="18"/>
                <w:szCs w:val="18"/>
                <w:color w:val="auto"/>
                <w:w w:val="91"/>
              </w:rPr>
              <w:t>$  148,885</w:t>
            </w:r>
          </w:p>
        </w:tc>
        <w:tc>
          <w:tcPr>
            <w:tcW w:w="1000" w:type="dxa"/>
            <w:vAlign w:val="bottom"/>
            <w:gridSpan w:val="2"/>
          </w:tcPr>
          <w:p>
            <w:pPr>
              <w:jc w:val="right"/>
              <w:ind w:right="133"/>
              <w:spacing w:after="0"/>
              <w:rPr>
                <w:sz w:val="20"/>
                <w:szCs w:val="20"/>
                <w:color w:val="auto"/>
              </w:rPr>
            </w:pPr>
            <w:r>
              <w:rPr>
                <w:rFonts w:ascii="Arial" w:cs="Arial" w:eastAsia="Arial" w:hAnsi="Arial"/>
                <w:sz w:val="18"/>
                <w:szCs w:val="18"/>
                <w:color w:val="auto"/>
                <w:w w:val="91"/>
              </w:rPr>
              <w:t>$  196,133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233,656</w:t>
            </w:r>
          </w:p>
        </w:tc>
      </w:tr>
      <w:tr>
        <w:trPr>
          <w:trHeight w:val="257"/>
        </w:trPr>
        <w:tc>
          <w:tcPr>
            <w:tcW w:w="594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(5)</w:t>
            </w:r>
          </w:p>
        </w:tc>
        <w:tc>
          <w:tcPr>
            <w:tcW w:w="98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83,660</w:t>
            </w:r>
          </w:p>
        </w:tc>
        <w:tc>
          <w:tcPr>
            <w:tcW w:w="100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100,551</w:t>
            </w:r>
          </w:p>
        </w:tc>
        <w:tc>
          <w:tcPr>
            <w:tcW w:w="2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108,945</w:t>
            </w:r>
          </w:p>
        </w:tc>
      </w:tr>
      <w:tr>
        <w:trPr>
          <w:trHeight w:val="216"/>
        </w:trPr>
        <w:tc>
          <w:tcPr>
            <w:tcW w:w="5940" w:type="dxa"/>
            <w:vAlign w:val="bottom"/>
            <w:gridSpan w:val="2"/>
          </w:tcPr>
          <w:p>
            <w:pPr>
              <w:ind w:left="200"/>
              <w:spacing w:after="0"/>
              <w:rPr>
                <w:sz w:val="20"/>
                <w:szCs w:val="20"/>
                <w:color w:val="auto"/>
              </w:rPr>
            </w:pPr>
            <w:r>
              <w:rPr>
                <w:rFonts w:ascii="Arial" w:cs="Arial" w:eastAsia="Arial" w:hAnsi="Arial"/>
                <w:sz w:val="18"/>
                <w:szCs w:val="18"/>
                <w:color w:val="auto"/>
              </w:rPr>
              <w:t>Cash distributions declared and paid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65,577</w:t>
            </w:r>
            <w:r>
              <w:rPr>
                <w:rFonts w:ascii="Arial" w:cs="Arial" w:eastAsia="Arial" w:hAnsi="Arial"/>
                <w:sz w:val="14"/>
                <w:szCs w:val="14"/>
                <w:color w:val="auto"/>
              </w:rPr>
              <w:t>(6)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(8)</w:t>
            </w: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97,105</w:t>
            </w:r>
          </w:p>
        </w:tc>
      </w:tr>
      <w:tr>
        <w:trPr>
          <w:trHeight w:val="216"/>
        </w:trPr>
        <w:tc>
          <w:tcPr>
            <w:tcW w:w="5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Preference Unit distributions declared and paid</w:t>
            </w:r>
          </w:p>
        </w:tc>
        <w:tc>
          <w:tcPr>
            <w:tcW w:w="98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â€”</w:t>
            </w:r>
          </w:p>
        </w:tc>
        <w:tc>
          <w:tcPr>
            <w:tcW w:w="100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7,232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20,989</w:t>
            </w:r>
          </w:p>
        </w:tc>
      </w:tr>
      <w:tr>
        <w:trPr>
          <w:trHeight w:val="108"/>
        </w:trPr>
        <w:tc>
          <w:tcPr>
            <w:tcW w:w="2340" w:type="dxa"/>
            <w:vAlign w:val="bottom"/>
            <w:tcBorders>
              <w:bottom w:val="single" w:sz="8" w:color="auto"/>
            </w:tcBorders>
          </w:tcPr>
          <w:p>
            <w:pPr>
              <w:spacing w:after="0"/>
              <w:rPr>
                <w:sz w:val="9"/>
                <w:szCs w:val="9"/>
                <w:color w:val="auto"/>
              </w:rPr>
            </w:pPr>
          </w:p>
        </w:tc>
        <w:tc>
          <w:tcPr>
            <w:tcW w:w="3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900" w:right="160" w:hanging="549"/>
        <w:spacing w:after="0" w:line="274" w:lineRule="auto"/>
        <w:tabs>
          <w:tab w:leader="none" w:pos="1900" w:val="left"/>
        </w:tabs>
        <w:numPr>
          <w:ilvl w:val="0"/>
          <w:numId w:val="7"/>
        </w:numPr>
        <w:rPr>
          <w:rFonts w:ascii="Arial" w:cs="Arial" w:eastAsia="Arial" w:hAnsi="Arial"/>
          <w:sz w:val="11"/>
          <w:szCs w:val="11"/>
          <w:color w:val="auto"/>
        </w:rPr>
      </w:pPr>
      <w:r>
        <w:rPr>
          <w:rFonts w:ascii="Arial" w:cs="Arial" w:eastAsia="Arial" w:hAnsi="Arial"/>
          <w:sz w:val="13"/>
          <w:szCs w:val="13"/>
          <w:color w:val="auto"/>
        </w:rPr>
        <w:t>Restated so as to reflect the historical financial statements of GAS-fourteen Ltd., acquired on April 26, 2018 and GAS-twenty seven Ltd. acquired on November 14, 2018, respectively, from GasLog.</w:t>
      </w:r>
    </w:p>
    <w:p>
      <w:pPr>
        <w:spacing w:after="0" w:line="90" w:lineRule="exact"/>
        <w:rPr>
          <w:rFonts w:ascii="Arial" w:cs="Arial" w:eastAsia="Arial" w:hAnsi="Arial"/>
          <w:sz w:val="11"/>
          <w:szCs w:val="11"/>
          <w:color w:val="auto"/>
        </w:rPr>
      </w:pPr>
    </w:p>
    <w:p>
      <w:pPr>
        <w:ind w:left="1900" w:hanging="549"/>
        <w:spacing w:after="0" w:line="270" w:lineRule="auto"/>
        <w:tabs>
          <w:tab w:leader="none" w:pos="1900" w:val="left"/>
        </w:tabs>
        <w:numPr>
          <w:ilvl w:val="0"/>
          <w:numId w:val="7"/>
        </w:numPr>
        <w:rPr>
          <w:rFonts w:ascii="Arial" w:cs="Arial" w:eastAsia="Arial" w:hAnsi="Arial"/>
          <w:sz w:val="10"/>
          <w:szCs w:val="10"/>
          <w:color w:val="auto"/>
        </w:rPr>
      </w:pPr>
      <w:r>
        <w:rPr>
          <w:rFonts w:ascii="Arial" w:cs="Arial" w:eastAsia="Arial" w:hAnsi="Arial"/>
          <w:sz w:val="12"/>
          <w:szCs w:val="12"/>
          <w:color w:val="auto"/>
        </w:rPr>
        <w:t>On May 12, 2014, the Partnership completed its IPO and issued 9,822,358 common units, 9,822,358 subordinated units and 400,913 general partner units. On September 29, 2014, the Partnership completed an equity offering of 4,500,000 common units. In connection with the offering, the Partnership issued 91,837 general partner units to its general partner in order for GasLog to retain its 2.0% general partner interest. On June 26, 2015, the Partnership completed an equity offering of 7,500,000 common units. In connection with the offering, the Partnership issued 153,061 general partner units to its general partner in order for GasLog to retain its 2.0% general partner interest. On August 5, 2016, the Partnership completed an equity offering of 2,750,000 common units. In connection with the offering, the Partnership issued 56,122 general partner units to its general partner in order for GasLog to retain its 2.0% general partner interest. On January 27, 2017,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260"/>
          </w:cols>
          <w:pgMar w:left="160" w:top="51" w:right="4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5301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41870" cy="530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00"/>
        <w:spacing w:after="0" w:line="262" w:lineRule="auto"/>
        <w:rPr>
          <w:sz w:val="20"/>
          <w:szCs w:val="20"/>
          <w:color w:val="auto"/>
        </w:rPr>
      </w:pPr>
      <w:r>
        <w:rPr>
          <w:rFonts w:ascii="Arial" w:cs="Arial" w:eastAsia="Arial" w:hAnsi="Arial"/>
          <w:sz w:val="12"/>
          <w:szCs w:val="12"/>
          <w:color w:val="auto"/>
        </w:rPr>
        <w:t>Partnership completed an equity offering of 3,750,000 common units. In addition, the option to purchase additional units was partially exercised by the underwriter on February 24, 2017, resulting in 120,000 additional units being sold at the same price. In connection with the offering, the Partnership issued 78,980 general partner units to its general partner in order for GasLog to retain its 2.0% general partner interest. Earnings per unit is presented for the periods in which the units were outstanding. On May 15, 2017, the Partnership completed an equity offering of 5,750,000 Series A Preference Units. On May 16, 2017 the subordination period expired, and the 9,822,358 subordinated units held by GasLog converted on a one-for-one basis into common units, which participate pro rata with other common units in distributions for available cash. Also, on May 16, 2017, GasLog Partners entered into an Equity Distribution Agreement under which the Partnership may, from time to time, raise equity through the issuance and sale of new common units having an aggregate offering price of up to $100.0 million. On November 3, 2017, the Partnership entered into the Amended and Restated Equity Distribution Agreement to increase the size of the program from $100,000,000 to $144,040,000 (the "ATM Programme"). On July 26, 2018, the Partnership entered into the Second Amended and Restated Equity Distribution Agreement to register its ATM Programme, which had previously been registered under a shelf registration statement that expired in June 2018, under a shelf registration statement declared effective by the SEC on October 10, 2017. Since the commencement of the ATM Programme through December 31, 2018, GasLog Partners has issued and received payment for a total of 5,291,304 common units. In connection with the issuance of common units under the ATM Programme during this period, the Partnership also issued 107,987 general partner units to its general partner in order for GasLog to retain its 2.0% general partner interest. On January 17, 2018, the Partnership completed an equity offering of 4,600,000 Series B Preference Units. On November 15, 2018 the Partnership completed an equity offering of 4,000,000 Series C Preference Units. On February 26, 2019, the Partnership entered into the Third Amended and Restated Equity Distribution Agreement to increase the size of the ATM Programme from $144,040,000 to $250,000,000.</w:t>
      </w:r>
    </w:p>
    <w:p>
      <w:pPr>
        <w:spacing w:after="0" w:line="170" w:lineRule="exact"/>
        <w:rPr>
          <w:sz w:val="20"/>
          <w:szCs w:val="20"/>
          <w:color w:val="auto"/>
        </w:rPr>
      </w:pPr>
    </w:p>
    <w:p>
      <w:pPr>
        <w:ind w:left="1900" w:right="40" w:hanging="549"/>
        <w:spacing w:after="0" w:line="250" w:lineRule="auto"/>
        <w:tabs>
          <w:tab w:leader="none" w:pos="1900" w:val="left"/>
        </w:tabs>
        <w:numPr>
          <w:ilvl w:val="0"/>
          <w:numId w:val="8"/>
        </w:numPr>
        <w:rPr>
          <w:rFonts w:ascii="Arial" w:cs="Arial" w:eastAsia="Arial" w:hAnsi="Arial"/>
          <w:sz w:val="11"/>
          <w:szCs w:val="11"/>
          <w:color w:val="auto"/>
        </w:rPr>
      </w:pPr>
      <w:r>
        <w:rPr>
          <w:rFonts w:ascii="Arial" w:cs="Arial" w:eastAsia="Arial" w:hAnsi="Arial"/>
          <w:sz w:val="13"/>
          <w:szCs w:val="13"/>
          <w:color w:val="auto"/>
        </w:rPr>
        <w:t>Upon the expiration of the subordination period, which occurred on May 16, 2017, the 9,822,358 subordinated units held by GasLog converted on a one-for-one basis into common units which participate pro rata with other common units in distributions of available cash. Consequently, earnings have been allocated to subordinated units and the weighted average number of subordinated units has been calculated only for the applicable period in 2017 during which they were entitled to distributions based on the Partnership Agreement (</w:t>
      </w:r>
      <w:r>
        <w:rPr>
          <w:rFonts w:ascii="Arial" w:cs="Arial" w:eastAsia="Arial" w:hAnsi="Arial"/>
          <w:sz w:val="13"/>
          <w:szCs w:val="13"/>
          <w:i w:val="1"/>
          <w:iCs w:val="1"/>
          <w:color w:val="auto"/>
        </w:rPr>
        <w:t>i.e.</w:t>
      </w:r>
      <w:r>
        <w:rPr>
          <w:rFonts w:ascii="Arial" w:cs="Arial" w:eastAsia="Arial" w:hAnsi="Arial"/>
          <w:sz w:val="13"/>
          <w:szCs w:val="13"/>
          <w:color w:val="auto"/>
        </w:rPr>
        <w:t>, for the three months ended March 31, 2017).</w:t>
      </w:r>
    </w:p>
    <w:p>
      <w:pPr>
        <w:spacing w:after="0" w:line="106" w:lineRule="exact"/>
        <w:rPr>
          <w:rFonts w:ascii="Arial" w:cs="Arial" w:eastAsia="Arial" w:hAnsi="Arial"/>
          <w:sz w:val="11"/>
          <w:szCs w:val="11"/>
          <w:color w:val="auto"/>
        </w:rPr>
      </w:pPr>
    </w:p>
    <w:p>
      <w:pPr>
        <w:ind w:left="1900" w:right="80" w:hanging="549"/>
        <w:spacing w:after="0" w:line="278" w:lineRule="auto"/>
        <w:tabs>
          <w:tab w:leader="none" w:pos="1900" w:val="left"/>
        </w:tabs>
        <w:numPr>
          <w:ilvl w:val="0"/>
          <w:numId w:val="8"/>
        </w:numPr>
        <w:rPr>
          <w:rFonts w:ascii="Arial" w:cs="Arial" w:eastAsia="Arial" w:hAnsi="Arial"/>
          <w:sz w:val="10"/>
          <w:szCs w:val="10"/>
          <w:color w:val="auto"/>
        </w:rPr>
      </w:pPr>
      <w:r>
        <w:rPr>
          <w:rFonts w:ascii="Arial" w:cs="Arial" w:eastAsia="Arial" w:hAnsi="Arial"/>
          <w:sz w:val="12"/>
          <w:szCs w:val="12"/>
          <w:color w:val="auto"/>
        </w:rPr>
        <w:t>The operating days for our fleet are the total number of days in a given period that the vessels were in our possession less the total number of days off-hire not recoverable from the insurers.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87" w:lineRule="exact"/>
        <w:rPr>
          <w:rFonts w:ascii="Arial" w:cs="Arial" w:eastAsia="Arial" w:hAnsi="Arial"/>
          <w:sz w:val="10"/>
          <w:szCs w:val="10"/>
          <w:color w:val="auto"/>
        </w:rPr>
      </w:pPr>
    </w:p>
    <w:p>
      <w:pPr>
        <w:ind w:left="1900" w:hanging="549"/>
        <w:spacing w:after="0"/>
        <w:tabs>
          <w:tab w:leader="none" w:pos="1900" w:val="left"/>
        </w:tabs>
        <w:numPr>
          <w:ilvl w:val="0"/>
          <w:numId w:val="8"/>
        </w:numPr>
        <w:rPr>
          <w:rFonts w:ascii="Arial" w:cs="Arial" w:eastAsia="Arial" w:hAnsi="Arial"/>
          <w:sz w:val="11"/>
          <w:szCs w:val="11"/>
          <w:color w:val="auto"/>
        </w:rPr>
      </w:pPr>
      <w:r>
        <w:rPr>
          <w:rFonts w:ascii="Arial" w:cs="Arial" w:eastAsia="Arial" w:hAnsi="Arial"/>
          <w:sz w:val="13"/>
          <w:szCs w:val="13"/>
          <w:b w:val="1"/>
          <w:bCs w:val="1"/>
          <w:color w:val="auto"/>
        </w:rPr>
        <w:t>Non-GAAP Financial Measures</w:t>
      </w:r>
    </w:p>
    <w:p>
      <w:pPr>
        <w:spacing w:after="0" w:line="203" w:lineRule="exact"/>
        <w:rPr>
          <w:rFonts w:ascii="Arial" w:cs="Arial" w:eastAsia="Arial" w:hAnsi="Arial"/>
          <w:sz w:val="11"/>
          <w:szCs w:val="11"/>
          <w:color w:val="auto"/>
        </w:rPr>
      </w:pPr>
    </w:p>
    <w:p>
      <w:pPr>
        <w:ind w:left="1900" w:right="640"/>
        <w:spacing w:after="0" w:line="274" w:lineRule="auto"/>
        <w:rPr>
          <w:rFonts w:ascii="Arial" w:cs="Arial" w:eastAsia="Arial" w:hAnsi="Arial"/>
          <w:sz w:val="11"/>
          <w:szCs w:val="11"/>
          <w:color w:val="auto"/>
        </w:rPr>
      </w:pPr>
      <w:r>
        <w:rPr>
          <w:rFonts w:ascii="Arial" w:cs="Arial" w:eastAsia="Arial" w:hAnsi="Arial"/>
          <w:sz w:val="13"/>
          <w:szCs w:val="13"/>
          <w:b w:val="1"/>
          <w:bCs w:val="1"/>
          <w:i w:val="1"/>
          <w:iCs w:val="1"/>
          <w:color w:val="auto"/>
        </w:rPr>
        <w:t xml:space="preserve">Partnership Performance Results. </w:t>
      </w:r>
      <w:r>
        <w:rPr>
          <w:rFonts w:ascii="Arial" w:cs="Arial" w:eastAsia="Arial" w:hAnsi="Arial"/>
          <w:sz w:val="13"/>
          <w:szCs w:val="13"/>
          <w:color w:val="auto"/>
        </w:rPr>
        <w:t>As described above, our IFRS Common Control Reported Results are derived from the consolidated financial statements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Partnership.</w:t>
      </w:r>
    </w:p>
    <w:p>
      <w:pPr>
        <w:spacing w:after="0" w:line="144" w:lineRule="exact"/>
        <w:rPr>
          <w:rFonts w:ascii="Arial" w:cs="Arial" w:eastAsia="Arial" w:hAnsi="Arial"/>
          <w:sz w:val="11"/>
          <w:szCs w:val="11"/>
          <w:color w:val="auto"/>
        </w:rPr>
      </w:pPr>
    </w:p>
    <w:p>
      <w:pPr>
        <w:ind w:left="1900"/>
        <w:spacing w:after="0" w:line="263" w:lineRule="auto"/>
        <w:rPr>
          <w:rFonts w:ascii="Arial" w:cs="Arial" w:eastAsia="Arial" w:hAnsi="Arial"/>
          <w:sz w:val="11"/>
          <w:szCs w:val="11"/>
          <w:color w:val="auto"/>
        </w:rPr>
      </w:pPr>
      <w:r>
        <w:rPr>
          <w:rFonts w:ascii="Arial" w:cs="Arial" w:eastAsia="Arial" w:hAnsi="Arial"/>
          <w:sz w:val="12"/>
          <w:szCs w:val="12"/>
          <w:color w:val="auto"/>
        </w:rPr>
        <w:t xml:space="preserve">Our Partnership Performance Results presented below are non-GAAP measures and exclude amounts related to GAS-three Ltd., GAS-four Ltd. and GAS-five Ltd. (the owners of the </w:t>
      </w:r>
      <w:r>
        <w:rPr>
          <w:rFonts w:ascii="Arial" w:cs="Arial" w:eastAsia="Arial" w:hAnsi="Arial"/>
          <w:sz w:val="12"/>
          <w:szCs w:val="12"/>
          <w:i w:val="1"/>
          <w:iCs w:val="1"/>
          <w:color w:val="auto"/>
        </w:rPr>
        <w:t>GasLog Shanghai</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Santiago</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Sydney</w:t>
      </w:r>
      <w:r>
        <w:rPr>
          <w:rFonts w:ascii="Arial" w:cs="Arial" w:eastAsia="Arial" w:hAnsi="Arial"/>
          <w:sz w:val="12"/>
          <w:szCs w:val="12"/>
          <w:color w:val="auto"/>
        </w:rPr>
        <w:t xml:space="preserve">, respectively) for the period prior to the closing of the IPO, GAS-sixteen Ltd. and GAS-seventeen Ltd. (the owners of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respectively) for the period prior to their transfer to the Partnership on September 29, 2014, the amounts related to GAS-nineteen Ltd., GAS-twenty Ltd. and GAS-twenty one Ltd. (the owners of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Shirley Elisabeth</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Heather Sally</w:t>
      </w:r>
      <w:r>
        <w:rPr>
          <w:rFonts w:ascii="Arial" w:cs="Arial" w:eastAsia="Arial" w:hAnsi="Arial"/>
          <w:sz w:val="12"/>
          <w:szCs w:val="12"/>
          <w:color w:val="auto"/>
        </w:rPr>
        <w:t xml:space="preserve">, respectively) for the period prior to their transfer to the Partnership on July 1, 2015, the amounts related to GAS-seven Ltd. (the owner of the </w:t>
      </w:r>
      <w:r>
        <w:rPr>
          <w:rFonts w:ascii="Arial" w:cs="Arial" w:eastAsia="Arial" w:hAnsi="Arial"/>
          <w:sz w:val="12"/>
          <w:szCs w:val="12"/>
          <w:i w:val="1"/>
          <w:iCs w:val="1"/>
          <w:color w:val="auto"/>
        </w:rPr>
        <w:t>GasLog Seattle</w:t>
      </w:r>
      <w:r>
        <w:rPr>
          <w:rFonts w:ascii="Arial" w:cs="Arial" w:eastAsia="Arial" w:hAnsi="Arial"/>
          <w:sz w:val="12"/>
          <w:szCs w:val="12"/>
          <w:color w:val="auto"/>
        </w:rPr>
        <w:t>) for the period prior to its transfer to the Partnership on November 1, 2016, the amounts related to GAS-eleven Ltd. (the owner of the</w:t>
      </w:r>
      <w:r>
        <w:rPr>
          <w:rFonts w:ascii="Arial" w:cs="Arial" w:eastAsia="Arial" w:hAnsi="Arial"/>
          <w:sz w:val="12"/>
          <w:szCs w:val="12"/>
          <w:i w:val="1"/>
          <w:iCs w:val="1"/>
          <w:color w:val="auto"/>
        </w:rPr>
        <w:t xml:space="preserve"> GasLog Greece</w:t>
      </w:r>
      <w:r>
        <w:rPr>
          <w:rFonts w:ascii="Arial" w:cs="Arial" w:eastAsia="Arial" w:hAnsi="Arial"/>
          <w:sz w:val="12"/>
          <w:szCs w:val="12"/>
          <w:color w:val="auto"/>
        </w:rPr>
        <w:t>)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period prior to its transfer to the Partnership on May 3, 2017, the amounts related to GAS-thirteen Ltd. (the owner of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for the period prior to its transfer to the Partnership on July 3, 2017, the amounts related to GAS-eight Ltd. (the owner of the </w:t>
      </w:r>
      <w:r>
        <w:rPr>
          <w:rFonts w:ascii="Arial" w:cs="Arial" w:eastAsia="Arial" w:hAnsi="Arial"/>
          <w:sz w:val="12"/>
          <w:szCs w:val="12"/>
          <w:i w:val="1"/>
          <w:iCs w:val="1"/>
          <w:color w:val="auto"/>
        </w:rPr>
        <w:t>Solaris</w:t>
      </w:r>
      <w:r>
        <w:rPr>
          <w:rFonts w:ascii="Arial" w:cs="Arial" w:eastAsia="Arial" w:hAnsi="Arial"/>
          <w:sz w:val="12"/>
          <w:szCs w:val="12"/>
          <w:color w:val="auto"/>
        </w:rPr>
        <w:t xml:space="preserve">) for the period prior to its transfer to the Partnership on October 20, 2017, the amounts related to GAS-fourteen Ltd. (the owner of the </w:t>
      </w:r>
      <w:r>
        <w:rPr>
          <w:rFonts w:ascii="Arial" w:cs="Arial" w:eastAsia="Arial" w:hAnsi="Arial"/>
          <w:sz w:val="12"/>
          <w:szCs w:val="12"/>
          <w:i w:val="1"/>
          <w:iCs w:val="1"/>
          <w:color w:val="auto"/>
        </w:rPr>
        <w:t>GasLog Gibraltar</w:t>
      </w:r>
      <w:r>
        <w:rPr>
          <w:rFonts w:ascii="Arial" w:cs="Arial" w:eastAsia="Arial" w:hAnsi="Arial"/>
          <w:sz w:val="12"/>
          <w:szCs w:val="12"/>
          <w:color w:val="auto"/>
        </w:rPr>
        <w:t xml:space="preserve">) for the period prior to its transfer to the Partnership on April 26, 2018 and the amounts related to GAS-twenty seven Ltd. (the owner of the </w:t>
      </w:r>
      <w:r>
        <w:rPr>
          <w:rFonts w:ascii="Arial" w:cs="Arial" w:eastAsia="Arial" w:hAnsi="Arial"/>
          <w:sz w:val="12"/>
          <w:szCs w:val="12"/>
          <w:i w:val="1"/>
          <w:iCs w:val="1"/>
          <w:color w:val="auto"/>
        </w:rPr>
        <w:t>Methane Becki Anne</w:t>
      </w:r>
      <w:r>
        <w:rPr>
          <w:rFonts w:ascii="Arial" w:cs="Arial" w:eastAsia="Arial" w:hAnsi="Arial"/>
          <w:sz w:val="12"/>
          <w:szCs w:val="12"/>
          <w:color w:val="auto"/>
        </w:rPr>
        <w:t>) for the period prior to its transfer on November 14, 2018. While such amounts are reflected in the Partnership's reported financial statements because the transfers to the Partnership were accounted for as a reorganization of entities under common control under IFRS, the above mentioned entities were not owned by the Partnership prior to their transfers to the Partnership on the respective dates, and accordingly the Partnership was not entitled to the cash or results generated in the period prior to such transfers.</w:t>
      </w:r>
    </w:p>
    <w:p>
      <w:pPr>
        <w:spacing w:after="0" w:line="153" w:lineRule="exact"/>
        <w:rPr>
          <w:rFonts w:ascii="Arial" w:cs="Arial" w:eastAsia="Arial" w:hAnsi="Arial"/>
          <w:sz w:val="11"/>
          <w:szCs w:val="11"/>
          <w:color w:val="auto"/>
        </w:rPr>
      </w:pPr>
    </w:p>
    <w:p>
      <w:pPr>
        <w:ind w:left="1900" w:right="240"/>
        <w:spacing w:after="0" w:line="250" w:lineRule="auto"/>
        <w:rPr>
          <w:rFonts w:ascii="Arial" w:cs="Arial" w:eastAsia="Arial" w:hAnsi="Arial"/>
          <w:sz w:val="11"/>
          <w:szCs w:val="11"/>
          <w:color w:val="auto"/>
        </w:rPr>
      </w:pPr>
      <w:r>
        <w:rPr>
          <w:rFonts w:ascii="Arial" w:cs="Arial" w:eastAsia="Arial" w:hAnsi="Arial"/>
          <w:sz w:val="13"/>
          <w:szCs w:val="13"/>
          <w:color w:val="auto"/>
        </w:rPr>
        <w:t>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for the equivalent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320"/>
          </w:cols>
          <w:pgMar w:left="160" w:top="51" w:right="4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4204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41870" cy="420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GAAP measures presented in accordance with IFRS, but should be used in conjunction with the most directly comparable IFRS Common Control Reported Results.</w:t>
      </w:r>
    </w:p>
    <w:p>
      <w:pPr>
        <w:spacing w:after="0" w:line="213"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auto"/>
        </w:rPr>
        <w:t>Reconciliation of Partnership Performance Results to IFRS Common Control Reported Results in our Financial Statements:</w:t>
      </w:r>
    </w:p>
    <w:p>
      <w:pPr>
        <w:spacing w:after="0" w:line="214" w:lineRule="exact"/>
        <w:rPr>
          <w:sz w:val="20"/>
          <w:szCs w:val="20"/>
          <w:color w:val="auto"/>
        </w:rPr>
      </w:pPr>
    </w:p>
    <w:tbl>
      <w:tblPr>
        <w:tblLayout w:type="fixed"/>
        <w:tblInd w:w="158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93"/>
              <w:spacing w:after="0"/>
              <w:rPr>
                <w:sz w:val="20"/>
                <w:szCs w:val="20"/>
                <w:color w:val="auto"/>
              </w:rPr>
            </w:pPr>
            <w:r>
              <w:rPr>
                <w:rFonts w:ascii="Arial" w:cs="Arial" w:eastAsia="Arial" w:hAnsi="Arial"/>
                <w:sz w:val="13"/>
                <w:szCs w:val="13"/>
                <w:b w:val="1"/>
                <w:bCs w:val="1"/>
                <w:color w:val="auto"/>
                <w:w w:val="95"/>
              </w:rPr>
              <w:t>Year Ended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center"/>
              <w:ind w:right="113"/>
              <w:spacing w:after="0"/>
              <w:rPr>
                <w:sz w:val="20"/>
                <w:szCs w:val="20"/>
                <w:color w:val="auto"/>
              </w:rPr>
            </w:pPr>
            <w:r>
              <w:rPr>
                <w:rFonts w:ascii="Arial" w:cs="Arial" w:eastAsia="Arial" w:hAnsi="Arial"/>
                <w:sz w:val="13"/>
                <w:szCs w:val="13"/>
                <w:b w:val="1"/>
                <w:bCs w:val="1"/>
                <w:color w:val="auto"/>
                <w:w w:val="95"/>
              </w:rPr>
              <w:t>Year Ended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4"/>
          </w:tcPr>
          <w:p>
            <w:pPr>
              <w:jc w:val="right"/>
              <w:ind w:right="153"/>
              <w:spacing w:after="0"/>
              <w:rPr>
                <w:sz w:val="20"/>
                <w:szCs w:val="20"/>
                <w:color w:val="auto"/>
              </w:rPr>
            </w:pPr>
            <w:r>
              <w:rPr>
                <w:rFonts w:ascii="Arial" w:cs="Arial" w:eastAsia="Arial" w:hAnsi="Arial"/>
                <w:sz w:val="13"/>
                <w:szCs w:val="13"/>
                <w:b w:val="1"/>
                <w:bCs w:val="1"/>
                <w:color w:val="auto"/>
                <w:w w:val="97"/>
              </w:rPr>
              <w:t>Year Ended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jc w:val="center"/>
              <w:ind w:left="447"/>
              <w:spacing w:after="0"/>
              <w:rPr>
                <w:sz w:val="20"/>
                <w:szCs w:val="20"/>
                <w:color w:val="auto"/>
              </w:rPr>
            </w:pPr>
            <w:r>
              <w:rPr>
                <w:rFonts w:ascii="Arial" w:cs="Arial" w:eastAsia="Arial" w:hAnsi="Arial"/>
                <w:sz w:val="13"/>
                <w:szCs w:val="13"/>
                <w:b w:val="1"/>
                <w:bCs w:val="1"/>
                <w:color w:val="auto"/>
                <w:w w:val="93"/>
              </w:rPr>
              <w:t>December 31, 2016</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8"/>
          </w:tcPr>
          <w:p>
            <w:pPr>
              <w:jc w:val="right"/>
              <w:ind w:right="26"/>
              <w:spacing w:after="0"/>
              <w:rPr>
                <w:sz w:val="20"/>
                <w:szCs w:val="20"/>
                <w:color w:val="auto"/>
              </w:rPr>
            </w:pPr>
            <w:r>
              <w:rPr>
                <w:rFonts w:ascii="Arial" w:cs="Arial" w:eastAsia="Arial" w:hAnsi="Arial"/>
                <w:sz w:val="13"/>
                <w:szCs w:val="13"/>
                <w:b w:val="1"/>
                <w:bCs w:val="1"/>
                <w:color w:val="auto"/>
              </w:rPr>
              <w:t>December 31, 2017</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8"/>
          </w:tcPr>
          <w:p>
            <w:pPr>
              <w:ind w:left="540"/>
              <w:spacing w:after="0"/>
              <w:rPr>
                <w:sz w:val="20"/>
                <w:szCs w:val="20"/>
                <w:color w:val="auto"/>
              </w:rPr>
            </w:pPr>
            <w:r>
              <w:rPr>
                <w:rFonts w:ascii="Arial" w:cs="Arial" w:eastAsia="Arial" w:hAnsi="Arial"/>
                <w:sz w:val="13"/>
                <w:szCs w:val="13"/>
                <w:b w:val="1"/>
                <w:bCs w:val="1"/>
                <w:color w:val="auto"/>
                <w:w w:val="99"/>
              </w:rPr>
              <w:t>December 31, 2018</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5"/>
              <w:spacing w:after="0" w:line="129" w:lineRule="exact"/>
              <w:rPr>
                <w:sz w:val="20"/>
                <w:szCs w:val="20"/>
                <w:color w:val="auto"/>
              </w:rPr>
            </w:pPr>
            <w:r>
              <w:rPr>
                <w:rFonts w:ascii="Arial" w:cs="Arial" w:eastAsia="Arial" w:hAnsi="Arial"/>
                <w:sz w:val="13"/>
                <w:szCs w:val="13"/>
                <w:b w:val="1"/>
                <w:bCs w:val="1"/>
                <w:color w:val="auto"/>
              </w:rPr>
              <w:t>IFRS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25"/>
              <w:spacing w:after="0" w:line="129" w:lineRule="exact"/>
              <w:rPr>
                <w:sz w:val="20"/>
                <w:szCs w:val="20"/>
                <w:color w:val="auto"/>
              </w:rPr>
            </w:pPr>
            <w:r>
              <w:rPr>
                <w:rFonts w:ascii="Arial" w:cs="Arial" w:eastAsia="Arial" w:hAnsi="Arial"/>
                <w:sz w:val="13"/>
                <w:szCs w:val="13"/>
                <w:b w:val="1"/>
                <w:bCs w:val="1"/>
                <w:color w:val="auto"/>
              </w:rPr>
              <w:t>IFRS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6"/>
              <w:spacing w:after="0" w:line="129" w:lineRule="exact"/>
              <w:rPr>
                <w:sz w:val="20"/>
                <w:szCs w:val="20"/>
                <w:color w:val="auto"/>
              </w:rPr>
            </w:pPr>
            <w:r>
              <w:rPr>
                <w:rFonts w:ascii="Arial" w:cs="Arial" w:eastAsia="Arial" w:hAnsi="Arial"/>
                <w:sz w:val="13"/>
                <w:szCs w:val="13"/>
                <w:b w:val="1"/>
                <w:bCs w:val="1"/>
                <w:color w:val="auto"/>
              </w:rPr>
              <w:t>IFRS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13"/>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133"/>
              <w:spacing w:after="0"/>
              <w:rPr>
                <w:sz w:val="20"/>
                <w:szCs w:val="20"/>
                <w:color w:val="auto"/>
              </w:rPr>
            </w:pPr>
            <w:r>
              <w:rPr>
                <w:rFonts w:ascii="Arial" w:cs="Arial" w:eastAsia="Arial" w:hAnsi="Arial"/>
                <w:sz w:val="13"/>
                <w:szCs w:val="13"/>
                <w:b w:val="1"/>
                <w:bCs w:val="1"/>
                <w:color w:val="auto"/>
                <w:w w:val="95"/>
              </w:rPr>
              <w:t>Common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center"/>
              <w:ind w:right="93"/>
              <w:spacing w:after="0"/>
              <w:rPr>
                <w:sz w:val="20"/>
                <w:szCs w:val="20"/>
                <w:color w:val="auto"/>
              </w:rPr>
            </w:pPr>
            <w:r>
              <w:rPr>
                <w:rFonts w:ascii="Arial" w:cs="Arial" w:eastAsia="Arial" w:hAnsi="Arial"/>
                <w:sz w:val="13"/>
                <w:szCs w:val="13"/>
                <w:b w:val="1"/>
                <w:bCs w:val="1"/>
                <w:color w:val="auto"/>
                <w:w w:val="92"/>
              </w:rPr>
              <w:t>Common</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53"/>
              <w:spacing w:after="0"/>
              <w:rPr>
                <w:sz w:val="20"/>
                <w:szCs w:val="20"/>
                <w:color w:val="auto"/>
              </w:rPr>
            </w:pPr>
            <w:r>
              <w:rPr>
                <w:rFonts w:ascii="Arial" w:cs="Arial" w:eastAsia="Arial" w:hAnsi="Arial"/>
                <w:sz w:val="13"/>
                <w:szCs w:val="13"/>
                <w:b w:val="1"/>
                <w:bCs w:val="1"/>
                <w:color w:val="auto"/>
                <w:w w:val="89"/>
              </w:rPr>
              <w:t>Results</w:t>
            </w:r>
          </w:p>
        </w:tc>
        <w:tc>
          <w:tcPr>
            <w:tcW w:w="860" w:type="dxa"/>
            <w:vAlign w:val="bottom"/>
            <w:gridSpan w:val="3"/>
          </w:tcPr>
          <w:p>
            <w:pPr>
              <w:jc w:val="center"/>
              <w:ind w:right="53"/>
              <w:spacing w:after="0"/>
              <w:rPr>
                <w:sz w:val="20"/>
                <w:szCs w:val="20"/>
                <w:color w:val="auto"/>
              </w:rPr>
            </w:pPr>
            <w:r>
              <w:rPr>
                <w:rFonts w:ascii="Arial" w:cs="Arial" w:eastAsia="Arial" w:hAnsi="Arial"/>
                <w:sz w:val="13"/>
                <w:szCs w:val="13"/>
                <w:b w:val="1"/>
                <w:bCs w:val="1"/>
                <w:color w:val="auto"/>
                <w:w w:val="94"/>
              </w:rPr>
              <w:t>Partnership</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13"/>
              <w:spacing w:after="0"/>
              <w:rPr>
                <w:sz w:val="20"/>
                <w:szCs w:val="20"/>
                <w:color w:val="auto"/>
              </w:rPr>
            </w:pPr>
            <w:r>
              <w:rPr>
                <w:rFonts w:ascii="Arial" w:cs="Arial" w:eastAsia="Arial" w:hAnsi="Arial"/>
                <w:sz w:val="13"/>
                <w:szCs w:val="13"/>
                <w:b w:val="1"/>
                <w:bCs w:val="1"/>
                <w:color w:val="auto"/>
                <w:w w:val="99"/>
              </w:rPr>
              <w:t>Control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33"/>
              <w:spacing w:after="0"/>
              <w:rPr>
                <w:sz w:val="20"/>
                <w:szCs w:val="20"/>
                <w:color w:val="auto"/>
              </w:rPr>
            </w:pPr>
            <w:r>
              <w:rPr>
                <w:rFonts w:ascii="Arial" w:cs="Arial" w:eastAsia="Arial" w:hAnsi="Arial"/>
                <w:sz w:val="13"/>
                <w:szCs w:val="13"/>
                <w:b w:val="1"/>
                <w:bCs w:val="1"/>
                <w:color w:val="auto"/>
                <w:w w:val="89"/>
              </w:rPr>
              <w:t>Results</w:t>
            </w:r>
          </w:p>
        </w:tc>
        <w:tc>
          <w:tcPr>
            <w:tcW w:w="40" w:type="dxa"/>
            <w:vAlign w:val="bottom"/>
          </w:tcPr>
          <w:p>
            <w:pPr>
              <w:spacing w:after="0"/>
              <w:rPr>
                <w:sz w:val="12"/>
                <w:szCs w:val="12"/>
                <w:color w:val="auto"/>
              </w:rPr>
            </w:pPr>
          </w:p>
        </w:tc>
        <w:tc>
          <w:tcPr>
            <w:tcW w:w="840" w:type="dxa"/>
            <w:vAlign w:val="bottom"/>
            <w:gridSpan w:val="3"/>
          </w:tcPr>
          <w:p>
            <w:pPr>
              <w:jc w:val="center"/>
              <w:ind w:right="73"/>
              <w:spacing w:after="0"/>
              <w:rPr>
                <w:sz w:val="20"/>
                <w:szCs w:val="20"/>
                <w:color w:val="auto"/>
              </w:rPr>
            </w:pPr>
            <w:r>
              <w:rPr>
                <w:rFonts w:ascii="Arial" w:cs="Arial" w:eastAsia="Arial" w:hAnsi="Arial"/>
                <w:sz w:val="13"/>
                <w:szCs w:val="13"/>
                <w:b w:val="1"/>
                <w:bCs w:val="1"/>
                <w:color w:val="auto"/>
                <w:w w:val="94"/>
              </w:rPr>
              <w:t>Partnership</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133"/>
              <w:spacing w:after="0"/>
              <w:rPr>
                <w:sz w:val="20"/>
                <w:szCs w:val="20"/>
                <w:color w:val="auto"/>
              </w:rPr>
            </w:pPr>
            <w:r>
              <w:rPr>
                <w:rFonts w:ascii="Arial" w:cs="Arial" w:eastAsia="Arial" w:hAnsi="Arial"/>
                <w:sz w:val="13"/>
                <w:szCs w:val="13"/>
                <w:b w:val="1"/>
                <w:bCs w:val="1"/>
                <w:color w:val="auto"/>
                <w:w w:val="99"/>
              </w:rPr>
              <w:t>Control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33"/>
              <w:spacing w:after="0"/>
              <w:rPr>
                <w:sz w:val="20"/>
                <w:szCs w:val="20"/>
                <w:color w:val="auto"/>
              </w:rPr>
            </w:pPr>
            <w:r>
              <w:rPr>
                <w:rFonts w:ascii="Arial" w:cs="Arial" w:eastAsia="Arial" w:hAnsi="Arial"/>
                <w:sz w:val="13"/>
                <w:szCs w:val="13"/>
                <w:b w:val="1"/>
                <w:bCs w:val="1"/>
                <w:color w:val="auto"/>
                <w:w w:val="89"/>
              </w:rPr>
              <w:t>Results</w:t>
            </w:r>
          </w:p>
        </w:tc>
        <w:tc>
          <w:tcPr>
            <w:tcW w:w="40" w:type="dxa"/>
            <w:vAlign w:val="bottom"/>
          </w:tcPr>
          <w:p>
            <w:pPr>
              <w:spacing w:after="0"/>
              <w:rPr>
                <w:sz w:val="12"/>
                <w:szCs w:val="12"/>
                <w:color w:val="auto"/>
              </w:rPr>
            </w:pPr>
          </w:p>
        </w:tc>
        <w:tc>
          <w:tcPr>
            <w:tcW w:w="840" w:type="dxa"/>
            <w:vAlign w:val="bottom"/>
            <w:gridSpan w:val="3"/>
          </w:tcPr>
          <w:p>
            <w:pPr>
              <w:jc w:val="center"/>
              <w:ind w:right="53"/>
              <w:spacing w:after="0"/>
              <w:rPr>
                <w:sz w:val="20"/>
                <w:szCs w:val="20"/>
                <w:color w:val="auto"/>
              </w:rPr>
            </w:pPr>
            <w:r>
              <w:rPr>
                <w:rFonts w:ascii="Arial" w:cs="Arial" w:eastAsia="Arial" w:hAnsi="Arial"/>
                <w:sz w:val="13"/>
                <w:szCs w:val="13"/>
                <w:b w:val="1"/>
                <w:bCs w:val="1"/>
                <w:color w:val="auto"/>
                <w:w w:val="96"/>
              </w:rPr>
              <w:t>Partnership</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73"/>
              <w:spacing w:after="0"/>
              <w:rPr>
                <w:sz w:val="20"/>
                <w:szCs w:val="20"/>
                <w:color w:val="auto"/>
              </w:rPr>
            </w:pPr>
            <w:r>
              <w:rPr>
                <w:rFonts w:ascii="Arial" w:cs="Arial" w:eastAsia="Arial" w:hAnsi="Arial"/>
                <w:sz w:val="13"/>
                <w:szCs w:val="13"/>
                <w:b w:val="1"/>
                <w:bCs w:val="1"/>
                <w:color w:val="auto"/>
                <w:w w:val="95"/>
              </w:rPr>
              <w:t>Control</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ind w:right="53"/>
              <w:spacing w:after="0"/>
              <w:rPr>
                <w:sz w:val="20"/>
                <w:szCs w:val="20"/>
                <w:color w:val="auto"/>
              </w:rPr>
            </w:pPr>
            <w:r>
              <w:rPr>
                <w:rFonts w:ascii="Arial" w:cs="Arial" w:eastAsia="Arial" w:hAnsi="Arial"/>
                <w:sz w:val="13"/>
                <w:szCs w:val="13"/>
                <w:b w:val="1"/>
                <w:bCs w:val="1"/>
                <w:color w:val="auto"/>
                <w:w w:val="95"/>
              </w:rPr>
              <w:t>attributable</w:t>
            </w:r>
          </w:p>
        </w:tc>
        <w:tc>
          <w:tcPr>
            <w:tcW w:w="860" w:type="dxa"/>
            <w:vAlign w:val="bottom"/>
            <w:gridSpan w:val="3"/>
          </w:tcPr>
          <w:p>
            <w:pPr>
              <w:jc w:val="center"/>
              <w:ind w:right="53"/>
              <w:spacing w:after="0"/>
              <w:rPr>
                <w:sz w:val="20"/>
                <w:szCs w:val="20"/>
                <w:color w:val="auto"/>
              </w:rPr>
            </w:pPr>
            <w:r>
              <w:rPr>
                <w:rFonts w:ascii="Arial" w:cs="Arial" w:eastAsia="Arial" w:hAnsi="Arial"/>
                <w:sz w:val="13"/>
                <w:szCs w:val="13"/>
                <w:b w:val="1"/>
                <w:bCs w:val="1"/>
                <w:color w:val="auto"/>
                <w:w w:val="95"/>
              </w:rPr>
              <w:t>Performance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13"/>
              <w:spacing w:after="0"/>
              <w:rPr>
                <w:sz w:val="20"/>
                <w:szCs w:val="20"/>
                <w:color w:val="auto"/>
              </w:rPr>
            </w:pPr>
            <w:r>
              <w:rPr>
                <w:rFonts w:ascii="Arial" w:cs="Arial" w:eastAsia="Arial" w:hAnsi="Arial"/>
                <w:sz w:val="13"/>
                <w:szCs w:val="13"/>
                <w:b w:val="1"/>
                <w:bCs w:val="1"/>
                <w:color w:val="auto"/>
                <w:w w:val="94"/>
              </w:rPr>
              <w:t>Reported</w:t>
            </w:r>
          </w:p>
        </w:tc>
        <w:tc>
          <w:tcPr>
            <w:tcW w:w="20" w:type="dxa"/>
            <w:vAlign w:val="bottom"/>
          </w:tcPr>
          <w:p>
            <w:pPr>
              <w:spacing w:after="0"/>
              <w:rPr>
                <w:sz w:val="12"/>
                <w:szCs w:val="12"/>
                <w:color w:val="auto"/>
              </w:rPr>
            </w:pPr>
          </w:p>
        </w:tc>
        <w:tc>
          <w:tcPr>
            <w:tcW w:w="800" w:type="dxa"/>
            <w:vAlign w:val="bottom"/>
            <w:gridSpan w:val="3"/>
          </w:tcPr>
          <w:p>
            <w:pPr>
              <w:jc w:val="center"/>
              <w:ind w:right="53"/>
              <w:spacing w:after="0"/>
              <w:rPr>
                <w:sz w:val="20"/>
                <w:szCs w:val="20"/>
                <w:color w:val="auto"/>
              </w:rPr>
            </w:pPr>
            <w:r>
              <w:rPr>
                <w:rFonts w:ascii="Arial" w:cs="Arial" w:eastAsia="Arial" w:hAnsi="Arial"/>
                <w:sz w:val="13"/>
                <w:szCs w:val="13"/>
                <w:b w:val="1"/>
                <w:bCs w:val="1"/>
                <w:color w:val="auto"/>
                <w:w w:val="98"/>
              </w:rPr>
              <w:t>attributable</w:t>
            </w:r>
          </w:p>
        </w:tc>
        <w:tc>
          <w:tcPr>
            <w:tcW w:w="40" w:type="dxa"/>
            <w:vAlign w:val="bottom"/>
          </w:tcPr>
          <w:p>
            <w:pPr>
              <w:spacing w:after="0"/>
              <w:rPr>
                <w:sz w:val="12"/>
                <w:szCs w:val="12"/>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Performance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133"/>
              <w:spacing w:after="0"/>
              <w:rPr>
                <w:sz w:val="20"/>
                <w:szCs w:val="20"/>
                <w:color w:val="auto"/>
              </w:rPr>
            </w:pPr>
            <w:r>
              <w:rPr>
                <w:rFonts w:ascii="Arial" w:cs="Arial" w:eastAsia="Arial" w:hAnsi="Arial"/>
                <w:sz w:val="13"/>
                <w:szCs w:val="13"/>
                <w:b w:val="1"/>
                <w:bCs w:val="1"/>
                <w:color w:val="auto"/>
                <w:w w:val="94"/>
              </w:rPr>
              <w:t>Reported</w:t>
            </w:r>
          </w:p>
        </w:tc>
        <w:tc>
          <w:tcPr>
            <w:tcW w:w="40" w:type="dxa"/>
            <w:vAlign w:val="bottom"/>
          </w:tcPr>
          <w:p>
            <w:pPr>
              <w:spacing w:after="0"/>
              <w:rPr>
                <w:sz w:val="12"/>
                <w:szCs w:val="12"/>
                <w:color w:val="auto"/>
              </w:rPr>
            </w:pPr>
          </w:p>
        </w:tc>
        <w:tc>
          <w:tcPr>
            <w:tcW w:w="780" w:type="dxa"/>
            <w:vAlign w:val="bottom"/>
            <w:gridSpan w:val="3"/>
          </w:tcPr>
          <w:p>
            <w:pPr>
              <w:jc w:val="center"/>
              <w:ind w:right="53"/>
              <w:spacing w:after="0"/>
              <w:rPr>
                <w:sz w:val="20"/>
                <w:szCs w:val="20"/>
                <w:color w:val="auto"/>
              </w:rPr>
            </w:pPr>
            <w:r>
              <w:rPr>
                <w:rFonts w:ascii="Arial" w:cs="Arial" w:eastAsia="Arial" w:hAnsi="Arial"/>
                <w:sz w:val="13"/>
                <w:szCs w:val="13"/>
                <w:b w:val="1"/>
                <w:bCs w:val="1"/>
                <w:color w:val="auto"/>
                <w:w w:val="95"/>
              </w:rPr>
              <w:t>attributable</w:t>
            </w:r>
          </w:p>
        </w:tc>
        <w:tc>
          <w:tcPr>
            <w:tcW w:w="40" w:type="dxa"/>
            <w:vAlign w:val="bottom"/>
          </w:tcPr>
          <w:p>
            <w:pPr>
              <w:spacing w:after="0"/>
              <w:rPr>
                <w:sz w:val="12"/>
                <w:szCs w:val="12"/>
                <w:color w:val="auto"/>
              </w:rPr>
            </w:pPr>
          </w:p>
        </w:tc>
        <w:tc>
          <w:tcPr>
            <w:tcW w:w="840" w:type="dxa"/>
            <w:vAlign w:val="bottom"/>
            <w:gridSpan w:val="3"/>
          </w:tcPr>
          <w:p>
            <w:pPr>
              <w:jc w:val="center"/>
              <w:ind w:right="53"/>
              <w:spacing w:after="0"/>
              <w:rPr>
                <w:sz w:val="20"/>
                <w:szCs w:val="20"/>
                <w:color w:val="auto"/>
              </w:rPr>
            </w:pPr>
            <w:r>
              <w:rPr>
                <w:rFonts w:ascii="Arial" w:cs="Arial" w:eastAsia="Arial" w:hAnsi="Arial"/>
                <w:sz w:val="13"/>
                <w:szCs w:val="13"/>
                <w:b w:val="1"/>
                <w:bCs w:val="1"/>
                <w:color w:val="auto"/>
                <w:w w:val="93"/>
              </w:rPr>
              <w:t>Performance</w:t>
            </w:r>
          </w:p>
        </w:tc>
        <w:tc>
          <w:tcPr>
            <w:tcW w:w="40" w:type="dxa"/>
            <w:vAlign w:val="bottom"/>
          </w:tcPr>
          <w:p>
            <w:pPr>
              <w:spacing w:after="0"/>
              <w:rPr>
                <w:sz w:val="12"/>
                <w:szCs w:val="12"/>
                <w:color w:val="auto"/>
              </w:rPr>
            </w:pPr>
          </w:p>
        </w:tc>
        <w:tc>
          <w:tcPr>
            <w:tcW w:w="700" w:type="dxa"/>
            <w:vAlign w:val="bottom"/>
            <w:gridSpan w:val="3"/>
          </w:tcPr>
          <w:p>
            <w:pPr>
              <w:jc w:val="center"/>
              <w:ind w:right="73"/>
              <w:spacing w:after="0"/>
              <w:rPr>
                <w:sz w:val="20"/>
                <w:szCs w:val="20"/>
                <w:color w:val="auto"/>
              </w:rPr>
            </w:pPr>
            <w:r>
              <w:rPr>
                <w:rFonts w:ascii="Arial" w:cs="Arial" w:eastAsia="Arial" w:hAnsi="Arial"/>
                <w:sz w:val="13"/>
                <w:szCs w:val="13"/>
                <w:b w:val="1"/>
                <w:bCs w:val="1"/>
                <w:color w:val="auto"/>
                <w:w w:val="94"/>
              </w:rPr>
              <w:t>Reported</w:t>
            </w:r>
          </w:p>
        </w:tc>
        <w:tc>
          <w:tcPr>
            <w:tcW w:w="0" w:type="dxa"/>
            <w:vAlign w:val="bottom"/>
          </w:tcPr>
          <w:p>
            <w:pPr>
              <w:spacing w:after="0"/>
              <w:rPr>
                <w:sz w:val="1"/>
                <w:szCs w:val="1"/>
                <w:color w:val="auto"/>
              </w:rPr>
            </w:pPr>
          </w:p>
        </w:tc>
      </w:tr>
      <w:tr>
        <w:trPr>
          <w:trHeight w:val="161"/>
        </w:trPr>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center"/>
              <w:ind w:right="53"/>
              <w:spacing w:after="0"/>
              <w:rPr>
                <w:sz w:val="20"/>
                <w:szCs w:val="20"/>
                <w:color w:val="auto"/>
              </w:rPr>
            </w:pPr>
            <w:r>
              <w:rPr>
                <w:rFonts w:ascii="Arial" w:cs="Arial" w:eastAsia="Arial" w:hAnsi="Arial"/>
                <w:sz w:val="13"/>
                <w:szCs w:val="13"/>
                <w:b w:val="1"/>
                <w:bCs w:val="1"/>
                <w:color w:val="auto"/>
                <w:w w:val="93"/>
              </w:rPr>
              <w:t>to GasLog</w:t>
            </w:r>
          </w:p>
        </w:tc>
        <w:tc>
          <w:tcPr>
            <w:tcW w:w="140" w:type="dxa"/>
            <w:vAlign w:val="bottom"/>
          </w:tcPr>
          <w:p>
            <w:pPr>
              <w:spacing w:after="0"/>
              <w:rPr>
                <w:sz w:val="14"/>
                <w:szCs w:val="14"/>
                <w:color w:val="auto"/>
              </w:rPr>
            </w:pPr>
          </w:p>
        </w:tc>
        <w:tc>
          <w:tcPr>
            <w:tcW w:w="720" w:type="dxa"/>
            <w:vAlign w:val="bottom"/>
            <w:gridSpan w:val="2"/>
          </w:tcPr>
          <w:p>
            <w:pPr>
              <w:jc w:val="center"/>
              <w:ind w:right="213"/>
              <w:spacing w:after="0"/>
              <w:rPr>
                <w:sz w:val="20"/>
                <w:szCs w:val="20"/>
                <w:color w:val="auto"/>
              </w:rPr>
            </w:pPr>
            <w:r>
              <w:rPr>
                <w:rFonts w:ascii="Arial" w:cs="Arial" w:eastAsia="Arial" w:hAnsi="Arial"/>
                <w:sz w:val="13"/>
                <w:szCs w:val="13"/>
                <w:b w:val="1"/>
                <w:bCs w:val="1"/>
                <w:color w:val="auto"/>
                <w:w w:val="89"/>
              </w:rPr>
              <w:t>Results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113"/>
              <w:spacing w:after="0"/>
              <w:rPr>
                <w:sz w:val="20"/>
                <w:szCs w:val="20"/>
                <w:color w:val="auto"/>
              </w:rPr>
            </w:pPr>
            <w:r>
              <w:rPr>
                <w:rFonts w:ascii="Arial" w:cs="Arial" w:eastAsia="Arial" w:hAnsi="Arial"/>
                <w:sz w:val="13"/>
                <w:szCs w:val="13"/>
                <w:b w:val="1"/>
                <w:bCs w:val="1"/>
                <w:color w:val="auto"/>
                <w:w w:val="89"/>
              </w:rPr>
              <w:t>Results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13"/>
              <w:spacing w:after="0"/>
              <w:rPr>
                <w:sz w:val="20"/>
                <w:szCs w:val="20"/>
                <w:color w:val="auto"/>
              </w:rPr>
            </w:pPr>
            <w:r>
              <w:rPr>
                <w:rFonts w:ascii="Arial" w:cs="Arial" w:eastAsia="Arial" w:hAnsi="Arial"/>
                <w:sz w:val="13"/>
                <w:szCs w:val="13"/>
                <w:b w:val="1"/>
                <w:bCs w:val="1"/>
                <w:color w:val="auto"/>
                <w:w w:val="93"/>
              </w:rPr>
              <w:t>to GasLog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73"/>
              <w:spacing w:after="0"/>
              <w:rPr>
                <w:sz w:val="20"/>
                <w:szCs w:val="20"/>
                <w:color w:val="auto"/>
              </w:rPr>
            </w:pPr>
            <w:r>
              <w:rPr>
                <w:rFonts w:ascii="Arial" w:cs="Arial" w:eastAsia="Arial" w:hAnsi="Arial"/>
                <w:sz w:val="13"/>
                <w:szCs w:val="13"/>
                <w:b w:val="1"/>
                <w:bCs w:val="1"/>
                <w:color w:val="auto"/>
                <w:w w:val="89"/>
              </w:rPr>
              <w:t>Results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133"/>
              <w:spacing w:after="0"/>
              <w:rPr>
                <w:sz w:val="20"/>
                <w:szCs w:val="20"/>
                <w:color w:val="auto"/>
              </w:rPr>
            </w:pPr>
            <w:r>
              <w:rPr>
                <w:rFonts w:ascii="Arial" w:cs="Arial" w:eastAsia="Arial" w:hAnsi="Arial"/>
                <w:sz w:val="13"/>
                <w:szCs w:val="13"/>
                <w:b w:val="1"/>
                <w:bCs w:val="1"/>
                <w:color w:val="auto"/>
                <w:w w:val="89"/>
              </w:rPr>
              <w:t>Results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ind w:right="113"/>
              <w:spacing w:after="0"/>
              <w:rPr>
                <w:sz w:val="20"/>
                <w:szCs w:val="20"/>
                <w:color w:val="auto"/>
              </w:rPr>
            </w:pPr>
            <w:r>
              <w:rPr>
                <w:rFonts w:ascii="Arial" w:cs="Arial" w:eastAsia="Arial" w:hAnsi="Arial"/>
                <w:sz w:val="13"/>
                <w:szCs w:val="13"/>
                <w:b w:val="1"/>
                <w:bCs w:val="1"/>
                <w:color w:val="auto"/>
                <w:w w:val="93"/>
              </w:rPr>
              <w:t>to GasLog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73"/>
              <w:spacing w:after="0"/>
              <w:rPr>
                <w:sz w:val="20"/>
                <w:szCs w:val="20"/>
                <w:color w:val="auto"/>
              </w:rPr>
            </w:pPr>
            <w:r>
              <w:rPr>
                <w:rFonts w:ascii="Arial" w:cs="Arial" w:eastAsia="Arial" w:hAnsi="Arial"/>
                <w:sz w:val="13"/>
                <w:szCs w:val="13"/>
                <w:b w:val="1"/>
                <w:bCs w:val="1"/>
                <w:color w:val="auto"/>
                <w:w w:val="89"/>
              </w:rPr>
              <w:t>Results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53"/>
              <w:spacing w:after="0"/>
              <w:rPr>
                <w:sz w:val="20"/>
                <w:szCs w:val="20"/>
                <w:color w:val="auto"/>
              </w:rPr>
            </w:pPr>
            <w:r>
              <w:rPr>
                <w:rFonts w:ascii="Arial" w:cs="Arial" w:eastAsia="Arial" w:hAnsi="Arial"/>
                <w:sz w:val="13"/>
                <w:szCs w:val="13"/>
                <w:b w:val="1"/>
                <w:bCs w:val="1"/>
                <w:color w:val="auto"/>
                <w:w w:val="89"/>
              </w:rPr>
              <w:t>Results</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10"/>
          </w:tcPr>
          <w:p>
            <w:pPr>
              <w:jc w:val="center"/>
              <w:ind w:right="113"/>
              <w:spacing w:after="0"/>
              <w:rPr>
                <w:sz w:val="20"/>
                <w:szCs w:val="20"/>
                <w:color w:val="auto"/>
              </w:rPr>
            </w:pPr>
            <w:r>
              <w:rPr>
                <w:rFonts w:ascii="Arial" w:cs="Arial" w:eastAsia="Arial" w:hAnsi="Arial"/>
                <w:sz w:val="13"/>
                <w:szCs w:val="13"/>
                <w:b w:val="1"/>
                <w:bCs w:val="1"/>
                <w:color w:val="auto"/>
                <w:w w:val="91"/>
              </w:rPr>
              <w:t>(in thousands of U.S. dollars)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94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STATEMENT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OF PROFIT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OR LOSS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20"/>
                <w:szCs w:val="20"/>
                <w:color w:val="auto"/>
              </w:rPr>
            </w:pPr>
            <w:r>
              <w:rPr>
                <w:rFonts w:ascii="Arial" w:cs="Arial" w:eastAsia="Arial" w:hAnsi="Arial"/>
                <w:sz w:val="13"/>
                <w:szCs w:val="13"/>
                <w:color w:val="auto"/>
              </w:rPr>
              <w:t>Revenues</w:t>
            </w:r>
          </w:p>
        </w:tc>
        <w:tc>
          <w:tcPr>
            <w:tcW w:w="6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111,065</w:t>
            </w:r>
          </w:p>
        </w:tc>
        <w:tc>
          <w:tcPr>
            <w:tcW w:w="6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206,424</w:t>
            </w:r>
          </w:p>
        </w:tc>
        <w:tc>
          <w:tcPr>
            <w:tcW w:w="60" w:type="dxa"/>
            <w:vAlign w:val="bottom"/>
          </w:tcPr>
          <w:p>
            <w:pPr>
              <w:spacing w:after="0"/>
              <w:rPr>
                <w:sz w:val="12"/>
                <w:szCs w:val="12"/>
                <w:color w:val="auto"/>
              </w:rPr>
            </w:pP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317,489</w:t>
            </w:r>
          </w:p>
        </w:tc>
        <w:tc>
          <w:tcPr>
            <w:tcW w:w="60" w:type="dxa"/>
            <w:vAlign w:val="bottom"/>
          </w:tcPr>
          <w:p>
            <w:pPr>
              <w:spacing w:after="0"/>
              <w:rPr>
                <w:sz w:val="12"/>
                <w:szCs w:val="12"/>
                <w:color w:val="auto"/>
              </w:rPr>
            </w:pPr>
          </w:p>
        </w:tc>
        <w:tc>
          <w:tcPr>
            <w:tcW w:w="100" w:type="dxa"/>
            <w:vAlign w:val="bottom"/>
            <w:gridSpan w:val="2"/>
          </w:tcPr>
          <w:p>
            <w:pPr>
              <w:ind w:left="2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102,075</w:t>
            </w:r>
          </w:p>
        </w:tc>
        <w:tc>
          <w:tcPr>
            <w:tcW w:w="60" w:type="dxa"/>
            <w:vAlign w:val="bottom"/>
          </w:tcPr>
          <w:p>
            <w:pPr>
              <w:spacing w:after="0"/>
              <w:rPr>
                <w:sz w:val="12"/>
                <w:szCs w:val="12"/>
                <w:color w:val="auto"/>
              </w:rPr>
            </w:pP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269,071</w:t>
            </w:r>
          </w:p>
        </w:tc>
        <w:tc>
          <w:tcPr>
            <w:tcW w:w="6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371,146</w:t>
            </w:r>
          </w:p>
        </w:tc>
        <w:tc>
          <w:tcPr>
            <w:tcW w:w="60" w:type="dxa"/>
            <w:vAlign w:val="bottom"/>
          </w:tcPr>
          <w:p>
            <w:pPr>
              <w:spacing w:after="0"/>
              <w:rPr>
                <w:sz w:val="12"/>
                <w:szCs w:val="12"/>
                <w:color w:val="auto"/>
              </w:rPr>
            </w:pP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35,550</w:t>
            </w:r>
          </w:p>
        </w:tc>
        <w:tc>
          <w:tcPr>
            <w:tcW w:w="60" w:type="dxa"/>
            <w:vAlign w:val="bottom"/>
          </w:tcPr>
          <w:p>
            <w:pPr>
              <w:spacing w:after="0"/>
              <w:rPr>
                <w:sz w:val="12"/>
                <w:szCs w:val="12"/>
                <w:color w:val="auto"/>
              </w:rPr>
            </w:pP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316,991</w:t>
            </w:r>
          </w:p>
        </w:tc>
        <w:tc>
          <w:tcPr>
            <w:tcW w:w="60" w:type="dxa"/>
            <w:vAlign w:val="bottom"/>
          </w:tcPr>
          <w:p>
            <w:pPr>
              <w:spacing w:after="0"/>
              <w:rPr>
                <w:sz w:val="12"/>
                <w:szCs w:val="12"/>
                <w:color w:val="auto"/>
              </w:rPr>
            </w:pP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352,541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pool</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allocation</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â€”</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â€”</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â€”</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â€”</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â€”</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â€”</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â€”</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3,700</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940" w:type="dxa"/>
            <w:vAlign w:val="bottom"/>
          </w:tcPr>
          <w:p>
            <w:pPr>
              <w:spacing w:after="0" w:line="138" w:lineRule="exact"/>
              <w:rPr>
                <w:sz w:val="20"/>
                <w:szCs w:val="20"/>
                <w:color w:val="auto"/>
              </w:rPr>
            </w:pPr>
            <w:r>
              <w:rPr>
                <w:rFonts w:ascii="Arial" w:cs="Arial" w:eastAsia="Arial" w:hAnsi="Arial"/>
                <w:sz w:val="13"/>
                <w:szCs w:val="13"/>
                <w:color w:val="auto"/>
                <w:w w:val="88"/>
              </w:rPr>
              <w:t>Voyage expenses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rPr>
                <w:sz w:val="20"/>
                <w:szCs w:val="20"/>
                <w:color w:val="auto"/>
              </w:rPr>
            </w:pPr>
            <w:r>
              <w:rPr>
                <w:rFonts w:ascii="Arial" w:cs="Arial" w:eastAsia="Arial" w:hAnsi="Arial"/>
                <w:sz w:val="13"/>
                <w:szCs w:val="13"/>
                <w:color w:val="auto"/>
              </w:rPr>
              <w:t>and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40" w:type="dxa"/>
            <w:vAlign w:val="bottom"/>
          </w:tcPr>
          <w:p>
            <w:pPr>
              <w:ind w:left="140"/>
              <w:spacing w:after="0"/>
              <w:rPr>
                <w:sz w:val="20"/>
                <w:szCs w:val="20"/>
                <w:color w:val="auto"/>
              </w:rPr>
            </w:pPr>
            <w:r>
              <w:rPr>
                <w:rFonts w:ascii="Arial" w:cs="Arial" w:eastAsia="Arial" w:hAnsi="Arial"/>
                <w:sz w:val="13"/>
                <w:szCs w:val="13"/>
                <w:color w:val="auto"/>
              </w:rPr>
              <w:t>commissions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3"/>
              <w:spacing w:after="0"/>
              <w:rPr>
                <w:sz w:val="20"/>
                <w:szCs w:val="20"/>
                <w:color w:val="auto"/>
              </w:rPr>
            </w:pPr>
            <w:r>
              <w:rPr>
                <w:rFonts w:ascii="Arial" w:cs="Arial" w:eastAsia="Arial" w:hAnsi="Arial"/>
                <w:sz w:val="13"/>
                <w:szCs w:val="13"/>
                <w:color w:val="auto"/>
              </w:rPr>
              <w:t>(1,492)</w:t>
            </w:r>
          </w:p>
        </w:tc>
        <w:tc>
          <w:tcPr>
            <w:tcW w:w="140" w:type="dxa"/>
            <w:vAlign w:val="bottom"/>
          </w:tcPr>
          <w:p>
            <w:pPr>
              <w:spacing w:after="0"/>
              <w:rPr>
                <w:sz w:val="13"/>
                <w:szCs w:val="13"/>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color w:val="auto"/>
              </w:rPr>
              <w:t>(2,841)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(4,333)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color w:val="auto"/>
              </w:rPr>
              <w:t>(1,273)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color w:val="auto"/>
              </w:rPr>
              <w:t>(3,377)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13"/>
              <w:spacing w:after="0"/>
              <w:rPr>
                <w:sz w:val="20"/>
                <w:szCs w:val="20"/>
                <w:color w:val="auto"/>
              </w:rPr>
            </w:pPr>
            <w:r>
              <w:rPr>
                <w:rFonts w:ascii="Arial" w:cs="Arial" w:eastAsia="Arial" w:hAnsi="Arial"/>
                <w:sz w:val="13"/>
                <w:szCs w:val="13"/>
                <w:color w:val="auto"/>
              </w:rPr>
              <w:t>(4,650)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color w:val="auto"/>
              </w:rPr>
              <w:t>(444)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color w:val="auto"/>
              </w:rPr>
              <w:t>(6,678)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3"/>
              <w:spacing w:after="0"/>
              <w:rPr>
                <w:sz w:val="20"/>
                <w:szCs w:val="20"/>
                <w:color w:val="auto"/>
              </w:rPr>
            </w:pPr>
            <w:r>
              <w:rPr>
                <w:rFonts w:ascii="Arial" w:cs="Arial" w:eastAsia="Arial" w:hAnsi="Arial"/>
                <w:sz w:val="13"/>
                <w:szCs w:val="13"/>
                <w:color w:val="auto"/>
              </w:rPr>
              <w:t>(7,122)</w:t>
            </w:r>
          </w:p>
        </w:tc>
        <w:tc>
          <w:tcPr>
            <w:tcW w:w="0" w:type="dxa"/>
            <w:vAlign w:val="bottom"/>
          </w:tcPr>
          <w:p>
            <w:pPr>
              <w:spacing w:after="0"/>
              <w:rPr>
                <w:sz w:val="1"/>
                <w:szCs w:val="1"/>
                <w:color w:val="auto"/>
              </w:rPr>
            </w:pPr>
          </w:p>
        </w:tc>
      </w:tr>
      <w:tr>
        <w:trPr>
          <w:trHeight w:val="138"/>
        </w:trPr>
        <w:tc>
          <w:tcPr>
            <w:tcW w:w="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4"/>
              </w:rPr>
              <w:t>Vessel operating</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costs</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(19,597)</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(43,479)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(63,076)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(15,677)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(55,692)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(71,369)</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(7,273)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(61,452)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(68,725)</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20"/>
                <w:szCs w:val="20"/>
                <w:color w:val="auto"/>
              </w:rPr>
            </w:pPr>
            <w:r>
              <w:rPr>
                <w:rFonts w:ascii="Arial" w:cs="Arial" w:eastAsia="Arial" w:hAnsi="Arial"/>
                <w:sz w:val="13"/>
                <w:szCs w:val="13"/>
                <w:color w:val="auto"/>
              </w:rPr>
              <w:t>Depreciation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3"/>
              <w:spacing w:after="0"/>
              <w:rPr>
                <w:sz w:val="20"/>
                <w:szCs w:val="20"/>
                <w:color w:val="auto"/>
              </w:rPr>
            </w:pPr>
            <w:r>
              <w:rPr>
                <w:rFonts w:ascii="Arial" w:cs="Arial" w:eastAsia="Arial" w:hAnsi="Arial"/>
                <w:sz w:val="13"/>
                <w:szCs w:val="13"/>
                <w:color w:val="auto"/>
              </w:rPr>
              <w:t>(25,060)</w:t>
            </w:r>
          </w:p>
        </w:tc>
        <w:tc>
          <w:tcPr>
            <w:tcW w:w="140" w:type="dxa"/>
            <w:vAlign w:val="bottom"/>
          </w:tcPr>
          <w:p>
            <w:pPr>
              <w:spacing w:after="0"/>
              <w:rPr>
                <w:sz w:val="12"/>
                <w:szCs w:val="12"/>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color w:val="auto"/>
              </w:rPr>
              <w:t>(45,230)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(70,290)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color w:val="auto"/>
              </w:rPr>
              <w:t>(22,896)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color w:val="auto"/>
              </w:rPr>
              <w:t>(58,193)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3"/>
              <w:spacing w:after="0"/>
              <w:rPr>
                <w:sz w:val="20"/>
                <w:szCs w:val="20"/>
                <w:color w:val="auto"/>
              </w:rPr>
            </w:pPr>
            <w:r>
              <w:rPr>
                <w:rFonts w:ascii="Arial" w:cs="Arial" w:eastAsia="Arial" w:hAnsi="Arial"/>
                <w:sz w:val="13"/>
                <w:szCs w:val="13"/>
                <w:color w:val="auto"/>
              </w:rPr>
              <w:t>(81,089)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color w:val="auto"/>
              </w:rPr>
              <w:t>(8,439)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color w:val="auto"/>
              </w:rPr>
              <w:t>(73,151)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3"/>
              <w:spacing w:after="0"/>
              <w:rPr>
                <w:sz w:val="20"/>
                <w:szCs w:val="20"/>
                <w:color w:val="auto"/>
              </w:rPr>
            </w:pPr>
            <w:r>
              <w:rPr>
                <w:rFonts w:ascii="Arial" w:cs="Arial" w:eastAsia="Arial" w:hAnsi="Arial"/>
                <w:sz w:val="13"/>
                <w:szCs w:val="13"/>
                <w:color w:val="auto"/>
              </w:rPr>
              <w:t>(81,590)</w:t>
            </w:r>
          </w:p>
        </w:tc>
        <w:tc>
          <w:tcPr>
            <w:tcW w:w="0" w:type="dxa"/>
            <w:vAlign w:val="bottom"/>
          </w:tcPr>
          <w:p>
            <w:pPr>
              <w:spacing w:after="0"/>
              <w:rPr>
                <w:sz w:val="1"/>
                <w:szCs w:val="1"/>
                <w:color w:val="auto"/>
              </w:rPr>
            </w:pPr>
          </w:p>
        </w:tc>
      </w:tr>
      <w:tr>
        <w:trPr>
          <w:trHeight w:val="138"/>
        </w:trPr>
        <w:tc>
          <w:tcPr>
            <w:tcW w:w="940" w:type="dxa"/>
            <w:vAlign w:val="bottom"/>
          </w:tcPr>
          <w:p>
            <w:pPr>
              <w:spacing w:after="0" w:line="138" w:lineRule="exact"/>
              <w:rPr>
                <w:sz w:val="20"/>
                <w:szCs w:val="20"/>
                <w:color w:val="auto"/>
              </w:rPr>
            </w:pPr>
            <w:r>
              <w:rPr>
                <w:rFonts w:ascii="Arial" w:cs="Arial" w:eastAsia="Arial" w:hAnsi="Arial"/>
                <w:sz w:val="13"/>
                <w:szCs w:val="13"/>
                <w:color w:val="auto"/>
              </w:rPr>
              <w:t>General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rPr>
                <w:sz w:val="20"/>
                <w:szCs w:val="20"/>
                <w:color w:val="auto"/>
              </w:rPr>
            </w:pPr>
            <w:r>
              <w:rPr>
                <w:rFonts w:ascii="Arial" w:cs="Arial" w:eastAsia="Arial" w:hAnsi="Arial"/>
                <w:sz w:val="13"/>
                <w:szCs w:val="13"/>
                <w:color w:val="auto"/>
                <w:w w:val="97"/>
              </w:rPr>
              <w:t>administrative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40" w:type="dxa"/>
            <w:vAlign w:val="bottom"/>
          </w:tcPr>
          <w:p>
            <w:pPr>
              <w:ind w:left="140"/>
              <w:spacing w:after="0" w:line="147" w:lineRule="exact"/>
              <w:rPr>
                <w:sz w:val="20"/>
                <w:szCs w:val="20"/>
                <w:color w:val="auto"/>
              </w:rPr>
            </w:pPr>
            <w:r>
              <w:rPr>
                <w:rFonts w:ascii="Arial" w:cs="Arial" w:eastAsia="Arial" w:hAnsi="Arial"/>
                <w:sz w:val="13"/>
                <w:szCs w:val="13"/>
                <w:color w:val="auto"/>
              </w:rPr>
              <w:t>expenses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3"/>
              <w:spacing w:after="0" w:line="147" w:lineRule="exact"/>
              <w:rPr>
                <w:sz w:val="20"/>
                <w:szCs w:val="20"/>
                <w:color w:val="auto"/>
              </w:rPr>
            </w:pPr>
            <w:r>
              <w:rPr>
                <w:rFonts w:ascii="Arial" w:cs="Arial" w:eastAsia="Arial" w:hAnsi="Arial"/>
                <w:sz w:val="13"/>
                <w:szCs w:val="13"/>
                <w:color w:val="auto"/>
              </w:rPr>
              <w:t>(1,987)</w:t>
            </w:r>
          </w:p>
        </w:tc>
        <w:tc>
          <w:tcPr>
            <w:tcW w:w="140" w:type="dxa"/>
            <w:vAlign w:val="bottom"/>
          </w:tcPr>
          <w:p>
            <w:pPr>
              <w:spacing w:after="0"/>
              <w:rPr>
                <w:sz w:val="12"/>
                <w:szCs w:val="12"/>
                <w:color w:val="auto"/>
              </w:rPr>
            </w:pPr>
          </w:p>
        </w:tc>
        <w:tc>
          <w:tcPr>
            <w:tcW w:w="720" w:type="dxa"/>
            <w:vAlign w:val="bottom"/>
            <w:gridSpan w:val="2"/>
          </w:tcPr>
          <w:p>
            <w:pPr>
              <w:jc w:val="right"/>
              <w:ind w:right="13"/>
              <w:spacing w:after="0" w:line="147" w:lineRule="exact"/>
              <w:rPr>
                <w:sz w:val="20"/>
                <w:szCs w:val="20"/>
                <w:color w:val="auto"/>
              </w:rPr>
            </w:pPr>
            <w:r>
              <w:rPr>
                <w:rFonts w:ascii="Arial" w:cs="Arial" w:eastAsia="Arial" w:hAnsi="Arial"/>
                <w:sz w:val="13"/>
                <w:szCs w:val="13"/>
                <w:color w:val="auto"/>
              </w:rPr>
              <w:t>(11,219)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(13,206)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3"/>
              <w:spacing w:after="0" w:line="147" w:lineRule="exact"/>
              <w:rPr>
                <w:sz w:val="20"/>
                <w:szCs w:val="20"/>
                <w:color w:val="auto"/>
              </w:rPr>
            </w:pPr>
            <w:r>
              <w:rPr>
                <w:rFonts w:ascii="Arial" w:cs="Arial" w:eastAsia="Arial" w:hAnsi="Arial"/>
                <w:sz w:val="13"/>
                <w:szCs w:val="13"/>
                <w:color w:val="auto"/>
              </w:rPr>
              <w:t>(1,442)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3"/>
              <w:spacing w:after="0" w:line="147" w:lineRule="exact"/>
              <w:rPr>
                <w:sz w:val="20"/>
                <w:szCs w:val="20"/>
                <w:color w:val="auto"/>
              </w:rPr>
            </w:pPr>
            <w:r>
              <w:rPr>
                <w:rFonts w:ascii="Arial" w:cs="Arial" w:eastAsia="Arial" w:hAnsi="Arial"/>
                <w:sz w:val="13"/>
                <w:szCs w:val="13"/>
                <w:color w:val="auto"/>
              </w:rPr>
              <w:t>(13,869)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3"/>
              <w:spacing w:after="0" w:line="147" w:lineRule="exact"/>
              <w:rPr>
                <w:sz w:val="20"/>
                <w:szCs w:val="20"/>
                <w:color w:val="auto"/>
              </w:rPr>
            </w:pPr>
            <w:r>
              <w:rPr>
                <w:rFonts w:ascii="Arial" w:cs="Arial" w:eastAsia="Arial" w:hAnsi="Arial"/>
                <w:sz w:val="13"/>
                <w:szCs w:val="13"/>
                <w:color w:val="auto"/>
              </w:rPr>
              <w:t>(15,311)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3"/>
              <w:spacing w:after="0" w:line="147" w:lineRule="exact"/>
              <w:rPr>
                <w:sz w:val="20"/>
                <w:szCs w:val="20"/>
                <w:color w:val="auto"/>
              </w:rPr>
            </w:pPr>
            <w:r>
              <w:rPr>
                <w:rFonts w:ascii="Arial" w:cs="Arial" w:eastAsia="Arial" w:hAnsi="Arial"/>
                <w:sz w:val="13"/>
                <w:szCs w:val="13"/>
                <w:color w:val="auto"/>
              </w:rPr>
              <w:t>(464)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3"/>
              <w:spacing w:after="0" w:line="147" w:lineRule="exact"/>
              <w:rPr>
                <w:sz w:val="20"/>
                <w:szCs w:val="20"/>
                <w:color w:val="auto"/>
              </w:rPr>
            </w:pPr>
            <w:r>
              <w:rPr>
                <w:rFonts w:ascii="Arial" w:cs="Arial" w:eastAsia="Arial" w:hAnsi="Arial"/>
                <w:sz w:val="13"/>
                <w:szCs w:val="13"/>
                <w:color w:val="auto"/>
              </w:rPr>
              <w:t>(18,905)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3"/>
              <w:spacing w:after="0" w:line="147" w:lineRule="exact"/>
              <w:rPr>
                <w:sz w:val="20"/>
                <w:szCs w:val="20"/>
                <w:color w:val="auto"/>
              </w:rPr>
            </w:pPr>
            <w:r>
              <w:rPr>
                <w:rFonts w:ascii="Arial" w:cs="Arial" w:eastAsia="Arial" w:hAnsi="Arial"/>
                <w:sz w:val="13"/>
                <w:szCs w:val="13"/>
                <w:color w:val="auto"/>
              </w:rPr>
              <w:t>(19,369)</w:t>
            </w:r>
          </w:p>
        </w:tc>
        <w:tc>
          <w:tcPr>
            <w:tcW w:w="0" w:type="dxa"/>
            <w:vAlign w:val="bottom"/>
          </w:tcPr>
          <w:p>
            <w:pPr>
              <w:spacing w:after="0"/>
              <w:rPr>
                <w:sz w:val="1"/>
                <w:szCs w:val="1"/>
                <w:color w:val="auto"/>
              </w:rPr>
            </w:pPr>
          </w:p>
        </w:tc>
      </w:tr>
      <w:tr>
        <w:trPr>
          <w:trHeight w:val="40"/>
        </w:trPr>
        <w:tc>
          <w:tcPr>
            <w:tcW w:w="940" w:type="dxa"/>
            <w:vAlign w:val="bottom"/>
          </w:tcPr>
          <w:p>
            <w:pPr>
              <w:spacing w:after="0"/>
              <w:rPr>
                <w:sz w:val="20"/>
                <w:szCs w:val="20"/>
                <w:color w:val="auto"/>
              </w:rPr>
            </w:pPr>
            <w:r>
              <w:rPr>
                <w:rFonts w:ascii="Arial" w:cs="Arial" w:eastAsia="Arial" w:hAnsi="Arial"/>
                <w:sz w:val="3"/>
                <w:szCs w:val="3"/>
                <w:color w:val="auto"/>
              </w:rPr>
              <w:t>â€‹</w:t>
            </w:r>
          </w:p>
        </w:tc>
        <w:tc>
          <w:tcPr>
            <w:tcW w:w="60" w:type="dxa"/>
            <w:vAlign w:val="bottom"/>
          </w:tcPr>
          <w:p>
            <w:pPr>
              <w:ind w:left="20"/>
              <w:spacing w:after="0"/>
              <w:rPr>
                <w:sz w:val="20"/>
                <w:szCs w:val="20"/>
                <w:color w:val="auto"/>
              </w:rPr>
            </w:pPr>
            <w:r>
              <w:rPr>
                <w:rFonts w:ascii="Arial" w:cs="Arial" w:eastAsia="Arial" w:hAnsi="Arial"/>
                <w:sz w:val="1"/>
                <w:szCs w:val="1"/>
                <w:color w:val="auto"/>
              </w:rPr>
              <w:t>â€‹</w:t>
            </w: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0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14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33"/>
              <w:spacing w:after="0"/>
              <w:rPr>
                <w:sz w:val="20"/>
                <w:szCs w:val="20"/>
                <w:color w:val="auto"/>
              </w:rPr>
            </w:pPr>
            <w:r>
              <w:rPr>
                <w:rFonts w:ascii="Arial" w:cs="Arial" w:eastAsia="Arial" w:hAnsi="Arial"/>
                <w:sz w:val="1"/>
                <w:szCs w:val="1"/>
                <w:color w:val="auto"/>
                <w:w w:val="4294967293"/>
              </w:rPr>
              <w:t>â€‹</w:t>
            </w:r>
          </w:p>
        </w:tc>
        <w:tc>
          <w:tcPr>
            <w:tcW w:w="20" w:type="dxa"/>
            <w:vAlign w:val="bottom"/>
          </w:tcPr>
          <w:p>
            <w:pPr>
              <w:spacing w:after="0"/>
              <w:rPr>
                <w:sz w:val="3"/>
                <w:szCs w:val="3"/>
                <w:color w:val="auto"/>
              </w:rPr>
            </w:pPr>
          </w:p>
        </w:tc>
        <w:tc>
          <w:tcPr>
            <w:tcW w:w="60" w:type="dxa"/>
            <w:vAlign w:val="bottom"/>
          </w:tcPr>
          <w:p>
            <w:pPr>
              <w:spacing w:after="0"/>
              <w:rPr>
                <w:sz w:val="20"/>
                <w:szCs w:val="20"/>
                <w:color w:val="auto"/>
              </w:rPr>
            </w:pPr>
            <w:r>
              <w:rPr>
                <w:rFonts w:ascii="Arial" w:cs="Arial" w:eastAsia="Arial" w:hAnsi="Arial"/>
                <w:sz w:val="3"/>
                <w:szCs w:val="3"/>
                <w:color w:val="auto"/>
                <w:w w:val="91"/>
              </w:rPr>
              <w:t>â€‹</w:t>
            </w:r>
          </w:p>
        </w:tc>
        <w:tc>
          <w:tcPr>
            <w:tcW w:w="60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20" w:type="dxa"/>
            <w:vAlign w:val="bottom"/>
          </w:tcPr>
          <w:p>
            <w:pPr>
              <w:spacing w:after="0"/>
              <w:rPr>
                <w:sz w:val="3"/>
                <w:szCs w:val="3"/>
                <w:color w:val="auto"/>
              </w:rPr>
            </w:pPr>
          </w:p>
        </w:tc>
        <w:tc>
          <w:tcPr>
            <w:tcW w:w="8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33"/>
              <w:spacing w:after="0"/>
              <w:rPr>
                <w:sz w:val="20"/>
                <w:szCs w:val="20"/>
                <w:color w:val="auto"/>
              </w:rPr>
            </w:pPr>
            <w:r>
              <w:rPr>
                <w:rFonts w:ascii="Arial" w:cs="Arial" w:eastAsia="Arial" w:hAnsi="Arial"/>
                <w:sz w:val="1"/>
                <w:szCs w:val="1"/>
                <w:color w:val="auto"/>
                <w:w w:val="4294967293"/>
              </w:rPr>
              <w:t>â€‹</w:t>
            </w:r>
          </w:p>
        </w:tc>
        <w:tc>
          <w:tcPr>
            <w:tcW w:w="40" w:type="dxa"/>
            <w:vAlign w:val="bottom"/>
          </w:tcPr>
          <w:p>
            <w:pPr>
              <w:spacing w:after="0"/>
              <w:rPr>
                <w:sz w:val="3"/>
                <w:szCs w:val="3"/>
                <w:color w:val="auto"/>
              </w:rPr>
            </w:pPr>
          </w:p>
        </w:tc>
        <w:tc>
          <w:tcPr>
            <w:tcW w:w="60" w:type="dxa"/>
            <w:vAlign w:val="bottom"/>
          </w:tcPr>
          <w:p>
            <w:pPr>
              <w:jc w:val="right"/>
              <w:ind w:right="26"/>
              <w:spacing w:after="0"/>
              <w:rPr>
                <w:sz w:val="20"/>
                <w:szCs w:val="20"/>
                <w:color w:val="auto"/>
              </w:rPr>
            </w:pPr>
            <w:r>
              <w:rPr>
                <w:rFonts w:ascii="Arial" w:cs="Arial" w:eastAsia="Arial" w:hAnsi="Arial"/>
                <w:sz w:val="1"/>
                <w:szCs w:val="1"/>
                <w:color w:val="auto"/>
                <w:w w:val="4294967293"/>
              </w:rPr>
              <w:t>â€‹</w:t>
            </w:r>
          </w:p>
        </w:tc>
        <w:tc>
          <w:tcPr>
            <w:tcW w:w="62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60" w:type="dxa"/>
            <w:vAlign w:val="bottom"/>
          </w:tcPr>
          <w:p>
            <w:pPr>
              <w:spacing w:after="0"/>
              <w:rPr>
                <w:sz w:val="20"/>
                <w:szCs w:val="20"/>
                <w:color w:val="auto"/>
              </w:rPr>
            </w:pPr>
            <w:r>
              <w:rPr>
                <w:rFonts w:ascii="Arial" w:cs="Arial" w:eastAsia="Arial" w:hAnsi="Arial"/>
                <w:sz w:val="3"/>
                <w:szCs w:val="3"/>
                <w:color w:val="auto"/>
                <w:w w:val="91"/>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80" w:type="dxa"/>
            <w:vAlign w:val="bottom"/>
          </w:tcPr>
          <w:p>
            <w:pPr>
              <w:spacing w:after="0"/>
              <w:rPr>
                <w:sz w:val="20"/>
                <w:szCs w:val="20"/>
                <w:color w:val="auto"/>
              </w:rPr>
            </w:pPr>
            <w:r>
              <w:rPr>
                <w:rFonts w:ascii="Arial" w:cs="Arial" w:eastAsia="Arial" w:hAnsi="Arial"/>
                <w:sz w:val="3"/>
                <w:szCs w:val="3"/>
                <w:color w:val="auto"/>
              </w:rPr>
              <w:t>â€‹</w:t>
            </w:r>
          </w:p>
        </w:tc>
        <w:tc>
          <w:tcPr>
            <w:tcW w:w="540" w:type="dxa"/>
            <w:vAlign w:val="bottom"/>
          </w:tcPr>
          <w:p>
            <w:pPr>
              <w:jc w:val="right"/>
              <w:spacing w:after="0"/>
              <w:rPr>
                <w:sz w:val="20"/>
                <w:szCs w:val="20"/>
                <w:color w:val="auto"/>
              </w:rPr>
            </w:pPr>
            <w:r>
              <w:rPr>
                <w:rFonts w:ascii="Arial" w:cs="Arial" w:eastAsia="Arial" w:hAnsi="Arial"/>
                <w:sz w:val="3"/>
                <w:szCs w:val="3"/>
                <w:color w:val="auto"/>
              </w:rPr>
              <w:t>â€‹</w:t>
            </w:r>
          </w:p>
        </w:tc>
        <w:tc>
          <w:tcPr>
            <w:tcW w:w="80" w:type="dxa"/>
            <w:vAlign w:val="bottom"/>
          </w:tcPr>
          <w:p>
            <w:pPr>
              <w:jc w:val="right"/>
              <w:ind w:right="53"/>
              <w:spacing w:after="0"/>
              <w:rPr>
                <w:sz w:val="20"/>
                <w:szCs w:val="20"/>
                <w:color w:val="auto"/>
              </w:rPr>
            </w:pPr>
            <w:r>
              <w:rPr>
                <w:rFonts w:ascii="Arial" w:cs="Arial" w:eastAsia="Arial" w:hAnsi="Arial"/>
                <w:sz w:val="1"/>
                <w:szCs w:val="1"/>
                <w:color w:val="auto"/>
                <w:w w:val="4294967293"/>
              </w:rPr>
              <w:t>â€‹</w:t>
            </w:r>
          </w:p>
        </w:tc>
        <w:tc>
          <w:tcPr>
            <w:tcW w:w="0" w:type="dxa"/>
            <w:vAlign w:val="bottom"/>
          </w:tcPr>
          <w:p>
            <w:pPr>
              <w:spacing w:after="0" w:line="20" w:lineRule="exact"/>
              <w:rPr>
                <w:sz w:val="1"/>
                <w:szCs w:val="1"/>
                <w:color w:val="auto"/>
              </w:rPr>
            </w:pPr>
          </w:p>
        </w:tc>
      </w:tr>
      <w:tr>
        <w:trPr>
          <w:trHeight w:val="122"/>
        </w:trPr>
        <w:tc>
          <w:tcPr>
            <w:tcW w:w="940" w:type="dxa"/>
            <w:vAlign w:val="bottom"/>
          </w:tcPr>
          <w:p>
            <w:pPr>
              <w:spacing w:after="0" w:line="123" w:lineRule="exact"/>
              <w:rPr>
                <w:sz w:val="20"/>
                <w:szCs w:val="20"/>
                <w:color w:val="auto"/>
              </w:rPr>
            </w:pPr>
            <w:r>
              <w:rPr>
                <w:rFonts w:ascii="Arial" w:cs="Arial" w:eastAsia="Arial" w:hAnsi="Arial"/>
                <w:sz w:val="13"/>
                <w:szCs w:val="13"/>
                <w:b w:val="1"/>
                <w:bCs w:val="1"/>
                <w:color w:val="auto"/>
              </w:rPr>
              <w:t>Profit from</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40" w:type="dxa"/>
            <w:vAlign w:val="bottom"/>
          </w:tcPr>
          <w:p>
            <w:pPr>
              <w:ind w:left="140"/>
              <w:spacing w:after="0"/>
              <w:rPr>
                <w:sz w:val="20"/>
                <w:szCs w:val="20"/>
                <w:color w:val="auto"/>
              </w:rPr>
            </w:pPr>
            <w:r>
              <w:rPr>
                <w:rFonts w:ascii="Arial" w:cs="Arial" w:eastAsia="Arial" w:hAnsi="Arial"/>
                <w:sz w:val="13"/>
                <w:szCs w:val="13"/>
                <w:b w:val="1"/>
                <w:bCs w:val="1"/>
                <w:color w:val="auto"/>
              </w:rPr>
              <w:t>operations</w:t>
            </w:r>
          </w:p>
        </w:tc>
        <w:tc>
          <w:tcPr>
            <w:tcW w:w="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62,929</w:t>
            </w:r>
            <w:r>
              <w:rPr>
                <w:rFonts w:ascii="Arial" w:cs="Arial" w:eastAsia="Arial" w:hAnsi="Arial"/>
                <w:sz w:val="5"/>
                <w:szCs w:val="5"/>
                <w:color w:val="auto"/>
                <w:vertAlign w:val="subscript"/>
              </w:rPr>
              <w:t>â€‹</w:t>
            </w:r>
          </w:p>
        </w:tc>
        <w:tc>
          <w:tcPr>
            <w:tcW w:w="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103,655</w:t>
            </w:r>
            <w:r>
              <w:rPr>
                <w:rFonts w:ascii="Arial" w:cs="Arial" w:eastAsia="Arial" w:hAnsi="Arial"/>
                <w:sz w:val="5"/>
                <w:szCs w:val="5"/>
                <w:color w:val="auto"/>
                <w:vertAlign w:val="subscript"/>
              </w:rPr>
              <w:t>â€‹</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3"/>
                <w:szCs w:val="3"/>
                <w:color w:val="auto"/>
                <w:w w:val="91"/>
              </w:rPr>
              <w:t>â€‹</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166,584</w:t>
            </w:r>
            <w:r>
              <w:rPr>
                <w:rFonts w:ascii="Arial" w:cs="Arial" w:eastAsia="Arial" w:hAnsi="Arial"/>
                <w:sz w:val="5"/>
                <w:szCs w:val="5"/>
                <w:color w:val="auto"/>
                <w:vertAlign w:val="subscript"/>
              </w:rPr>
              <w:t>â€‹</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60,787</w:t>
            </w:r>
            <w:r>
              <w:rPr>
                <w:rFonts w:ascii="Arial" w:cs="Arial" w:eastAsia="Arial" w:hAnsi="Arial"/>
                <w:sz w:val="5"/>
                <w:szCs w:val="5"/>
                <w:color w:val="auto"/>
                <w:vertAlign w:val="subscript"/>
              </w:rPr>
              <w:t>â€‹</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137,940</w:t>
            </w:r>
            <w:r>
              <w:rPr>
                <w:rFonts w:ascii="Arial" w:cs="Arial" w:eastAsia="Arial" w:hAnsi="Arial"/>
                <w:sz w:val="5"/>
                <w:szCs w:val="5"/>
                <w:color w:val="auto"/>
                <w:vertAlign w:val="subscript"/>
              </w:rPr>
              <w:t>â€‹</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jc w:val="right"/>
              <w:ind w:right="26"/>
              <w:spacing w:after="0"/>
              <w:rPr>
                <w:sz w:val="20"/>
                <w:szCs w:val="20"/>
                <w:color w:val="auto"/>
              </w:rPr>
            </w:pPr>
            <w:r>
              <w:rPr>
                <w:rFonts w:ascii="Arial" w:cs="Arial" w:eastAsia="Arial" w:hAnsi="Arial"/>
                <w:sz w:val="1"/>
                <w:szCs w:val="1"/>
                <w:color w:val="auto"/>
                <w:w w:val="4294967293"/>
              </w:rPr>
              <w:t>â€‹</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198,727</w:t>
            </w:r>
            <w:r>
              <w:rPr>
                <w:rFonts w:ascii="Arial" w:cs="Arial" w:eastAsia="Arial" w:hAnsi="Arial"/>
                <w:sz w:val="5"/>
                <w:szCs w:val="5"/>
                <w:color w:val="auto"/>
                <w:vertAlign w:val="subscript"/>
              </w:rPr>
              <w:t>â€‹</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3"/>
                <w:szCs w:val="3"/>
                <w:color w:val="auto"/>
                <w:w w:val="91"/>
              </w:rPr>
              <w:t>â€‹</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18,930</w:t>
            </w:r>
            <w:r>
              <w:rPr>
                <w:rFonts w:ascii="Arial" w:cs="Arial" w:eastAsia="Arial" w:hAnsi="Arial"/>
                <w:sz w:val="5"/>
                <w:szCs w:val="5"/>
                <w:color w:val="auto"/>
                <w:vertAlign w:val="subscript"/>
              </w:rPr>
              <w:t>â€‹</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160,505</w:t>
            </w:r>
            <w:r>
              <w:rPr>
                <w:rFonts w:ascii="Arial" w:cs="Arial" w:eastAsia="Arial" w:hAnsi="Arial"/>
                <w:sz w:val="5"/>
                <w:szCs w:val="5"/>
                <w:color w:val="auto"/>
                <w:vertAlign w:val="subscript"/>
              </w:rPr>
              <w:t>â€‹</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3"/>
                <w:szCs w:val="3"/>
                <w:color w:val="auto"/>
              </w:rPr>
              <w:t>â€‹</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179,435</w:t>
            </w:r>
            <w:r>
              <w:rPr>
                <w:rFonts w:ascii="Arial" w:cs="Arial" w:eastAsia="Arial" w:hAnsi="Arial"/>
                <w:sz w:val="5"/>
                <w:szCs w:val="5"/>
                <w:color w:val="auto"/>
                <w:vertAlign w:val="subscript"/>
              </w:rPr>
              <w:t>â€‹</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0"/>
                <w:szCs w:val="20"/>
                <w:color w:val="auto"/>
              </w:rPr>
            </w:pPr>
            <w:r>
              <w:rPr>
                <w:rFonts w:ascii="Arial" w:cs="Arial" w:eastAsia="Arial" w:hAnsi="Arial"/>
                <w:sz w:val="1"/>
                <w:szCs w:val="1"/>
                <w:color w:val="auto"/>
              </w:rPr>
              <w:t>â€‹</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vMerge w:val="restart"/>
          </w:tcPr>
          <w:p>
            <w:pPr>
              <w:jc w:val="right"/>
              <w:ind w:right="13"/>
              <w:spacing w:after="0"/>
              <w:rPr>
                <w:sz w:val="20"/>
                <w:szCs w:val="20"/>
                <w:color w:val="auto"/>
              </w:rPr>
            </w:pPr>
            <w:r>
              <w:rPr>
                <w:rFonts w:ascii="Arial" w:cs="Arial" w:eastAsia="Arial" w:hAnsi="Arial"/>
                <w:sz w:val="13"/>
                <w:szCs w:val="13"/>
                <w:color w:val="auto"/>
              </w:rPr>
              <w:t>(30,060)</w:t>
            </w:r>
          </w:p>
        </w:tc>
        <w:tc>
          <w:tcPr>
            <w:tcW w:w="140" w:type="dxa"/>
            <w:vAlign w:val="bottom"/>
          </w:tcPr>
          <w:p>
            <w:pPr>
              <w:spacing w:after="0"/>
              <w:rPr>
                <w:sz w:val="2"/>
                <w:szCs w:val="2"/>
                <w:color w:val="auto"/>
              </w:rPr>
            </w:pPr>
          </w:p>
        </w:tc>
        <w:tc>
          <w:tcPr>
            <w:tcW w:w="720" w:type="dxa"/>
            <w:vAlign w:val="bottom"/>
            <w:gridSpan w:val="2"/>
            <w:vMerge w:val="restart"/>
          </w:tcPr>
          <w:p>
            <w:pPr>
              <w:jc w:val="right"/>
              <w:ind w:right="13"/>
              <w:spacing w:after="0"/>
              <w:rPr>
                <w:sz w:val="20"/>
                <w:szCs w:val="20"/>
                <w:color w:val="auto"/>
              </w:rPr>
            </w:pPr>
            <w:r>
              <w:rPr>
                <w:rFonts w:ascii="Arial" w:cs="Arial" w:eastAsia="Arial" w:hAnsi="Arial"/>
                <w:sz w:val="13"/>
                <w:szCs w:val="13"/>
                <w:color w:val="auto"/>
              </w:rPr>
              <w:t>(30,187)</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rPr>
              <w:t>(60,247)</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restart"/>
          </w:tcPr>
          <w:p>
            <w:pPr>
              <w:jc w:val="right"/>
              <w:ind w:right="13"/>
              <w:spacing w:after="0"/>
              <w:rPr>
                <w:sz w:val="20"/>
                <w:szCs w:val="20"/>
                <w:color w:val="auto"/>
              </w:rPr>
            </w:pPr>
            <w:r>
              <w:rPr>
                <w:rFonts w:ascii="Arial" w:cs="Arial" w:eastAsia="Arial" w:hAnsi="Arial"/>
                <w:sz w:val="13"/>
                <w:szCs w:val="13"/>
                <w:color w:val="auto"/>
              </w:rPr>
              <w:t>(20,206)</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restart"/>
          </w:tcPr>
          <w:p>
            <w:pPr>
              <w:jc w:val="right"/>
              <w:ind w:right="13"/>
              <w:spacing w:after="0"/>
              <w:rPr>
                <w:sz w:val="20"/>
                <w:szCs w:val="20"/>
                <w:color w:val="auto"/>
              </w:rPr>
            </w:pPr>
            <w:r>
              <w:rPr>
                <w:rFonts w:ascii="Arial" w:cs="Arial" w:eastAsia="Arial" w:hAnsi="Arial"/>
                <w:sz w:val="13"/>
                <w:szCs w:val="13"/>
                <w:color w:val="auto"/>
              </w:rPr>
              <w:t>(44,916)</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vMerge w:val="restart"/>
          </w:tcPr>
          <w:p>
            <w:pPr>
              <w:jc w:val="right"/>
              <w:ind w:right="13"/>
              <w:spacing w:after="0"/>
              <w:rPr>
                <w:sz w:val="20"/>
                <w:szCs w:val="20"/>
                <w:color w:val="auto"/>
              </w:rPr>
            </w:pPr>
            <w:r>
              <w:rPr>
                <w:rFonts w:ascii="Arial" w:cs="Arial" w:eastAsia="Arial" w:hAnsi="Arial"/>
                <w:sz w:val="13"/>
                <w:szCs w:val="13"/>
                <w:color w:val="auto"/>
              </w:rPr>
              <w:t>(65,122)</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2"/>
            <w:vMerge w:val="restart"/>
          </w:tcPr>
          <w:p>
            <w:pPr>
              <w:jc w:val="right"/>
              <w:ind w:right="13"/>
              <w:spacing w:after="0"/>
              <w:rPr>
                <w:sz w:val="20"/>
                <w:szCs w:val="20"/>
                <w:color w:val="auto"/>
              </w:rPr>
            </w:pPr>
            <w:r>
              <w:rPr>
                <w:rFonts w:ascii="Arial" w:cs="Arial" w:eastAsia="Arial" w:hAnsi="Arial"/>
                <w:sz w:val="13"/>
                <w:szCs w:val="13"/>
                <w:color w:val="auto"/>
              </w:rPr>
              <w:t>(6,029)</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restart"/>
          </w:tcPr>
          <w:p>
            <w:pPr>
              <w:jc w:val="right"/>
              <w:ind w:right="13"/>
              <w:spacing w:after="0"/>
              <w:rPr>
                <w:sz w:val="20"/>
                <w:szCs w:val="20"/>
                <w:color w:val="auto"/>
              </w:rPr>
            </w:pPr>
            <w:r>
              <w:rPr>
                <w:rFonts w:ascii="Arial" w:cs="Arial" w:eastAsia="Arial" w:hAnsi="Arial"/>
                <w:sz w:val="13"/>
                <w:szCs w:val="13"/>
                <w:color w:val="auto"/>
              </w:rPr>
              <w:t>(60,258)</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restart"/>
          </w:tcPr>
          <w:p>
            <w:pPr>
              <w:jc w:val="right"/>
              <w:ind w:right="33"/>
              <w:spacing w:after="0"/>
              <w:rPr>
                <w:sz w:val="20"/>
                <w:szCs w:val="20"/>
                <w:color w:val="auto"/>
              </w:rPr>
            </w:pPr>
            <w:r>
              <w:rPr>
                <w:rFonts w:ascii="Arial" w:cs="Arial" w:eastAsia="Arial" w:hAnsi="Arial"/>
                <w:sz w:val="13"/>
                <w:szCs w:val="13"/>
                <w:color w:val="auto"/>
              </w:rPr>
              <w:t>(66,287)</w:t>
            </w:r>
          </w:p>
        </w:tc>
        <w:tc>
          <w:tcPr>
            <w:tcW w:w="0" w:type="dxa"/>
            <w:vAlign w:val="bottom"/>
          </w:tcPr>
          <w:p>
            <w:pPr>
              <w:spacing w:after="0" w:line="20" w:lineRule="exact"/>
              <w:rPr>
                <w:sz w:val="1"/>
                <w:szCs w:val="1"/>
                <w:color w:val="auto"/>
              </w:rPr>
            </w:pPr>
          </w:p>
        </w:tc>
      </w:tr>
      <w:tr>
        <w:trPr>
          <w:trHeight w:val="135"/>
        </w:trPr>
        <w:tc>
          <w:tcPr>
            <w:tcW w:w="940" w:type="dxa"/>
            <w:vAlign w:val="bottom"/>
          </w:tcPr>
          <w:p>
            <w:pPr>
              <w:spacing w:after="0" w:line="135" w:lineRule="exact"/>
              <w:rPr>
                <w:sz w:val="20"/>
                <w:szCs w:val="20"/>
                <w:color w:val="auto"/>
              </w:rPr>
            </w:pPr>
            <w:r>
              <w:rPr>
                <w:rFonts w:ascii="Arial" w:cs="Arial" w:eastAsia="Arial" w:hAnsi="Arial"/>
                <w:sz w:val="13"/>
                <w:szCs w:val="13"/>
                <w:color w:val="auto"/>
              </w:rPr>
              <w:t>Financial costs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20"/>
                <w:szCs w:val="20"/>
                <w:color w:val="auto"/>
              </w:rPr>
            </w:pPr>
            <w:r>
              <w:rPr>
                <w:rFonts w:ascii="Arial" w:cs="Arial" w:eastAsia="Arial" w:hAnsi="Arial"/>
                <w:sz w:val="13"/>
                <w:szCs w:val="13"/>
                <w:color w:val="auto"/>
                <w:w w:val="94"/>
              </w:rPr>
              <w:t>Financial income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972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1,019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2,398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40" w:type="dxa"/>
            <w:vAlign w:val="bottom"/>
          </w:tcPr>
          <w:p>
            <w:pPr>
              <w:spacing w:after="0" w:line="138" w:lineRule="exact"/>
              <w:rPr>
                <w:sz w:val="20"/>
                <w:szCs w:val="20"/>
                <w:color w:val="auto"/>
              </w:rPr>
            </w:pPr>
            <w:r>
              <w:rPr>
                <w:rFonts w:ascii="Arial" w:cs="Arial" w:eastAsia="Arial" w:hAnsi="Arial"/>
                <w:sz w:val="13"/>
                <w:szCs w:val="13"/>
                <w:color w:val="auto"/>
              </w:rPr>
              <w:t>(Loss)/gain 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40" w:type="dxa"/>
            <w:vAlign w:val="bottom"/>
          </w:tcPr>
          <w:p>
            <w:pPr>
              <w:ind w:left="140"/>
              <w:spacing w:after="0" w:line="147" w:lineRule="exact"/>
              <w:rPr>
                <w:sz w:val="20"/>
                <w:szCs w:val="20"/>
                <w:color w:val="auto"/>
              </w:rPr>
            </w:pPr>
            <w:r>
              <w:rPr>
                <w:rFonts w:ascii="Arial" w:cs="Arial" w:eastAsia="Arial" w:hAnsi="Arial"/>
                <w:sz w:val="13"/>
                <w:szCs w:val="13"/>
                <w:color w:val="auto"/>
              </w:rPr>
              <w:t>derivatives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3"/>
              <w:spacing w:after="0" w:line="147" w:lineRule="exact"/>
              <w:rPr>
                <w:sz w:val="20"/>
                <w:szCs w:val="20"/>
                <w:color w:val="auto"/>
              </w:rPr>
            </w:pPr>
            <w:r>
              <w:rPr>
                <w:rFonts w:ascii="Arial" w:cs="Arial" w:eastAsia="Arial" w:hAnsi="Arial"/>
                <w:sz w:val="13"/>
                <w:szCs w:val="13"/>
                <w:color w:val="auto"/>
              </w:rPr>
              <w:t>(10,460)</w:t>
            </w:r>
          </w:p>
        </w:tc>
        <w:tc>
          <w:tcPr>
            <w:tcW w:w="1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3,623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(6,837)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53"/>
              <w:spacing w:after="0" w:line="147" w:lineRule="exact"/>
              <w:rPr>
                <w:sz w:val="20"/>
                <w:szCs w:val="20"/>
                <w:color w:val="auto"/>
              </w:rPr>
            </w:pPr>
            <w:r>
              <w:rPr>
                <w:rFonts w:ascii="Arial" w:cs="Arial" w:eastAsia="Arial" w:hAnsi="Arial"/>
                <w:sz w:val="13"/>
                <w:szCs w:val="13"/>
                <w:color w:val="auto"/>
              </w:rPr>
              <w:t>â€”</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3"/>
                <w:szCs w:val="13"/>
                <w:color w:val="auto"/>
              </w:rPr>
              <w:t>121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53"/>
              <w:spacing w:after="0" w:line="147" w:lineRule="exact"/>
              <w:rPr>
                <w:sz w:val="20"/>
                <w:szCs w:val="20"/>
                <w:color w:val="auto"/>
              </w:rPr>
            </w:pPr>
            <w:r>
              <w:rPr>
                <w:rFonts w:ascii="Arial" w:cs="Arial" w:eastAsia="Arial" w:hAnsi="Arial"/>
                <w:sz w:val="13"/>
                <w:szCs w:val="13"/>
                <w:color w:val="auto"/>
              </w:rPr>
              <w:t>â€”</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3"/>
              <w:spacing w:after="0" w:line="147" w:lineRule="exact"/>
              <w:rPr>
                <w:sz w:val="20"/>
                <w:szCs w:val="20"/>
                <w:color w:val="auto"/>
              </w:rPr>
            </w:pPr>
            <w:r>
              <w:rPr>
                <w:rFonts w:ascii="Arial" w:cs="Arial" w:eastAsia="Arial" w:hAnsi="Arial"/>
                <w:sz w:val="13"/>
                <w:szCs w:val="13"/>
                <w:color w:val="auto"/>
              </w:rPr>
              <w:t>(48)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3"/>
              <w:spacing w:after="0" w:line="147"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40"/>
        </w:trPr>
        <w:tc>
          <w:tcPr>
            <w:tcW w:w="940" w:type="dxa"/>
            <w:vAlign w:val="bottom"/>
          </w:tcPr>
          <w:p>
            <w:pPr>
              <w:spacing w:after="0"/>
              <w:rPr>
                <w:sz w:val="20"/>
                <w:szCs w:val="20"/>
                <w:color w:val="auto"/>
              </w:rPr>
            </w:pPr>
            <w:r>
              <w:rPr>
                <w:rFonts w:ascii="Arial" w:cs="Arial" w:eastAsia="Arial" w:hAnsi="Arial"/>
                <w:sz w:val="3"/>
                <w:szCs w:val="3"/>
                <w:color w:val="auto"/>
              </w:rPr>
              <w:t>â€‹</w:t>
            </w:r>
          </w:p>
        </w:tc>
        <w:tc>
          <w:tcPr>
            <w:tcW w:w="60" w:type="dxa"/>
            <w:vAlign w:val="bottom"/>
          </w:tcPr>
          <w:p>
            <w:pPr>
              <w:ind w:left="20"/>
              <w:spacing w:after="0"/>
              <w:rPr>
                <w:sz w:val="20"/>
                <w:szCs w:val="20"/>
                <w:color w:val="auto"/>
              </w:rPr>
            </w:pPr>
            <w:r>
              <w:rPr>
                <w:rFonts w:ascii="Arial" w:cs="Arial" w:eastAsia="Arial" w:hAnsi="Arial"/>
                <w:sz w:val="1"/>
                <w:szCs w:val="1"/>
                <w:color w:val="auto"/>
              </w:rPr>
              <w:t>â€‹</w:t>
            </w: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0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14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33"/>
              <w:spacing w:after="0"/>
              <w:rPr>
                <w:sz w:val="20"/>
                <w:szCs w:val="20"/>
                <w:color w:val="auto"/>
              </w:rPr>
            </w:pPr>
            <w:r>
              <w:rPr>
                <w:rFonts w:ascii="Arial" w:cs="Arial" w:eastAsia="Arial" w:hAnsi="Arial"/>
                <w:sz w:val="1"/>
                <w:szCs w:val="1"/>
                <w:color w:val="auto"/>
                <w:w w:val="4294967293"/>
              </w:rPr>
              <w:t>â€‹</w:t>
            </w:r>
          </w:p>
        </w:tc>
        <w:tc>
          <w:tcPr>
            <w:tcW w:w="20" w:type="dxa"/>
            <w:vAlign w:val="bottom"/>
          </w:tcPr>
          <w:p>
            <w:pPr>
              <w:spacing w:after="0"/>
              <w:rPr>
                <w:sz w:val="3"/>
                <w:szCs w:val="3"/>
                <w:color w:val="auto"/>
              </w:rPr>
            </w:pPr>
          </w:p>
        </w:tc>
        <w:tc>
          <w:tcPr>
            <w:tcW w:w="60" w:type="dxa"/>
            <w:vAlign w:val="bottom"/>
          </w:tcPr>
          <w:p>
            <w:pPr>
              <w:spacing w:after="0"/>
              <w:rPr>
                <w:sz w:val="20"/>
                <w:szCs w:val="20"/>
                <w:color w:val="auto"/>
              </w:rPr>
            </w:pPr>
            <w:r>
              <w:rPr>
                <w:rFonts w:ascii="Arial" w:cs="Arial" w:eastAsia="Arial" w:hAnsi="Arial"/>
                <w:sz w:val="3"/>
                <w:szCs w:val="3"/>
                <w:color w:val="auto"/>
                <w:w w:val="91"/>
              </w:rPr>
              <w:t>â€‹</w:t>
            </w:r>
          </w:p>
        </w:tc>
        <w:tc>
          <w:tcPr>
            <w:tcW w:w="60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20" w:type="dxa"/>
            <w:vAlign w:val="bottom"/>
          </w:tcPr>
          <w:p>
            <w:pPr>
              <w:spacing w:after="0"/>
              <w:rPr>
                <w:sz w:val="3"/>
                <w:szCs w:val="3"/>
                <w:color w:val="auto"/>
              </w:rPr>
            </w:pPr>
          </w:p>
        </w:tc>
        <w:tc>
          <w:tcPr>
            <w:tcW w:w="8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33"/>
              <w:spacing w:after="0"/>
              <w:rPr>
                <w:sz w:val="20"/>
                <w:szCs w:val="20"/>
                <w:color w:val="auto"/>
              </w:rPr>
            </w:pPr>
            <w:r>
              <w:rPr>
                <w:rFonts w:ascii="Arial" w:cs="Arial" w:eastAsia="Arial" w:hAnsi="Arial"/>
                <w:sz w:val="1"/>
                <w:szCs w:val="1"/>
                <w:color w:val="auto"/>
                <w:w w:val="4294967293"/>
              </w:rPr>
              <w:t>â€‹</w:t>
            </w:r>
          </w:p>
        </w:tc>
        <w:tc>
          <w:tcPr>
            <w:tcW w:w="40" w:type="dxa"/>
            <w:vAlign w:val="bottom"/>
          </w:tcPr>
          <w:p>
            <w:pPr>
              <w:spacing w:after="0"/>
              <w:rPr>
                <w:sz w:val="3"/>
                <w:szCs w:val="3"/>
                <w:color w:val="auto"/>
              </w:rPr>
            </w:pPr>
          </w:p>
        </w:tc>
        <w:tc>
          <w:tcPr>
            <w:tcW w:w="60" w:type="dxa"/>
            <w:vAlign w:val="bottom"/>
          </w:tcPr>
          <w:p>
            <w:pPr>
              <w:jc w:val="right"/>
              <w:ind w:right="26"/>
              <w:spacing w:after="0"/>
              <w:rPr>
                <w:sz w:val="20"/>
                <w:szCs w:val="20"/>
                <w:color w:val="auto"/>
              </w:rPr>
            </w:pPr>
            <w:r>
              <w:rPr>
                <w:rFonts w:ascii="Arial" w:cs="Arial" w:eastAsia="Arial" w:hAnsi="Arial"/>
                <w:sz w:val="1"/>
                <w:szCs w:val="1"/>
                <w:color w:val="auto"/>
                <w:w w:val="4294967293"/>
              </w:rPr>
              <w:t>â€‹</w:t>
            </w:r>
          </w:p>
        </w:tc>
        <w:tc>
          <w:tcPr>
            <w:tcW w:w="62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60" w:type="dxa"/>
            <w:vAlign w:val="bottom"/>
          </w:tcPr>
          <w:p>
            <w:pPr>
              <w:spacing w:after="0"/>
              <w:rPr>
                <w:sz w:val="20"/>
                <w:szCs w:val="20"/>
                <w:color w:val="auto"/>
              </w:rPr>
            </w:pPr>
            <w:r>
              <w:rPr>
                <w:rFonts w:ascii="Arial" w:cs="Arial" w:eastAsia="Arial" w:hAnsi="Arial"/>
                <w:sz w:val="3"/>
                <w:szCs w:val="3"/>
                <w:color w:val="auto"/>
                <w:w w:val="91"/>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80" w:type="dxa"/>
            <w:vAlign w:val="bottom"/>
          </w:tcPr>
          <w:p>
            <w:pPr>
              <w:spacing w:after="0"/>
              <w:rPr>
                <w:sz w:val="20"/>
                <w:szCs w:val="20"/>
                <w:color w:val="auto"/>
              </w:rPr>
            </w:pPr>
            <w:r>
              <w:rPr>
                <w:rFonts w:ascii="Arial" w:cs="Arial" w:eastAsia="Arial" w:hAnsi="Arial"/>
                <w:sz w:val="3"/>
                <w:szCs w:val="3"/>
                <w:color w:val="auto"/>
              </w:rPr>
              <w:t>â€‹</w:t>
            </w:r>
          </w:p>
        </w:tc>
        <w:tc>
          <w:tcPr>
            <w:tcW w:w="540" w:type="dxa"/>
            <w:vAlign w:val="bottom"/>
          </w:tcPr>
          <w:p>
            <w:pPr>
              <w:jc w:val="right"/>
              <w:spacing w:after="0"/>
              <w:rPr>
                <w:sz w:val="20"/>
                <w:szCs w:val="20"/>
                <w:color w:val="auto"/>
              </w:rPr>
            </w:pPr>
            <w:r>
              <w:rPr>
                <w:rFonts w:ascii="Arial" w:cs="Arial" w:eastAsia="Arial" w:hAnsi="Arial"/>
                <w:sz w:val="3"/>
                <w:szCs w:val="3"/>
                <w:color w:val="auto"/>
              </w:rPr>
              <w:t>â€‹</w:t>
            </w:r>
          </w:p>
        </w:tc>
        <w:tc>
          <w:tcPr>
            <w:tcW w:w="80" w:type="dxa"/>
            <w:vAlign w:val="bottom"/>
          </w:tcPr>
          <w:p>
            <w:pPr>
              <w:jc w:val="right"/>
              <w:ind w:right="53"/>
              <w:spacing w:after="0"/>
              <w:rPr>
                <w:sz w:val="20"/>
                <w:szCs w:val="20"/>
                <w:color w:val="auto"/>
              </w:rPr>
            </w:pPr>
            <w:r>
              <w:rPr>
                <w:rFonts w:ascii="Arial" w:cs="Arial" w:eastAsia="Arial" w:hAnsi="Arial"/>
                <w:sz w:val="1"/>
                <w:szCs w:val="1"/>
                <w:color w:val="auto"/>
                <w:w w:val="4294967293"/>
              </w:rPr>
              <w:t>â€‹</w:t>
            </w:r>
          </w:p>
        </w:tc>
        <w:tc>
          <w:tcPr>
            <w:tcW w:w="0" w:type="dxa"/>
            <w:vAlign w:val="bottom"/>
          </w:tcPr>
          <w:p>
            <w:pPr>
              <w:spacing w:after="0" w:line="20" w:lineRule="exact"/>
              <w:rPr>
                <w:sz w:val="1"/>
                <w:szCs w:val="1"/>
                <w:color w:val="auto"/>
              </w:rPr>
            </w:pPr>
          </w:p>
        </w:tc>
      </w:tr>
      <w:tr>
        <w:trPr>
          <w:trHeight w:val="122"/>
        </w:trPr>
        <w:tc>
          <w:tcPr>
            <w:tcW w:w="940" w:type="dxa"/>
            <w:vAlign w:val="bottom"/>
          </w:tcPr>
          <w:p>
            <w:pPr>
              <w:spacing w:after="0" w:line="123" w:lineRule="exact"/>
              <w:rPr>
                <w:sz w:val="20"/>
                <w:szCs w:val="20"/>
                <w:color w:val="auto"/>
              </w:rPr>
            </w:pPr>
            <w:r>
              <w:rPr>
                <w:rFonts w:ascii="Arial" w:cs="Arial" w:eastAsia="Arial" w:hAnsi="Arial"/>
                <w:sz w:val="13"/>
                <w:szCs w:val="13"/>
                <w:b w:val="1"/>
                <w:bCs w:val="1"/>
                <w:color w:val="auto"/>
              </w:rPr>
              <w:t>Total other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140"/>
              <w:spacing w:after="0"/>
              <w:rPr>
                <w:sz w:val="20"/>
                <w:szCs w:val="20"/>
                <w:color w:val="auto"/>
              </w:rPr>
            </w:pPr>
            <w:r>
              <w:rPr>
                <w:rFonts w:ascii="Arial" w:cs="Arial" w:eastAsia="Arial" w:hAnsi="Arial"/>
                <w:sz w:val="13"/>
                <w:szCs w:val="13"/>
                <w:b w:val="1"/>
                <w:bCs w:val="1"/>
                <w:color w:val="auto"/>
              </w:rPr>
              <w:t>expenses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(40,490)</w:t>
            </w:r>
          </w:p>
        </w:tc>
        <w:tc>
          <w:tcPr>
            <w:tcW w:w="140" w:type="dxa"/>
            <w:vAlign w:val="bottom"/>
          </w:tcPr>
          <w:p>
            <w:pPr>
              <w:spacing w:after="0"/>
              <w:rPr>
                <w:sz w:val="12"/>
                <w:szCs w:val="12"/>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(26,385)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rPr>
              <w:t>(66,875)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(20,159)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(43,823)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(63,982)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(6.014)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(57,908)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(63,922)</w:t>
            </w:r>
          </w:p>
        </w:tc>
        <w:tc>
          <w:tcPr>
            <w:tcW w:w="0" w:type="dxa"/>
            <w:vAlign w:val="bottom"/>
          </w:tcPr>
          <w:p>
            <w:pPr>
              <w:spacing w:after="0"/>
              <w:rPr>
                <w:sz w:val="1"/>
                <w:szCs w:val="1"/>
                <w:color w:val="auto"/>
              </w:rPr>
            </w:pPr>
          </w:p>
        </w:tc>
      </w:tr>
      <w:tr>
        <w:trPr>
          <w:trHeight w:val="40"/>
        </w:trPr>
        <w:tc>
          <w:tcPr>
            <w:tcW w:w="940" w:type="dxa"/>
            <w:vAlign w:val="bottom"/>
          </w:tcPr>
          <w:p>
            <w:pPr>
              <w:spacing w:after="0"/>
              <w:rPr>
                <w:sz w:val="20"/>
                <w:szCs w:val="20"/>
                <w:color w:val="auto"/>
              </w:rPr>
            </w:pPr>
            <w:r>
              <w:rPr>
                <w:rFonts w:ascii="Arial" w:cs="Arial" w:eastAsia="Arial" w:hAnsi="Arial"/>
                <w:sz w:val="3"/>
                <w:szCs w:val="3"/>
                <w:color w:val="auto"/>
              </w:rPr>
              <w:t>â€‹</w:t>
            </w:r>
          </w:p>
        </w:tc>
        <w:tc>
          <w:tcPr>
            <w:tcW w:w="60" w:type="dxa"/>
            <w:vAlign w:val="bottom"/>
          </w:tcPr>
          <w:p>
            <w:pPr>
              <w:ind w:left="20"/>
              <w:spacing w:after="0"/>
              <w:rPr>
                <w:sz w:val="20"/>
                <w:szCs w:val="20"/>
                <w:color w:val="auto"/>
              </w:rPr>
            </w:pPr>
            <w:r>
              <w:rPr>
                <w:rFonts w:ascii="Arial" w:cs="Arial" w:eastAsia="Arial" w:hAnsi="Arial"/>
                <w:sz w:val="1"/>
                <w:szCs w:val="1"/>
                <w:color w:val="auto"/>
              </w:rPr>
              <w:t>â€‹</w:t>
            </w: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0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14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33"/>
              <w:spacing w:after="0"/>
              <w:rPr>
                <w:sz w:val="20"/>
                <w:szCs w:val="20"/>
                <w:color w:val="auto"/>
              </w:rPr>
            </w:pPr>
            <w:r>
              <w:rPr>
                <w:rFonts w:ascii="Arial" w:cs="Arial" w:eastAsia="Arial" w:hAnsi="Arial"/>
                <w:sz w:val="1"/>
                <w:szCs w:val="1"/>
                <w:color w:val="auto"/>
                <w:w w:val="4294967293"/>
              </w:rPr>
              <w:t>â€‹</w:t>
            </w:r>
          </w:p>
        </w:tc>
        <w:tc>
          <w:tcPr>
            <w:tcW w:w="20" w:type="dxa"/>
            <w:vAlign w:val="bottom"/>
          </w:tcPr>
          <w:p>
            <w:pPr>
              <w:spacing w:after="0"/>
              <w:rPr>
                <w:sz w:val="3"/>
                <w:szCs w:val="3"/>
                <w:color w:val="auto"/>
              </w:rPr>
            </w:pPr>
          </w:p>
        </w:tc>
        <w:tc>
          <w:tcPr>
            <w:tcW w:w="60" w:type="dxa"/>
            <w:vAlign w:val="bottom"/>
          </w:tcPr>
          <w:p>
            <w:pPr>
              <w:spacing w:after="0"/>
              <w:rPr>
                <w:sz w:val="20"/>
                <w:szCs w:val="20"/>
                <w:color w:val="auto"/>
              </w:rPr>
            </w:pPr>
            <w:r>
              <w:rPr>
                <w:rFonts w:ascii="Arial" w:cs="Arial" w:eastAsia="Arial" w:hAnsi="Arial"/>
                <w:sz w:val="3"/>
                <w:szCs w:val="3"/>
                <w:color w:val="auto"/>
                <w:w w:val="91"/>
              </w:rPr>
              <w:t>â€‹</w:t>
            </w:r>
          </w:p>
        </w:tc>
        <w:tc>
          <w:tcPr>
            <w:tcW w:w="60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20" w:type="dxa"/>
            <w:vAlign w:val="bottom"/>
          </w:tcPr>
          <w:p>
            <w:pPr>
              <w:spacing w:after="0"/>
              <w:rPr>
                <w:sz w:val="3"/>
                <w:szCs w:val="3"/>
                <w:color w:val="auto"/>
              </w:rPr>
            </w:pPr>
          </w:p>
        </w:tc>
        <w:tc>
          <w:tcPr>
            <w:tcW w:w="8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33"/>
              <w:spacing w:after="0"/>
              <w:rPr>
                <w:sz w:val="20"/>
                <w:szCs w:val="20"/>
                <w:color w:val="auto"/>
              </w:rPr>
            </w:pPr>
            <w:r>
              <w:rPr>
                <w:rFonts w:ascii="Arial" w:cs="Arial" w:eastAsia="Arial" w:hAnsi="Arial"/>
                <w:sz w:val="1"/>
                <w:szCs w:val="1"/>
                <w:color w:val="auto"/>
                <w:w w:val="4294967293"/>
              </w:rPr>
              <w:t>â€‹</w:t>
            </w:r>
          </w:p>
        </w:tc>
        <w:tc>
          <w:tcPr>
            <w:tcW w:w="40" w:type="dxa"/>
            <w:vAlign w:val="bottom"/>
          </w:tcPr>
          <w:p>
            <w:pPr>
              <w:spacing w:after="0"/>
              <w:rPr>
                <w:sz w:val="3"/>
                <w:szCs w:val="3"/>
                <w:color w:val="auto"/>
              </w:rPr>
            </w:pPr>
          </w:p>
        </w:tc>
        <w:tc>
          <w:tcPr>
            <w:tcW w:w="60" w:type="dxa"/>
            <w:vAlign w:val="bottom"/>
          </w:tcPr>
          <w:p>
            <w:pPr>
              <w:jc w:val="right"/>
              <w:ind w:right="26"/>
              <w:spacing w:after="0"/>
              <w:rPr>
                <w:sz w:val="20"/>
                <w:szCs w:val="20"/>
                <w:color w:val="auto"/>
              </w:rPr>
            </w:pPr>
            <w:r>
              <w:rPr>
                <w:rFonts w:ascii="Arial" w:cs="Arial" w:eastAsia="Arial" w:hAnsi="Arial"/>
                <w:sz w:val="1"/>
                <w:szCs w:val="1"/>
                <w:color w:val="auto"/>
                <w:w w:val="4294967293"/>
              </w:rPr>
              <w:t>â€‹</w:t>
            </w:r>
          </w:p>
        </w:tc>
        <w:tc>
          <w:tcPr>
            <w:tcW w:w="62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60" w:type="dxa"/>
            <w:vAlign w:val="bottom"/>
          </w:tcPr>
          <w:p>
            <w:pPr>
              <w:spacing w:after="0"/>
              <w:rPr>
                <w:sz w:val="20"/>
                <w:szCs w:val="20"/>
                <w:color w:val="auto"/>
              </w:rPr>
            </w:pPr>
            <w:r>
              <w:rPr>
                <w:rFonts w:ascii="Arial" w:cs="Arial" w:eastAsia="Arial" w:hAnsi="Arial"/>
                <w:sz w:val="3"/>
                <w:szCs w:val="3"/>
                <w:color w:val="auto"/>
                <w:w w:val="91"/>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80" w:type="dxa"/>
            <w:vAlign w:val="bottom"/>
          </w:tcPr>
          <w:p>
            <w:pPr>
              <w:spacing w:after="0"/>
              <w:rPr>
                <w:sz w:val="20"/>
                <w:szCs w:val="20"/>
                <w:color w:val="auto"/>
              </w:rPr>
            </w:pPr>
            <w:r>
              <w:rPr>
                <w:rFonts w:ascii="Arial" w:cs="Arial" w:eastAsia="Arial" w:hAnsi="Arial"/>
                <w:sz w:val="3"/>
                <w:szCs w:val="3"/>
                <w:color w:val="auto"/>
              </w:rPr>
              <w:t>â€‹</w:t>
            </w:r>
          </w:p>
        </w:tc>
        <w:tc>
          <w:tcPr>
            <w:tcW w:w="540" w:type="dxa"/>
            <w:vAlign w:val="bottom"/>
          </w:tcPr>
          <w:p>
            <w:pPr>
              <w:jc w:val="right"/>
              <w:spacing w:after="0"/>
              <w:rPr>
                <w:sz w:val="20"/>
                <w:szCs w:val="20"/>
                <w:color w:val="auto"/>
              </w:rPr>
            </w:pPr>
            <w:r>
              <w:rPr>
                <w:rFonts w:ascii="Arial" w:cs="Arial" w:eastAsia="Arial" w:hAnsi="Arial"/>
                <w:sz w:val="3"/>
                <w:szCs w:val="3"/>
                <w:color w:val="auto"/>
              </w:rPr>
              <w:t>â€‹</w:t>
            </w:r>
          </w:p>
        </w:tc>
        <w:tc>
          <w:tcPr>
            <w:tcW w:w="80" w:type="dxa"/>
            <w:vAlign w:val="bottom"/>
          </w:tcPr>
          <w:p>
            <w:pPr>
              <w:jc w:val="right"/>
              <w:ind w:right="53"/>
              <w:spacing w:after="0"/>
              <w:rPr>
                <w:sz w:val="20"/>
                <w:szCs w:val="20"/>
                <w:color w:val="auto"/>
              </w:rPr>
            </w:pPr>
            <w:r>
              <w:rPr>
                <w:rFonts w:ascii="Arial" w:cs="Arial" w:eastAsia="Arial" w:hAnsi="Arial"/>
                <w:sz w:val="1"/>
                <w:szCs w:val="1"/>
                <w:color w:val="auto"/>
                <w:w w:val="4294967293"/>
              </w:rPr>
              <w:t>â€‹</w:t>
            </w:r>
          </w:p>
        </w:tc>
        <w:tc>
          <w:tcPr>
            <w:tcW w:w="0" w:type="dxa"/>
            <w:vAlign w:val="bottom"/>
          </w:tcPr>
          <w:p>
            <w:pPr>
              <w:spacing w:after="0" w:line="20" w:lineRule="exact"/>
              <w:rPr>
                <w:sz w:val="1"/>
                <w:szCs w:val="1"/>
                <w:color w:val="auto"/>
              </w:rPr>
            </w:pPr>
          </w:p>
        </w:tc>
      </w:tr>
      <w:tr>
        <w:trPr>
          <w:trHeight w:val="122"/>
        </w:trPr>
        <w:tc>
          <w:tcPr>
            <w:tcW w:w="940" w:type="dxa"/>
            <w:vAlign w:val="bottom"/>
          </w:tcPr>
          <w:p>
            <w:pPr>
              <w:spacing w:after="0" w:line="123" w:lineRule="exact"/>
              <w:rPr>
                <w:sz w:val="20"/>
                <w:szCs w:val="20"/>
                <w:color w:val="auto"/>
              </w:rPr>
            </w:pPr>
            <w:r>
              <w:rPr>
                <w:rFonts w:ascii="Arial" w:cs="Arial" w:eastAsia="Arial" w:hAnsi="Arial"/>
                <w:sz w:val="13"/>
                <w:szCs w:val="13"/>
                <w:b w:val="1"/>
                <w:bCs w:val="1"/>
                <w:color w:val="auto"/>
              </w:rPr>
              <w:t>Profit for the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140"/>
              <w:spacing w:after="0"/>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22,439</w:t>
            </w:r>
          </w:p>
        </w:tc>
        <w:tc>
          <w:tcPr>
            <w:tcW w:w="6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77,270</w:t>
            </w:r>
          </w:p>
        </w:tc>
        <w:tc>
          <w:tcPr>
            <w:tcW w:w="60" w:type="dxa"/>
            <w:vAlign w:val="bottom"/>
          </w:tcPr>
          <w:p>
            <w:pPr>
              <w:spacing w:after="0"/>
              <w:rPr>
                <w:sz w:val="12"/>
                <w:szCs w:val="12"/>
                <w:color w:val="auto"/>
              </w:rPr>
            </w:pPr>
          </w:p>
        </w:tc>
        <w:tc>
          <w:tcPr>
            <w:tcW w:w="80" w:type="dxa"/>
            <w:vAlign w:val="bottom"/>
            <w:gridSpan w:val="2"/>
          </w:tcPr>
          <w:p>
            <w:pPr>
              <w:ind w:left="20"/>
              <w:spacing w:after="0"/>
              <w:rPr>
                <w:sz w:val="20"/>
                <w:szCs w:val="20"/>
                <w:color w:val="auto"/>
              </w:rPr>
            </w:pPr>
            <w:r>
              <w:rPr>
                <w:rFonts w:ascii="Arial" w:cs="Arial" w:eastAsia="Arial" w:hAnsi="Arial"/>
                <w:sz w:val="10"/>
                <w:szCs w:val="10"/>
                <w:b w:val="1"/>
                <w:bCs w:val="1"/>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b w:val="1"/>
                <w:bCs w:val="1"/>
                <w:u w:val="single" w:color="auto"/>
                <w:color w:val="auto"/>
              </w:rPr>
              <w:t>99,709</w:t>
            </w:r>
          </w:p>
        </w:tc>
        <w:tc>
          <w:tcPr>
            <w:tcW w:w="60" w:type="dxa"/>
            <w:vAlign w:val="bottom"/>
          </w:tcPr>
          <w:p>
            <w:pPr>
              <w:spacing w:after="0"/>
              <w:rPr>
                <w:sz w:val="12"/>
                <w:szCs w:val="12"/>
                <w:color w:val="auto"/>
              </w:rPr>
            </w:pPr>
          </w:p>
        </w:tc>
        <w:tc>
          <w:tcPr>
            <w:tcW w:w="100" w:type="dxa"/>
            <w:vAlign w:val="bottom"/>
            <w:gridSpan w:val="2"/>
          </w:tcPr>
          <w:p>
            <w:pPr>
              <w:ind w:left="20"/>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40,628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94,117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134,745</w:t>
            </w:r>
          </w:p>
        </w:tc>
        <w:tc>
          <w:tcPr>
            <w:tcW w:w="60" w:type="dxa"/>
            <w:vAlign w:val="bottom"/>
          </w:tcPr>
          <w:p>
            <w:pPr>
              <w:spacing w:after="0"/>
              <w:rPr>
                <w:sz w:val="12"/>
                <w:szCs w:val="12"/>
                <w:color w:val="auto"/>
              </w:rPr>
            </w:pPr>
          </w:p>
        </w:tc>
        <w:tc>
          <w:tcPr>
            <w:tcW w:w="100" w:type="dxa"/>
            <w:vAlign w:val="bottom"/>
            <w:gridSpan w:val="2"/>
          </w:tcPr>
          <w:p>
            <w:pPr>
              <w:ind w:left="4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12,916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102,597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115,513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940" w:type="dxa"/>
            <w:vAlign w:val="bottom"/>
          </w:tcPr>
          <w:p>
            <w:pPr>
              <w:spacing w:after="0"/>
              <w:rPr>
                <w:sz w:val="20"/>
                <w:szCs w:val="20"/>
                <w:color w:val="auto"/>
              </w:rPr>
            </w:pPr>
            <w:r>
              <w:rPr>
                <w:rFonts w:ascii="Arial" w:cs="Arial" w:eastAsia="Arial" w:hAnsi="Arial"/>
                <w:sz w:val="1"/>
                <w:szCs w:val="1"/>
                <w:color w:val="auto"/>
              </w:rPr>
              <w:t>â€‹</w:t>
            </w:r>
          </w:p>
        </w:tc>
        <w:tc>
          <w:tcPr>
            <w:tcW w:w="60" w:type="dxa"/>
            <w:vAlign w:val="bottom"/>
          </w:tcPr>
          <w:p>
            <w:pPr>
              <w:ind w:left="20"/>
              <w:spacing w:after="0"/>
              <w:rPr>
                <w:sz w:val="20"/>
                <w:szCs w:val="20"/>
                <w:color w:val="auto"/>
              </w:rPr>
            </w:pPr>
            <w:r>
              <w:rPr>
                <w:rFonts w:ascii="Arial" w:cs="Arial" w:eastAsia="Arial" w:hAnsi="Arial"/>
                <w:sz w:val="1"/>
                <w:szCs w:val="1"/>
                <w:color w:val="auto"/>
              </w:rPr>
              <w:t>â€‹</w:t>
            </w: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0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14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33"/>
              <w:spacing w:after="0"/>
              <w:rPr>
                <w:sz w:val="20"/>
                <w:szCs w:val="20"/>
                <w:color w:val="auto"/>
              </w:rPr>
            </w:pPr>
            <w:r>
              <w:rPr>
                <w:rFonts w:ascii="Arial" w:cs="Arial" w:eastAsia="Arial" w:hAnsi="Arial"/>
                <w:sz w:val="1"/>
                <w:szCs w:val="1"/>
                <w:color w:val="auto"/>
                <w:w w:val="4294967293"/>
              </w:rPr>
              <w:t>â€‹</w:t>
            </w:r>
          </w:p>
        </w:tc>
        <w:tc>
          <w:tcPr>
            <w:tcW w:w="20" w:type="dxa"/>
            <w:vAlign w:val="bottom"/>
          </w:tcPr>
          <w:p>
            <w:pPr>
              <w:spacing w:after="0"/>
              <w:rPr>
                <w:sz w:val="3"/>
                <w:szCs w:val="3"/>
                <w:color w:val="auto"/>
              </w:rPr>
            </w:pPr>
          </w:p>
        </w:tc>
        <w:tc>
          <w:tcPr>
            <w:tcW w:w="60" w:type="dxa"/>
            <w:vAlign w:val="bottom"/>
          </w:tcPr>
          <w:p>
            <w:pPr>
              <w:spacing w:after="0"/>
              <w:rPr>
                <w:sz w:val="20"/>
                <w:szCs w:val="20"/>
                <w:color w:val="auto"/>
              </w:rPr>
            </w:pPr>
            <w:r>
              <w:rPr>
                <w:rFonts w:ascii="Arial" w:cs="Arial" w:eastAsia="Arial" w:hAnsi="Arial"/>
                <w:sz w:val="3"/>
                <w:szCs w:val="3"/>
                <w:color w:val="auto"/>
                <w:w w:val="91"/>
              </w:rPr>
              <w:t>â€‹</w:t>
            </w:r>
          </w:p>
        </w:tc>
        <w:tc>
          <w:tcPr>
            <w:tcW w:w="60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20" w:type="dxa"/>
            <w:vAlign w:val="bottom"/>
          </w:tcPr>
          <w:p>
            <w:pPr>
              <w:spacing w:after="0"/>
              <w:rPr>
                <w:sz w:val="3"/>
                <w:szCs w:val="3"/>
                <w:color w:val="auto"/>
              </w:rPr>
            </w:pPr>
          </w:p>
        </w:tc>
        <w:tc>
          <w:tcPr>
            <w:tcW w:w="8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33"/>
              <w:spacing w:after="0"/>
              <w:rPr>
                <w:sz w:val="20"/>
                <w:szCs w:val="20"/>
                <w:color w:val="auto"/>
              </w:rPr>
            </w:pPr>
            <w:r>
              <w:rPr>
                <w:rFonts w:ascii="Arial" w:cs="Arial" w:eastAsia="Arial" w:hAnsi="Arial"/>
                <w:sz w:val="1"/>
                <w:szCs w:val="1"/>
                <w:color w:val="auto"/>
                <w:w w:val="4294967293"/>
              </w:rPr>
              <w:t>â€‹</w:t>
            </w:r>
          </w:p>
        </w:tc>
        <w:tc>
          <w:tcPr>
            <w:tcW w:w="40" w:type="dxa"/>
            <w:vAlign w:val="bottom"/>
          </w:tcPr>
          <w:p>
            <w:pPr>
              <w:spacing w:after="0"/>
              <w:rPr>
                <w:sz w:val="3"/>
                <w:szCs w:val="3"/>
                <w:color w:val="auto"/>
              </w:rPr>
            </w:pPr>
          </w:p>
        </w:tc>
        <w:tc>
          <w:tcPr>
            <w:tcW w:w="60" w:type="dxa"/>
            <w:vAlign w:val="bottom"/>
          </w:tcPr>
          <w:p>
            <w:pPr>
              <w:jc w:val="right"/>
              <w:ind w:right="26"/>
              <w:spacing w:after="0"/>
              <w:rPr>
                <w:sz w:val="20"/>
                <w:szCs w:val="20"/>
                <w:color w:val="auto"/>
              </w:rPr>
            </w:pPr>
            <w:r>
              <w:rPr>
                <w:rFonts w:ascii="Arial" w:cs="Arial" w:eastAsia="Arial" w:hAnsi="Arial"/>
                <w:sz w:val="1"/>
                <w:szCs w:val="1"/>
                <w:color w:val="auto"/>
                <w:w w:val="4294967293"/>
              </w:rPr>
              <w:t>â€‹</w:t>
            </w:r>
          </w:p>
        </w:tc>
        <w:tc>
          <w:tcPr>
            <w:tcW w:w="62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60" w:type="dxa"/>
            <w:vAlign w:val="bottom"/>
          </w:tcPr>
          <w:p>
            <w:pPr>
              <w:spacing w:after="0"/>
              <w:rPr>
                <w:sz w:val="20"/>
                <w:szCs w:val="20"/>
                <w:color w:val="auto"/>
              </w:rPr>
            </w:pPr>
            <w:r>
              <w:rPr>
                <w:rFonts w:ascii="Arial" w:cs="Arial" w:eastAsia="Arial" w:hAnsi="Arial"/>
                <w:sz w:val="3"/>
                <w:szCs w:val="3"/>
                <w:color w:val="auto"/>
                <w:w w:val="91"/>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660" w:type="dxa"/>
            <w:vAlign w:val="bottom"/>
          </w:tcPr>
          <w:p>
            <w:pPr>
              <w:jc w:val="right"/>
              <w:spacing w:after="0"/>
              <w:rPr>
                <w:sz w:val="20"/>
                <w:szCs w:val="20"/>
                <w:color w:val="auto"/>
              </w:rPr>
            </w:pPr>
            <w:r>
              <w:rPr>
                <w:rFonts w:ascii="Arial" w:cs="Arial" w:eastAsia="Arial" w:hAnsi="Arial"/>
                <w:sz w:val="3"/>
                <w:szCs w:val="3"/>
                <w:color w:val="auto"/>
              </w:rPr>
              <w:t>â€‹</w:t>
            </w:r>
          </w:p>
        </w:tc>
        <w:tc>
          <w:tcPr>
            <w:tcW w:w="60" w:type="dxa"/>
            <w:vAlign w:val="bottom"/>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tcPr>
          <w:p>
            <w:pPr>
              <w:spacing w:after="0"/>
              <w:rPr>
                <w:sz w:val="3"/>
                <w:szCs w:val="3"/>
                <w:color w:val="auto"/>
              </w:rPr>
            </w:pPr>
          </w:p>
        </w:tc>
        <w:tc>
          <w:tcPr>
            <w:tcW w:w="80" w:type="dxa"/>
            <w:vAlign w:val="bottom"/>
          </w:tcPr>
          <w:p>
            <w:pPr>
              <w:spacing w:after="0"/>
              <w:rPr>
                <w:sz w:val="20"/>
                <w:szCs w:val="20"/>
                <w:color w:val="auto"/>
              </w:rPr>
            </w:pPr>
            <w:r>
              <w:rPr>
                <w:rFonts w:ascii="Arial" w:cs="Arial" w:eastAsia="Arial" w:hAnsi="Arial"/>
                <w:sz w:val="3"/>
                <w:szCs w:val="3"/>
                <w:color w:val="auto"/>
              </w:rPr>
              <w:t>â€‹</w:t>
            </w:r>
          </w:p>
        </w:tc>
        <w:tc>
          <w:tcPr>
            <w:tcW w:w="540" w:type="dxa"/>
            <w:vAlign w:val="bottom"/>
          </w:tcPr>
          <w:p>
            <w:pPr>
              <w:jc w:val="right"/>
              <w:spacing w:after="0"/>
              <w:rPr>
                <w:sz w:val="20"/>
                <w:szCs w:val="20"/>
                <w:color w:val="auto"/>
              </w:rPr>
            </w:pPr>
            <w:r>
              <w:rPr>
                <w:rFonts w:ascii="Arial" w:cs="Arial" w:eastAsia="Arial" w:hAnsi="Arial"/>
                <w:sz w:val="3"/>
                <w:szCs w:val="3"/>
                <w:color w:val="auto"/>
              </w:rPr>
              <w:t>â€‹</w:t>
            </w:r>
          </w:p>
        </w:tc>
        <w:tc>
          <w:tcPr>
            <w:tcW w:w="80" w:type="dxa"/>
            <w:vAlign w:val="bottom"/>
          </w:tcPr>
          <w:p>
            <w:pPr>
              <w:jc w:val="right"/>
              <w:ind w:right="53"/>
              <w:spacing w:after="0"/>
              <w:rPr>
                <w:sz w:val="20"/>
                <w:szCs w:val="20"/>
                <w:color w:val="auto"/>
              </w:rPr>
            </w:pPr>
            <w:r>
              <w:rPr>
                <w:rFonts w:ascii="Arial" w:cs="Arial" w:eastAsia="Arial" w:hAnsi="Arial"/>
                <w:sz w:val="1"/>
                <w:szCs w:val="1"/>
                <w:color w:val="auto"/>
                <w:w w:val="4294967293"/>
              </w:rPr>
              <w:t>â€‹</w:t>
            </w:r>
          </w:p>
        </w:tc>
        <w:tc>
          <w:tcPr>
            <w:tcW w:w="0" w:type="dxa"/>
            <w:vAlign w:val="bottom"/>
          </w:tcPr>
          <w:p>
            <w:pPr>
              <w:spacing w:after="0" w:line="20" w:lineRule="exact"/>
              <w:rPr>
                <w:sz w:val="1"/>
                <w:szCs w:val="1"/>
                <w:color w:val="auto"/>
              </w:rPr>
            </w:pPr>
          </w:p>
        </w:tc>
      </w:tr>
      <w:tr>
        <w:trPr>
          <w:trHeight w:val="14"/>
        </w:trPr>
        <w:tc>
          <w:tcPr>
            <w:tcW w:w="940" w:type="dxa"/>
            <w:vAlign w:val="bottom"/>
            <w:vMerge w:val="restart"/>
          </w:tcPr>
          <w:p>
            <w:pPr>
              <w:spacing w:after="0"/>
              <w:rPr>
                <w:sz w:val="20"/>
                <w:szCs w:val="20"/>
                <w:color w:val="auto"/>
              </w:rPr>
            </w:pPr>
            <w:r>
              <w:rPr>
                <w:rFonts w:ascii="Arial" w:cs="Arial" w:eastAsia="Arial" w:hAnsi="Arial"/>
                <w:sz w:val="3"/>
                <w:szCs w:val="3"/>
                <w:color w:val="auto"/>
              </w:rPr>
              <w:t>â€‹</w:t>
            </w:r>
          </w:p>
        </w:tc>
        <w:tc>
          <w:tcPr>
            <w:tcW w:w="60" w:type="dxa"/>
            <w:vAlign w:val="bottom"/>
            <w:vMerge w:val="restart"/>
          </w:tcPr>
          <w:p>
            <w:pPr>
              <w:ind w:left="20"/>
              <w:spacing w:after="0"/>
              <w:rPr>
                <w:sz w:val="20"/>
                <w:szCs w:val="20"/>
                <w:color w:val="auto"/>
              </w:rPr>
            </w:pPr>
            <w:r>
              <w:rPr>
                <w:rFonts w:ascii="Arial" w:cs="Arial" w:eastAsia="Arial" w:hAnsi="Arial"/>
                <w:sz w:val="1"/>
                <w:szCs w:val="1"/>
                <w:color w:val="auto"/>
              </w:rPr>
              <w:t>â€‹</w:t>
            </w:r>
          </w:p>
        </w:tc>
        <w:tc>
          <w:tcPr>
            <w:tcW w:w="12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60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60" w:type="dxa"/>
            <w:vAlign w:val="bottom"/>
            <w:vMerge w:val="restart"/>
          </w:tcPr>
          <w:p>
            <w:pPr>
              <w:jc w:val="right"/>
              <w:ind w:right="13"/>
              <w:spacing w:after="0"/>
              <w:rPr>
                <w:sz w:val="20"/>
                <w:szCs w:val="20"/>
                <w:color w:val="auto"/>
              </w:rPr>
            </w:pPr>
            <w:r>
              <w:rPr>
                <w:rFonts w:ascii="Arial" w:cs="Arial" w:eastAsia="Arial" w:hAnsi="Arial"/>
                <w:sz w:val="1"/>
                <w:szCs w:val="1"/>
                <w:color w:val="auto"/>
              </w:rPr>
              <w:t>â€‹</w:t>
            </w:r>
          </w:p>
        </w:tc>
        <w:tc>
          <w:tcPr>
            <w:tcW w:w="14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6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60" w:type="dxa"/>
            <w:vAlign w:val="bottom"/>
            <w:vMerge w:val="restart"/>
          </w:tcPr>
          <w:p>
            <w:pPr>
              <w:jc w:val="right"/>
              <w:ind w:right="33"/>
              <w:spacing w:after="0"/>
              <w:rPr>
                <w:sz w:val="20"/>
                <w:szCs w:val="20"/>
                <w:color w:val="auto"/>
              </w:rPr>
            </w:pPr>
            <w:r>
              <w:rPr>
                <w:rFonts w:ascii="Arial" w:cs="Arial" w:eastAsia="Arial" w:hAnsi="Arial"/>
                <w:sz w:val="1"/>
                <w:szCs w:val="1"/>
                <w:color w:val="auto"/>
                <w:w w:val="4294967293"/>
              </w:rPr>
              <w:t>â€‹</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60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60" w:type="dxa"/>
            <w:vAlign w:val="bottom"/>
            <w:vMerge w:val="restart"/>
          </w:tcPr>
          <w:p>
            <w:pPr>
              <w:jc w:val="right"/>
              <w:ind w:right="13"/>
              <w:spacing w:after="0"/>
              <w:rPr>
                <w:sz w:val="20"/>
                <w:szCs w:val="20"/>
                <w:color w:val="auto"/>
              </w:rPr>
            </w:pPr>
            <w:r>
              <w:rPr>
                <w:rFonts w:ascii="Arial" w:cs="Arial" w:eastAsia="Arial" w:hAnsi="Arial"/>
                <w:sz w:val="1"/>
                <w:szCs w:val="1"/>
                <w:color w:val="auto"/>
              </w:rPr>
              <w:t>â€‹</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6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60" w:type="dxa"/>
            <w:vAlign w:val="bottom"/>
            <w:vMerge w:val="restart"/>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6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60" w:type="dxa"/>
            <w:vAlign w:val="bottom"/>
            <w:vMerge w:val="restart"/>
          </w:tcPr>
          <w:p>
            <w:pPr>
              <w:jc w:val="right"/>
              <w:ind w:right="33"/>
              <w:spacing w:after="0"/>
              <w:rPr>
                <w:sz w:val="20"/>
                <w:szCs w:val="20"/>
                <w:color w:val="auto"/>
              </w:rPr>
            </w:pPr>
            <w:r>
              <w:rPr>
                <w:rFonts w:ascii="Arial" w:cs="Arial" w:eastAsia="Arial" w:hAnsi="Arial"/>
                <w:sz w:val="1"/>
                <w:szCs w:val="1"/>
                <w:color w:val="auto"/>
                <w:w w:val="4294967293"/>
              </w:rPr>
              <w:t>â€‹</w:t>
            </w:r>
          </w:p>
        </w:tc>
        <w:tc>
          <w:tcPr>
            <w:tcW w:w="40" w:type="dxa"/>
            <w:vAlign w:val="bottom"/>
            <w:vMerge w:val="restart"/>
          </w:tcPr>
          <w:p>
            <w:pPr>
              <w:spacing w:after="0" w:line="20" w:lineRule="exact"/>
              <w:rPr>
                <w:sz w:val="1"/>
                <w:szCs w:val="1"/>
                <w:color w:val="auto"/>
              </w:rPr>
            </w:pPr>
          </w:p>
        </w:tc>
        <w:tc>
          <w:tcPr>
            <w:tcW w:w="60" w:type="dxa"/>
            <w:vAlign w:val="bottom"/>
            <w:shd w:val="clear" w:color="auto" w:fill="000000"/>
          </w:tcPr>
          <w:p>
            <w:pPr>
              <w:jc w:val="right"/>
              <w:ind w:right="26"/>
              <w:spacing w:after="0" w:line="7" w:lineRule="exact"/>
              <w:rPr>
                <w:sz w:val="20"/>
                <w:szCs w:val="20"/>
                <w:color w:val="auto"/>
              </w:rPr>
            </w:pPr>
            <w:r>
              <w:rPr>
                <w:rFonts w:ascii="Arial" w:cs="Arial" w:eastAsia="Arial" w:hAnsi="Arial"/>
                <w:sz w:val="1"/>
                <w:szCs w:val="1"/>
                <w:color w:val="auto"/>
                <w:w w:val="4294967293"/>
              </w:rPr>
              <w:t>â€‹</w:t>
            </w:r>
          </w:p>
        </w:tc>
        <w:tc>
          <w:tcPr>
            <w:tcW w:w="62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60" w:type="dxa"/>
            <w:vAlign w:val="bottom"/>
            <w:vMerge w:val="restart"/>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6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60" w:type="dxa"/>
            <w:vAlign w:val="bottom"/>
            <w:vMerge w:val="restart"/>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6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60" w:type="dxa"/>
            <w:vAlign w:val="bottom"/>
            <w:vMerge w:val="restart"/>
          </w:tcPr>
          <w:p>
            <w:pPr>
              <w:jc w:val="right"/>
              <w:ind w:right="13"/>
              <w:spacing w:after="0"/>
              <w:rPr>
                <w:sz w:val="20"/>
                <w:szCs w:val="20"/>
                <w:color w:val="auto"/>
              </w:rPr>
            </w:pPr>
            <w:r>
              <w:rPr>
                <w:rFonts w:ascii="Arial" w:cs="Arial" w:eastAsia="Arial" w:hAnsi="Arial"/>
                <w:sz w:val="1"/>
                <w:szCs w:val="1"/>
                <w:color w:val="auto"/>
              </w:rPr>
              <w:t>â€‹</w:t>
            </w:r>
          </w:p>
        </w:tc>
        <w:tc>
          <w:tcPr>
            <w:tcW w:w="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54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80" w:type="dxa"/>
            <w:vAlign w:val="bottom"/>
            <w:vMerge w:val="restart"/>
          </w:tcPr>
          <w:p>
            <w:pPr>
              <w:jc w:val="right"/>
              <w:ind w:right="53"/>
              <w:spacing w:after="0"/>
              <w:rPr>
                <w:sz w:val="20"/>
                <w:szCs w:val="20"/>
                <w:color w:val="auto"/>
              </w:rPr>
            </w:pPr>
            <w:r>
              <w:rPr>
                <w:rFonts w:ascii="Arial" w:cs="Arial" w:eastAsia="Arial" w:hAnsi="Arial"/>
                <w:sz w:val="1"/>
                <w:szCs w:val="1"/>
                <w:color w:val="auto"/>
                <w:w w:val="4294967293"/>
              </w:rPr>
              <w:t>â€‹</w:t>
            </w:r>
          </w:p>
        </w:tc>
        <w:tc>
          <w:tcPr>
            <w:tcW w:w="0" w:type="dxa"/>
            <w:vAlign w:val="bottom"/>
          </w:tcPr>
          <w:p>
            <w:pPr>
              <w:spacing w:after="0" w:line="20" w:lineRule="exact"/>
              <w:rPr>
                <w:sz w:val="1"/>
                <w:szCs w:val="1"/>
                <w:color w:val="auto"/>
              </w:rPr>
            </w:pPr>
          </w:p>
        </w:tc>
      </w:tr>
      <w:tr>
        <w:trPr>
          <w:trHeight w:val="21"/>
        </w:trPr>
        <w:tc>
          <w:tcPr>
            <w:tcW w:w="9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780"/>
          </w:cols>
          <w:pgMar w:left="160" w:top="51" w:right="9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341870" cy="64503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41870" cy="645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80"/>
        <w:spacing w:after="0"/>
        <w:rPr>
          <w:sz w:val="20"/>
          <w:szCs w:val="20"/>
          <w:color w:val="auto"/>
        </w:rPr>
      </w:pPr>
      <w:r>
        <w:rPr>
          <w:rFonts w:ascii="Arial" w:cs="Arial" w:eastAsia="Arial" w:hAnsi="Arial"/>
          <w:sz w:val="13"/>
          <w:szCs w:val="13"/>
          <w:b w:val="1"/>
          <w:bCs w:val="1"/>
          <w:i w:val="1"/>
          <w:iCs w:val="1"/>
          <w:color w:val="auto"/>
        </w:rPr>
        <w:t>EBITDA</w:t>
      </w:r>
    </w:p>
    <w:p>
      <w:pPr>
        <w:spacing w:after="0" w:line="215" w:lineRule="exact"/>
        <w:rPr>
          <w:sz w:val="20"/>
          <w:szCs w:val="20"/>
          <w:color w:val="auto"/>
        </w:rPr>
      </w:pPr>
    </w:p>
    <w:p>
      <w:pPr>
        <w:ind w:left="780"/>
        <w:spacing w:after="0" w:line="243" w:lineRule="auto"/>
        <w:rPr>
          <w:sz w:val="20"/>
          <w:szCs w:val="20"/>
          <w:color w:val="auto"/>
        </w:rPr>
      </w:pPr>
      <w:r>
        <w:rPr>
          <w:rFonts w:ascii="Arial" w:cs="Arial" w:eastAsia="Arial" w:hAnsi="Arial"/>
          <w:sz w:val="13"/>
          <w:szCs w:val="13"/>
          <w:color w:val="auto"/>
        </w:rPr>
        <w:t>EBITDA is defined as earnings before interest income and expense, gain/loss on derivative financial instruments, taxes, depreciation and amortization. EBITDA, which is a non-GAAP financial measure, is used as a supplemental financial measure by management and external users of financial statements, such as our investors, to assess our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financial costs, gains/losses on derivatives,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93" w:lineRule="exact"/>
        <w:rPr>
          <w:sz w:val="20"/>
          <w:szCs w:val="20"/>
          <w:color w:val="auto"/>
        </w:rPr>
      </w:pPr>
    </w:p>
    <w:p>
      <w:pPr>
        <w:ind w:left="780"/>
        <w:spacing w:after="0" w:line="247" w:lineRule="auto"/>
        <w:rPr>
          <w:sz w:val="20"/>
          <w:szCs w:val="20"/>
          <w:color w:val="auto"/>
        </w:rPr>
      </w:pPr>
      <w:r>
        <w:rPr>
          <w:rFonts w:ascii="Arial" w:cs="Arial" w:eastAsia="Arial" w:hAnsi="Arial"/>
          <w:sz w:val="13"/>
          <w:szCs w:val="13"/>
          <w:color w:val="auto"/>
        </w:rPr>
        <w:t>EBITDA has limitations as an analytical tool and should not be considered as an alternative to, or as a substitute for, or superior to profit, profit from operations, earnings per unit or any other measure of operating performance presented in accordance with IFRS. Some of these limitations include the fact that it does not reflect (i) our cash capital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w:t>
      </w:r>
    </w:p>
    <w:p>
      <w:pPr>
        <w:spacing w:after="0" w:line="189" w:lineRule="exact"/>
        <w:rPr>
          <w:sz w:val="20"/>
          <w:szCs w:val="20"/>
          <w:color w:val="auto"/>
        </w:rPr>
      </w:pPr>
    </w:p>
    <w:p>
      <w:pPr>
        <w:ind w:left="780" w:right="180"/>
        <w:spacing w:after="0" w:line="274" w:lineRule="auto"/>
        <w:rPr>
          <w:sz w:val="20"/>
          <w:szCs w:val="20"/>
          <w:color w:val="auto"/>
        </w:rPr>
      </w:pPr>
      <w:r>
        <w:rPr>
          <w:rFonts w:ascii="Arial" w:cs="Arial" w:eastAsia="Arial" w:hAnsi="Arial"/>
          <w:sz w:val="13"/>
          <w:szCs w:val="13"/>
          <w:color w:val="auto"/>
        </w:rPr>
        <w:t>EBITDA excludes some, but not all, items that affect profit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72" w:lineRule="exact"/>
        <w:rPr>
          <w:sz w:val="20"/>
          <w:szCs w:val="20"/>
          <w:color w:val="auto"/>
        </w:rPr>
      </w:pPr>
    </w:p>
    <w:p>
      <w:pPr>
        <w:ind w:left="780" w:right="140"/>
        <w:spacing w:after="0" w:line="274" w:lineRule="auto"/>
        <w:rPr>
          <w:sz w:val="20"/>
          <w:szCs w:val="20"/>
          <w:color w:val="auto"/>
        </w:rPr>
      </w:pPr>
      <w:r>
        <w:rPr>
          <w:rFonts w:ascii="Arial" w:cs="Arial" w:eastAsia="Arial" w:hAnsi="Arial"/>
          <w:sz w:val="13"/>
          <w:szCs w:val="13"/>
          <w:color w:val="auto"/>
        </w:rPr>
        <w:t>EBITDA is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 below.</w:t>
      </w:r>
    </w:p>
    <w:p>
      <w:pPr>
        <w:spacing w:after="0" w:line="170"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4300" w:type="dxa"/>
            <w:vAlign w:val="bottom"/>
            <w:gridSpan w:val="2"/>
          </w:tcPr>
          <w:p>
            <w:pPr>
              <w:spacing w:after="0"/>
              <w:rPr>
                <w:sz w:val="20"/>
                <w:szCs w:val="20"/>
                <w:color w:val="auto"/>
              </w:rPr>
            </w:pPr>
            <w:r>
              <w:rPr>
                <w:rFonts w:ascii="Arial" w:cs="Arial" w:eastAsia="Arial" w:hAnsi="Arial"/>
                <w:sz w:val="13"/>
                <w:szCs w:val="13"/>
                <w:b w:val="1"/>
                <w:bCs w:val="1"/>
                <w:color w:val="auto"/>
              </w:rPr>
              <w:t>Reconciliation of Profit to EBITDA:</w:t>
            </w:r>
          </w:p>
        </w:tc>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4300" w:type="dxa"/>
            <w:vAlign w:val="bottom"/>
            <w:gridSpan w:val="2"/>
          </w:tcPr>
          <w:p>
            <w:pPr>
              <w:spacing w:after="0"/>
              <w:rPr>
                <w:sz w:val="20"/>
                <w:szCs w:val="20"/>
                <w:color w:val="auto"/>
              </w:rPr>
            </w:pPr>
            <w:r>
              <w:rPr>
                <w:rFonts w:ascii="Arial" w:cs="Arial" w:eastAsia="Arial" w:hAnsi="Arial"/>
                <w:sz w:val="13"/>
                <w:szCs w:val="13"/>
                <w:b w:val="1"/>
                <w:bCs w:val="1"/>
                <w:color w:val="auto"/>
              </w:rPr>
              <w:t>IFRS Common Control Reported Results:</w:t>
            </w: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11"/>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221"/>
              <w:spacing w:after="0" w:line="142" w:lineRule="exact"/>
              <w:rPr>
                <w:sz w:val="20"/>
                <w:szCs w:val="20"/>
                <w:color w:val="auto"/>
              </w:rPr>
            </w:pPr>
            <w:r>
              <w:rPr>
                <w:rFonts w:ascii="Arial" w:cs="Arial" w:eastAsia="Arial" w:hAnsi="Arial"/>
                <w:sz w:val="13"/>
                <w:szCs w:val="13"/>
                <w:b w:val="1"/>
                <w:bCs w:val="1"/>
                <w:color w:val="auto"/>
                <w:w w:val="96"/>
              </w:rPr>
              <w:t>2016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29"/>
              <w:spacing w:after="0" w:line="142" w:lineRule="exact"/>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29"/>
              <w:spacing w:after="0" w:line="142"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40" w:type="dxa"/>
            <w:vAlign w:val="bottom"/>
            <w:gridSpan w:val="4"/>
          </w:tcPr>
          <w:p>
            <w:pPr>
              <w:jc w:val="right"/>
              <w:ind w:right="41"/>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right"/>
              <w:ind w:right="49"/>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11"/>
          </w:tcPr>
          <w:p>
            <w:pPr>
              <w:jc w:val="center"/>
              <w:spacing w:after="0"/>
              <w:rPr>
                <w:sz w:val="20"/>
                <w:szCs w:val="20"/>
                <w:color w:val="auto"/>
              </w:rPr>
            </w:pPr>
            <w:r>
              <w:rPr>
                <w:rFonts w:ascii="Arial" w:cs="Arial" w:eastAsia="Arial" w:hAnsi="Arial"/>
                <w:sz w:val="13"/>
                <w:szCs w:val="13"/>
                <w:b w:val="1"/>
                <w:bCs w:val="1"/>
                <w:color w:val="auto"/>
                <w:w w:val="93"/>
              </w:rPr>
              <w:t>(in thousands of U.S. dollars)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Profit for the year</w:t>
            </w:r>
          </w:p>
        </w:tc>
        <w:tc>
          <w:tcPr>
            <w:tcW w:w="2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99,709</w:t>
            </w:r>
          </w:p>
        </w:tc>
        <w:tc>
          <w:tcPr>
            <w:tcW w:w="8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134,745</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115,513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Depreciation</w:t>
            </w:r>
          </w:p>
        </w:tc>
        <w:tc>
          <w:tcPr>
            <w:tcW w:w="2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70,290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81,089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81,590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Financial costs</w:t>
            </w:r>
          </w:p>
        </w:tc>
        <w:tc>
          <w:tcPr>
            <w:tcW w:w="2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60,247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65,122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Financial income</w:t>
            </w:r>
          </w:p>
        </w:tc>
        <w:tc>
          <w:tcPr>
            <w:tcW w:w="2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33"/>
              <w:spacing w:after="0"/>
              <w:rPr>
                <w:sz w:val="20"/>
                <w:szCs w:val="20"/>
                <w:color w:val="auto"/>
              </w:rPr>
            </w:pPr>
            <w:r>
              <w:rPr>
                <w:rFonts w:ascii="Arial" w:cs="Arial" w:eastAsia="Arial" w:hAnsi="Arial"/>
                <w:sz w:val="13"/>
                <w:szCs w:val="13"/>
                <w:color w:val="auto"/>
              </w:rPr>
              <w:t>(209)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53"/>
              <w:spacing w:after="0"/>
              <w:rPr>
                <w:sz w:val="20"/>
                <w:szCs w:val="20"/>
                <w:color w:val="auto"/>
              </w:rPr>
            </w:pPr>
            <w:r>
              <w:rPr>
                <w:rFonts w:ascii="Arial" w:cs="Arial" w:eastAsia="Arial" w:hAnsi="Arial"/>
                <w:sz w:val="13"/>
                <w:szCs w:val="13"/>
                <w:color w:val="auto"/>
              </w:rPr>
              <w:t>(1,019)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93"/>
              <w:spacing w:after="0"/>
              <w:rPr>
                <w:sz w:val="20"/>
                <w:szCs w:val="20"/>
                <w:color w:val="auto"/>
              </w:rPr>
            </w:pPr>
            <w:r>
              <w:rPr>
                <w:rFonts w:ascii="Arial" w:cs="Arial" w:eastAsia="Arial" w:hAnsi="Arial"/>
                <w:sz w:val="13"/>
                <w:szCs w:val="13"/>
                <w:color w:val="auto"/>
              </w:rPr>
              <w:t>(2,413)</w:t>
            </w:r>
          </w:p>
        </w:tc>
        <w:tc>
          <w:tcPr>
            <w:tcW w:w="0" w:type="dxa"/>
            <w:vAlign w:val="bottom"/>
          </w:tcPr>
          <w:p>
            <w:pPr>
              <w:spacing w:after="0"/>
              <w:rPr>
                <w:sz w:val="1"/>
                <w:szCs w:val="1"/>
                <w:color w:val="auto"/>
              </w:rPr>
            </w:pPr>
          </w:p>
        </w:tc>
      </w:tr>
      <w:tr>
        <w:trPr>
          <w:trHeight w:val="136"/>
        </w:trPr>
        <w:tc>
          <w:tcPr>
            <w:tcW w:w="800" w:type="dxa"/>
            <w:vAlign w:val="bottom"/>
          </w:tcPr>
          <w:p>
            <w:pPr>
              <w:spacing w:after="0"/>
              <w:rPr>
                <w:sz w:val="11"/>
                <w:szCs w:val="11"/>
                <w:color w:val="auto"/>
              </w:rPr>
            </w:pPr>
          </w:p>
        </w:tc>
        <w:tc>
          <w:tcPr>
            <w:tcW w:w="3500" w:type="dxa"/>
            <w:vAlign w:val="bottom"/>
          </w:tcPr>
          <w:p>
            <w:pPr>
              <w:spacing w:after="0" w:line="136" w:lineRule="exact"/>
              <w:rPr>
                <w:sz w:val="20"/>
                <w:szCs w:val="20"/>
                <w:color w:val="auto"/>
              </w:rPr>
            </w:pPr>
            <w:r>
              <w:rPr>
                <w:rFonts w:ascii="Arial" w:cs="Arial" w:eastAsia="Arial" w:hAnsi="Arial"/>
                <w:sz w:val="13"/>
                <w:szCs w:val="13"/>
                <w:color w:val="auto"/>
              </w:rPr>
              <w:t>Loss/(gain) on derivatives</w:t>
            </w:r>
          </w:p>
        </w:tc>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Arial" w:cs="Arial" w:eastAsia="Arial" w:hAnsi="Arial"/>
                <w:sz w:val="13"/>
                <w:szCs w:val="13"/>
                <w:color w:val="auto"/>
              </w:rPr>
              <w:t>6,837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53"/>
              <w:spacing w:after="0" w:line="136" w:lineRule="exact"/>
              <w:rPr>
                <w:sz w:val="20"/>
                <w:szCs w:val="20"/>
                <w:color w:val="auto"/>
              </w:rPr>
            </w:pPr>
            <w:r>
              <w:rPr>
                <w:rFonts w:ascii="Arial" w:cs="Arial" w:eastAsia="Arial" w:hAnsi="Arial"/>
                <w:sz w:val="13"/>
                <w:szCs w:val="13"/>
                <w:color w:val="auto"/>
              </w:rPr>
              <w:t>(121)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48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4300" w:type="dxa"/>
            <w:vAlign w:val="bottom"/>
            <w:gridSpan w:val="2"/>
          </w:tcPr>
          <w:p>
            <w:pPr>
              <w:ind w:left="800"/>
              <w:spacing w:after="0" w:line="33" w:lineRule="exact"/>
              <w:rPr>
                <w:sz w:val="20"/>
                <w:szCs w:val="20"/>
                <w:color w:val="auto"/>
              </w:rPr>
            </w:pPr>
            <w:r>
              <w:rPr>
                <w:rFonts w:ascii="Arial" w:cs="Arial" w:eastAsia="Arial" w:hAnsi="Arial"/>
                <w:sz w:val="3"/>
                <w:szCs w:val="3"/>
                <w:color w:val="auto"/>
              </w:rPr>
              <w:t>â€‹</w:t>
            </w:r>
          </w:p>
        </w:tc>
        <w:tc>
          <w:tcPr>
            <w:tcW w:w="2020" w:type="dxa"/>
            <w:vAlign w:val="bottom"/>
          </w:tcPr>
          <w:p>
            <w:pPr>
              <w:ind w:left="1860"/>
              <w:spacing w:after="0" w:line="33" w:lineRule="exact"/>
              <w:rPr>
                <w:sz w:val="20"/>
                <w:szCs w:val="20"/>
                <w:color w:val="auto"/>
              </w:rPr>
            </w:pPr>
            <w:r>
              <w:rPr>
                <w:rFonts w:ascii="Arial" w:cs="Arial" w:eastAsia="Arial" w:hAnsi="Arial"/>
                <w:sz w:val="3"/>
                <w:szCs w:val="3"/>
                <w:color w:val="auto"/>
              </w:rPr>
              <w:t>â€‹</w:t>
            </w:r>
          </w:p>
        </w:tc>
        <w:tc>
          <w:tcPr>
            <w:tcW w:w="26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80" w:type="dxa"/>
            <w:vAlign w:val="bottom"/>
          </w:tcPr>
          <w:p>
            <w:pPr>
              <w:jc w:val="right"/>
              <w:ind w:right="53"/>
              <w:spacing w:after="0"/>
              <w:rPr>
                <w:sz w:val="20"/>
                <w:szCs w:val="20"/>
                <w:color w:val="auto"/>
              </w:rPr>
            </w:pPr>
            <w:r>
              <w:rPr>
                <w:rFonts w:ascii="Arial" w:cs="Arial" w:eastAsia="Arial" w:hAnsi="Arial"/>
                <w:sz w:val="1"/>
                <w:szCs w:val="1"/>
                <w:color w:val="auto"/>
                <w:w w:val="4294967293"/>
              </w:rPr>
              <w:t>â€‹</w:t>
            </w:r>
          </w:p>
        </w:tc>
        <w:tc>
          <w:tcPr>
            <w:tcW w:w="80" w:type="dxa"/>
            <w:vAlign w:val="bottom"/>
          </w:tcPr>
          <w:p>
            <w:pPr>
              <w:spacing w:after="0"/>
              <w:rPr>
                <w:sz w:val="2"/>
                <w:szCs w:val="2"/>
                <w:color w:val="auto"/>
              </w:rPr>
            </w:pPr>
          </w:p>
        </w:tc>
        <w:tc>
          <w:tcPr>
            <w:tcW w:w="80" w:type="dxa"/>
            <w:vAlign w:val="bottom"/>
            <w:gridSpan w:val="2"/>
          </w:tcPr>
          <w:p>
            <w:pPr>
              <w:spacing w:after="0" w:line="27" w:lineRule="exact"/>
              <w:rPr>
                <w:sz w:val="20"/>
                <w:szCs w:val="20"/>
                <w:color w:val="auto"/>
              </w:rPr>
            </w:pPr>
            <w:r>
              <w:rPr>
                <w:rFonts w:ascii="Arial" w:cs="Arial" w:eastAsia="Arial" w:hAnsi="Arial"/>
                <w:sz w:val="3"/>
                <w:szCs w:val="3"/>
                <w:color w:val="auto"/>
              </w:rPr>
              <w:t>â€‹</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00" w:type="dxa"/>
            <w:vAlign w:val="bottom"/>
          </w:tcPr>
          <w:p>
            <w:pPr>
              <w:jc w:val="right"/>
              <w:ind w:right="53"/>
              <w:spacing w:after="0"/>
              <w:rPr>
                <w:sz w:val="20"/>
                <w:szCs w:val="20"/>
                <w:color w:val="auto"/>
              </w:rPr>
            </w:pPr>
            <w:r>
              <w:rPr>
                <w:rFonts w:ascii="Arial" w:cs="Arial" w:eastAsia="Arial" w:hAnsi="Arial"/>
                <w:sz w:val="1"/>
                <w:szCs w:val="1"/>
                <w:color w:val="auto"/>
              </w:rPr>
              <w:t>â€‹</w:t>
            </w:r>
          </w:p>
        </w:tc>
        <w:tc>
          <w:tcPr>
            <w:tcW w:w="60" w:type="dxa"/>
            <w:vAlign w:val="bottom"/>
          </w:tcPr>
          <w:p>
            <w:pPr>
              <w:spacing w:after="0"/>
              <w:rPr>
                <w:sz w:val="2"/>
                <w:szCs w:val="2"/>
                <w:color w:val="auto"/>
              </w:rPr>
            </w:pPr>
          </w:p>
        </w:tc>
        <w:tc>
          <w:tcPr>
            <w:tcW w:w="18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46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129"/>
        </w:trPr>
        <w:tc>
          <w:tcPr>
            <w:tcW w:w="4300" w:type="dxa"/>
            <w:vAlign w:val="bottom"/>
            <w:gridSpan w:val="2"/>
          </w:tcPr>
          <w:p>
            <w:pPr>
              <w:ind w:left="800"/>
              <w:spacing w:after="0" w:line="129" w:lineRule="exact"/>
              <w:rPr>
                <w:sz w:val="20"/>
                <w:szCs w:val="20"/>
                <w:color w:val="auto"/>
              </w:rPr>
            </w:pPr>
            <w:r>
              <w:rPr>
                <w:rFonts w:ascii="Arial" w:cs="Arial" w:eastAsia="Arial" w:hAnsi="Arial"/>
                <w:sz w:val="13"/>
                <w:szCs w:val="13"/>
                <w:b w:val="1"/>
                <w:bCs w:val="1"/>
                <w:color w:val="auto"/>
              </w:rPr>
              <w:t>EBITDA</w:t>
            </w:r>
          </w:p>
        </w:tc>
        <w:tc>
          <w:tcPr>
            <w:tcW w:w="2020" w:type="dxa"/>
            <w:vAlign w:val="bottom"/>
          </w:tcPr>
          <w:p>
            <w:pPr>
              <w:spacing w:after="0"/>
              <w:rPr>
                <w:sz w:val="11"/>
                <w:szCs w:val="11"/>
                <w:color w:val="auto"/>
              </w:rPr>
            </w:pPr>
          </w:p>
        </w:tc>
        <w:tc>
          <w:tcPr>
            <w:tcW w:w="260" w:type="dxa"/>
            <w:vAlign w:val="bottom"/>
          </w:tcPr>
          <w:p>
            <w:pPr>
              <w:spacing w:after="0" w:line="129" w:lineRule="exact"/>
              <w:rPr>
                <w:sz w:val="20"/>
                <w:szCs w:val="20"/>
                <w:color w:val="auto"/>
              </w:rPr>
            </w:pPr>
            <w:r>
              <w:rPr>
                <w:rFonts w:ascii="Arial" w:cs="Arial" w:eastAsia="Arial" w:hAnsi="Arial"/>
                <w:sz w:val="13"/>
                <w:szCs w:val="13"/>
                <w:b w:val="1"/>
                <w:bCs w:val="1"/>
                <w:color w:val="auto"/>
              </w:rPr>
              <w:t>$</w:t>
            </w:r>
          </w:p>
        </w:tc>
        <w:tc>
          <w:tcPr>
            <w:tcW w:w="580" w:type="dxa"/>
            <w:vAlign w:val="bottom"/>
            <w:gridSpan w:val="3"/>
          </w:tcPr>
          <w:p>
            <w:pPr>
              <w:jc w:val="right"/>
              <w:spacing w:after="0" w:line="129" w:lineRule="exact"/>
              <w:rPr>
                <w:sz w:val="20"/>
                <w:szCs w:val="20"/>
                <w:color w:val="auto"/>
              </w:rPr>
            </w:pPr>
            <w:r>
              <w:rPr>
                <w:rFonts w:ascii="Arial" w:cs="Arial" w:eastAsia="Arial" w:hAnsi="Arial"/>
                <w:sz w:val="13"/>
                <w:szCs w:val="13"/>
                <w:b w:val="1"/>
                <w:bCs w:val="1"/>
                <w:color w:val="auto"/>
              </w:rPr>
              <w:t>236,874</w:t>
            </w:r>
          </w:p>
        </w:tc>
        <w:tc>
          <w:tcPr>
            <w:tcW w:w="80" w:type="dxa"/>
            <w:vAlign w:val="bottom"/>
          </w:tcPr>
          <w:p>
            <w:pPr>
              <w:spacing w:after="0"/>
              <w:rPr>
                <w:sz w:val="11"/>
                <w:szCs w:val="11"/>
                <w:color w:val="auto"/>
              </w:rPr>
            </w:pPr>
          </w:p>
        </w:tc>
        <w:tc>
          <w:tcPr>
            <w:tcW w:w="160" w:type="dxa"/>
            <w:vAlign w:val="bottom"/>
            <w:gridSpan w:val="3"/>
          </w:tcPr>
          <w:p>
            <w:pPr>
              <w:jc w:val="right"/>
              <w:ind w:right="9"/>
              <w:spacing w:after="0" w:line="12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279,816</w:t>
            </w:r>
          </w:p>
        </w:tc>
        <w:tc>
          <w:tcPr>
            <w:tcW w:w="100" w:type="dxa"/>
            <w:vAlign w:val="bottom"/>
          </w:tcPr>
          <w:p>
            <w:pPr>
              <w:spacing w:after="0"/>
              <w:rPr>
                <w:sz w:val="11"/>
                <w:szCs w:val="11"/>
                <w:color w:val="auto"/>
              </w:rPr>
            </w:pPr>
          </w:p>
        </w:tc>
        <w:tc>
          <w:tcPr>
            <w:tcW w:w="240" w:type="dxa"/>
            <w:vAlign w:val="bottom"/>
            <w:gridSpan w:val="2"/>
          </w:tcPr>
          <w:p>
            <w:pPr>
              <w:ind w:left="60"/>
              <w:spacing w:after="0" w:line="129" w:lineRule="exact"/>
              <w:rPr>
                <w:sz w:val="20"/>
                <w:szCs w:val="20"/>
                <w:color w:val="auto"/>
              </w:rPr>
            </w:pPr>
            <w:r>
              <w:rPr>
                <w:rFonts w:ascii="Arial" w:cs="Arial" w:eastAsia="Arial" w:hAnsi="Arial"/>
                <w:sz w:val="13"/>
                <w:szCs w:val="13"/>
                <w:b w:val="1"/>
                <w:bCs w:val="1"/>
                <w:u w:val="single" w:color="auto"/>
                <w:color w:val="auto"/>
              </w:rPr>
              <w:t>$</w:t>
            </w:r>
          </w:p>
        </w:tc>
        <w:tc>
          <w:tcPr>
            <w:tcW w:w="460" w:type="dxa"/>
            <w:vAlign w:val="bottom"/>
          </w:tcPr>
          <w:p>
            <w:pPr>
              <w:jc w:val="right"/>
              <w:spacing w:after="0" w:line="129" w:lineRule="exact"/>
              <w:rPr>
                <w:sz w:val="20"/>
                <w:szCs w:val="20"/>
                <w:color w:val="auto"/>
              </w:rPr>
            </w:pPr>
            <w:r>
              <w:rPr>
                <w:rFonts w:ascii="Arial" w:cs="Arial" w:eastAsia="Arial" w:hAnsi="Arial"/>
                <w:sz w:val="13"/>
                <w:szCs w:val="13"/>
                <w:b w:val="1"/>
                <w:bCs w:val="1"/>
                <w:u w:val="single" w:color="auto"/>
                <w:color w:val="auto"/>
                <w:w w:val="93"/>
              </w:rPr>
              <w:t>261,025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4300" w:type="dxa"/>
            <w:vAlign w:val="bottom"/>
            <w:gridSpan w:val="2"/>
          </w:tcPr>
          <w:p>
            <w:pPr>
              <w:ind w:left="800"/>
              <w:spacing w:after="0"/>
              <w:rPr>
                <w:sz w:val="20"/>
                <w:szCs w:val="20"/>
                <w:color w:val="auto"/>
              </w:rPr>
            </w:pPr>
            <w:r>
              <w:rPr>
                <w:rFonts w:ascii="Arial" w:cs="Arial" w:eastAsia="Arial" w:hAnsi="Arial"/>
                <w:sz w:val="1"/>
                <w:szCs w:val="1"/>
                <w:color w:val="auto"/>
              </w:rPr>
              <w:t>â€‹</w:t>
            </w:r>
          </w:p>
        </w:tc>
        <w:tc>
          <w:tcPr>
            <w:tcW w:w="2020" w:type="dxa"/>
            <w:vAlign w:val="bottom"/>
          </w:tcPr>
          <w:p>
            <w:pPr>
              <w:ind w:left="1860"/>
              <w:spacing w:after="0"/>
              <w:rPr>
                <w:sz w:val="20"/>
                <w:szCs w:val="20"/>
                <w:color w:val="auto"/>
              </w:rPr>
            </w:pPr>
            <w:r>
              <w:rPr>
                <w:rFonts w:ascii="Arial" w:cs="Arial" w:eastAsia="Arial" w:hAnsi="Arial"/>
                <w:sz w:val="1"/>
                <w:szCs w:val="1"/>
                <w:color w:val="auto"/>
              </w:rPr>
              <w:t>â€‹</w:t>
            </w:r>
          </w:p>
        </w:tc>
        <w:tc>
          <w:tcPr>
            <w:tcW w:w="260" w:type="dxa"/>
            <w:vAlign w:val="bottom"/>
          </w:tcPr>
          <w:p>
            <w:pPr>
              <w:spacing w:after="0"/>
              <w:rPr>
                <w:sz w:val="20"/>
                <w:szCs w:val="20"/>
                <w:color w:val="auto"/>
              </w:rPr>
            </w:pPr>
            <w:r>
              <w:rPr>
                <w:rFonts w:ascii="Arial" w:cs="Arial" w:eastAsia="Arial" w:hAnsi="Arial"/>
                <w:sz w:val="3"/>
                <w:szCs w:val="3"/>
                <w:color w:val="auto"/>
              </w:rPr>
              <w:t>â€‹</w:t>
            </w: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jc w:val="right"/>
              <w:spacing w:after="0"/>
              <w:rPr>
                <w:sz w:val="20"/>
                <w:szCs w:val="20"/>
                <w:color w:val="auto"/>
              </w:rPr>
            </w:pPr>
            <w:r>
              <w:rPr>
                <w:rFonts w:ascii="Arial" w:cs="Arial" w:eastAsia="Arial" w:hAnsi="Arial"/>
                <w:sz w:val="3"/>
                <w:szCs w:val="3"/>
                <w:color w:val="auto"/>
              </w:rPr>
              <w:t>â€‹</w:t>
            </w:r>
          </w:p>
        </w:tc>
        <w:tc>
          <w:tcPr>
            <w:tcW w:w="80" w:type="dxa"/>
            <w:vAlign w:val="bottom"/>
          </w:tcPr>
          <w:p>
            <w:pPr>
              <w:jc w:val="right"/>
              <w:ind w:right="53"/>
              <w:spacing w:after="0"/>
              <w:rPr>
                <w:sz w:val="20"/>
                <w:szCs w:val="20"/>
                <w:color w:val="auto"/>
              </w:rPr>
            </w:pPr>
            <w:r>
              <w:rPr>
                <w:rFonts w:ascii="Arial" w:cs="Arial" w:eastAsia="Arial" w:hAnsi="Arial"/>
                <w:sz w:val="1"/>
                <w:szCs w:val="1"/>
                <w:color w:val="auto"/>
                <w:w w:val="4294967293"/>
              </w:rPr>
              <w:t>â€‹</w:t>
            </w:r>
          </w:p>
        </w:tc>
        <w:tc>
          <w:tcPr>
            <w:tcW w:w="80" w:type="dxa"/>
            <w:vAlign w:val="bottom"/>
          </w:tcPr>
          <w:p>
            <w:pPr>
              <w:spacing w:after="0"/>
              <w:rPr>
                <w:sz w:val="3"/>
                <w:szCs w:val="3"/>
                <w:color w:val="auto"/>
              </w:rPr>
            </w:pPr>
          </w:p>
        </w:tc>
        <w:tc>
          <w:tcPr>
            <w:tcW w:w="80" w:type="dxa"/>
            <w:vAlign w:val="bottom"/>
            <w:gridSpan w:val="2"/>
          </w:tcPr>
          <w:p>
            <w:pPr>
              <w:spacing w:after="0"/>
              <w:rPr>
                <w:sz w:val="20"/>
                <w:szCs w:val="20"/>
                <w:color w:val="auto"/>
              </w:rPr>
            </w:pPr>
            <w:r>
              <w:rPr>
                <w:rFonts w:ascii="Arial" w:cs="Arial" w:eastAsia="Arial" w:hAnsi="Arial"/>
                <w:sz w:val="3"/>
                <w:szCs w:val="3"/>
                <w:color w:val="auto"/>
              </w:rPr>
              <w:t>â€‹</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jc w:val="right"/>
              <w:spacing w:after="0"/>
              <w:rPr>
                <w:sz w:val="20"/>
                <w:szCs w:val="20"/>
                <w:color w:val="auto"/>
              </w:rPr>
            </w:pPr>
            <w:r>
              <w:rPr>
                <w:rFonts w:ascii="Arial" w:cs="Arial" w:eastAsia="Arial" w:hAnsi="Arial"/>
                <w:sz w:val="3"/>
                <w:szCs w:val="3"/>
                <w:color w:val="auto"/>
              </w:rPr>
              <w:t>â€‹</w:t>
            </w:r>
          </w:p>
        </w:tc>
        <w:tc>
          <w:tcPr>
            <w:tcW w:w="100" w:type="dxa"/>
            <w:vAlign w:val="bottom"/>
          </w:tcPr>
          <w:p>
            <w:pPr>
              <w:jc w:val="right"/>
              <w:ind w:right="53"/>
              <w:spacing w:after="0"/>
              <w:rPr>
                <w:sz w:val="20"/>
                <w:szCs w:val="20"/>
                <w:color w:val="auto"/>
              </w:rPr>
            </w:pPr>
            <w:r>
              <w:rPr>
                <w:rFonts w:ascii="Arial" w:cs="Arial" w:eastAsia="Arial" w:hAnsi="Arial"/>
                <w:sz w:val="1"/>
                <w:szCs w:val="1"/>
                <w:color w:val="auto"/>
              </w:rPr>
              <w:t>â€‹</w:t>
            </w:r>
          </w:p>
        </w:tc>
        <w:tc>
          <w:tcPr>
            <w:tcW w:w="60" w:type="dxa"/>
            <w:vAlign w:val="bottom"/>
          </w:tcPr>
          <w:p>
            <w:pPr>
              <w:spacing w:after="0"/>
              <w:rPr>
                <w:sz w:val="3"/>
                <w:szCs w:val="3"/>
                <w:color w:val="auto"/>
              </w:rPr>
            </w:pPr>
          </w:p>
        </w:tc>
        <w:tc>
          <w:tcPr>
            <w:tcW w:w="180" w:type="dxa"/>
            <w:vAlign w:val="bottom"/>
          </w:tcPr>
          <w:p>
            <w:pPr>
              <w:spacing w:after="0"/>
              <w:rPr>
                <w:sz w:val="20"/>
                <w:szCs w:val="20"/>
                <w:color w:val="auto"/>
              </w:rPr>
            </w:pPr>
            <w:r>
              <w:rPr>
                <w:rFonts w:ascii="Arial" w:cs="Arial" w:eastAsia="Arial" w:hAnsi="Arial"/>
                <w:sz w:val="3"/>
                <w:szCs w:val="3"/>
                <w:color w:val="auto"/>
              </w:rPr>
              <w:t>â€‹</w:t>
            </w:r>
          </w:p>
        </w:tc>
        <w:tc>
          <w:tcPr>
            <w:tcW w:w="460" w:type="dxa"/>
            <w:vAlign w:val="bottom"/>
          </w:tcPr>
          <w:p>
            <w:pPr>
              <w:jc w:val="right"/>
              <w:spacing w:after="0"/>
              <w:rPr>
                <w:sz w:val="20"/>
                <w:szCs w:val="20"/>
                <w:color w:val="auto"/>
              </w:rPr>
            </w:pPr>
            <w:r>
              <w:rPr>
                <w:rFonts w:ascii="Arial" w:cs="Arial" w:eastAsia="Arial" w:hAnsi="Arial"/>
                <w:sz w:val="3"/>
                <w:szCs w:val="3"/>
                <w:color w:val="auto"/>
              </w:rPr>
              <w:t>â€‹</w:t>
            </w:r>
          </w:p>
        </w:tc>
        <w:tc>
          <w:tcPr>
            <w:tcW w:w="160" w:type="dxa"/>
            <w:vAlign w:val="bottom"/>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14"/>
        </w:trPr>
        <w:tc>
          <w:tcPr>
            <w:tcW w:w="4300" w:type="dxa"/>
            <w:vAlign w:val="bottom"/>
            <w:gridSpan w:val="2"/>
            <w:vMerge w:val="restart"/>
          </w:tcPr>
          <w:p>
            <w:pPr>
              <w:ind w:left="800"/>
              <w:spacing w:after="0"/>
              <w:rPr>
                <w:sz w:val="20"/>
                <w:szCs w:val="20"/>
                <w:color w:val="auto"/>
              </w:rPr>
            </w:pPr>
            <w:r>
              <w:rPr>
                <w:rFonts w:ascii="Arial" w:cs="Arial" w:eastAsia="Arial" w:hAnsi="Arial"/>
                <w:sz w:val="3"/>
                <w:szCs w:val="3"/>
                <w:color w:val="auto"/>
              </w:rPr>
              <w:t>â€‹</w:t>
            </w:r>
          </w:p>
        </w:tc>
        <w:tc>
          <w:tcPr>
            <w:tcW w:w="2020" w:type="dxa"/>
            <w:vAlign w:val="bottom"/>
            <w:vMerge w:val="restart"/>
          </w:tcPr>
          <w:p>
            <w:pPr>
              <w:ind w:left="1860"/>
              <w:spacing w:after="0"/>
              <w:rPr>
                <w:sz w:val="20"/>
                <w:szCs w:val="20"/>
                <w:color w:val="auto"/>
              </w:rPr>
            </w:pPr>
            <w:r>
              <w:rPr>
                <w:rFonts w:ascii="Arial" w:cs="Arial" w:eastAsia="Arial" w:hAnsi="Arial"/>
                <w:sz w:val="3"/>
                <w:szCs w:val="3"/>
                <w:color w:val="auto"/>
              </w:rPr>
              <w:t>â€‹</w:t>
            </w:r>
          </w:p>
        </w:tc>
        <w:tc>
          <w:tcPr>
            <w:tcW w:w="26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80" w:type="dxa"/>
            <w:vAlign w:val="bottom"/>
            <w:vMerge w:val="restart"/>
          </w:tcPr>
          <w:p>
            <w:pPr>
              <w:jc w:val="right"/>
              <w:ind w:right="53"/>
              <w:spacing w:after="0"/>
              <w:rPr>
                <w:sz w:val="20"/>
                <w:szCs w:val="20"/>
                <w:color w:val="auto"/>
              </w:rPr>
            </w:pPr>
            <w:r>
              <w:rPr>
                <w:rFonts w:ascii="Arial" w:cs="Arial" w:eastAsia="Arial" w:hAnsi="Arial"/>
                <w:sz w:val="1"/>
                <w:szCs w:val="1"/>
                <w:color w:val="auto"/>
                <w:w w:val="4294967293"/>
              </w:rPr>
              <w:t>â€‹</w:t>
            </w:r>
          </w:p>
        </w:tc>
        <w:tc>
          <w:tcPr>
            <w:tcW w:w="80" w:type="dxa"/>
            <w:vAlign w:val="bottom"/>
            <w:vMerge w:val="restart"/>
          </w:tcPr>
          <w:p>
            <w:pPr>
              <w:spacing w:after="0" w:line="20" w:lineRule="exact"/>
              <w:rPr>
                <w:sz w:val="1"/>
                <w:szCs w:val="1"/>
                <w:color w:val="auto"/>
              </w:rPr>
            </w:pPr>
          </w:p>
        </w:tc>
        <w:tc>
          <w:tcPr>
            <w:tcW w:w="80" w:type="dxa"/>
            <w:vAlign w:val="bottom"/>
            <w:gridSpan w:val="2"/>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00" w:type="dxa"/>
            <w:vAlign w:val="bottom"/>
            <w:vMerge w:val="restart"/>
          </w:tcPr>
          <w:p>
            <w:pPr>
              <w:jc w:val="right"/>
              <w:ind w:right="53"/>
              <w:spacing w:after="0"/>
              <w:rPr>
                <w:sz w:val="20"/>
                <w:szCs w:val="20"/>
                <w:color w:val="auto"/>
              </w:rPr>
            </w:pPr>
            <w:r>
              <w:rPr>
                <w:rFonts w:ascii="Arial" w:cs="Arial" w:eastAsia="Arial" w:hAnsi="Arial"/>
                <w:sz w:val="1"/>
                <w:szCs w:val="1"/>
                <w:color w:val="auto"/>
              </w:rPr>
              <w:t>â€‹</w:t>
            </w: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4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60" w:type="dxa"/>
            <w:vAlign w:val="bottom"/>
            <w:vMerge w:val="restart"/>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21"/>
        </w:trPr>
        <w:tc>
          <w:tcPr>
            <w:tcW w:w="4300" w:type="dxa"/>
            <w:vAlign w:val="bottom"/>
            <w:gridSpan w:val="2"/>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4300" w:type="dxa"/>
            <w:vAlign w:val="bottom"/>
            <w:gridSpan w:val="2"/>
          </w:tcPr>
          <w:p>
            <w:pPr>
              <w:spacing w:after="0"/>
              <w:rPr>
                <w:sz w:val="20"/>
                <w:szCs w:val="20"/>
                <w:color w:val="auto"/>
              </w:rPr>
            </w:pPr>
            <w:r>
              <w:rPr>
                <w:rFonts w:ascii="Arial" w:cs="Arial" w:eastAsia="Arial" w:hAnsi="Arial"/>
                <w:sz w:val="13"/>
                <w:szCs w:val="13"/>
                <w:b w:val="1"/>
                <w:bCs w:val="1"/>
                <w:color w:val="auto"/>
              </w:rPr>
              <w:t>Partnership Performance Results:</w:t>
            </w: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13"/>
          </w:tcPr>
          <w:p>
            <w:pPr>
              <w:jc w:val="center"/>
              <w:ind w:right="233"/>
              <w:spacing w:after="0"/>
              <w:rPr>
                <w:sz w:val="20"/>
                <w:szCs w:val="20"/>
                <w:color w:val="auto"/>
              </w:rPr>
            </w:pPr>
            <w:r>
              <w:rPr>
                <w:rFonts w:ascii="Arial" w:cs="Arial" w:eastAsia="Arial" w:hAnsi="Arial"/>
                <w:sz w:val="13"/>
                <w:szCs w:val="13"/>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ind w:right="49"/>
              <w:spacing w:after="0" w:line="142" w:lineRule="exact"/>
              <w:rPr>
                <w:sz w:val="20"/>
                <w:szCs w:val="20"/>
                <w:color w:val="auto"/>
              </w:rPr>
            </w:pPr>
            <w:r>
              <w:rPr>
                <w:rFonts w:ascii="Arial" w:cs="Arial" w:eastAsia="Arial" w:hAnsi="Arial"/>
                <w:sz w:val="13"/>
                <w:szCs w:val="13"/>
                <w:b w:val="1"/>
                <w:bCs w:val="1"/>
                <w:color w:val="auto"/>
                <w:w w:val="89"/>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29"/>
              <w:spacing w:after="0" w:line="142"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13"/>
          </w:tcPr>
          <w:p>
            <w:pPr>
              <w:jc w:val="center"/>
              <w:ind w:right="233"/>
              <w:spacing w:after="0" w:line="142" w:lineRule="exact"/>
              <w:rPr>
                <w:sz w:val="20"/>
                <w:szCs w:val="20"/>
                <w:color w:val="auto"/>
              </w:rPr>
            </w:pPr>
            <w:r>
              <w:rPr>
                <w:rFonts w:ascii="Arial" w:cs="Arial" w:eastAsia="Arial" w:hAnsi="Arial"/>
                <w:sz w:val="13"/>
                <w:szCs w:val="13"/>
                <w:b w:val="1"/>
                <w:bCs w:val="1"/>
                <w:color w:val="auto"/>
                <w:w w:val="91"/>
              </w:rPr>
              <w:t>(in thousands of U.S. dollars)</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Profit for the year</w:t>
            </w:r>
          </w:p>
        </w:tc>
        <w:tc>
          <w:tcPr>
            <w:tcW w:w="2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580" w:type="dxa"/>
            <w:vAlign w:val="bottom"/>
            <w:gridSpan w:val="4"/>
            <w:shd w:val="clear" w:color="auto" w:fill="CCEEFF"/>
          </w:tcPr>
          <w:p>
            <w:pPr>
              <w:jc w:val="right"/>
              <w:ind w:right="9"/>
              <w:spacing w:after="0"/>
              <w:rPr>
                <w:sz w:val="20"/>
                <w:szCs w:val="20"/>
                <w:color w:val="auto"/>
              </w:rPr>
            </w:pPr>
            <w:r>
              <w:rPr>
                <w:rFonts w:ascii="Arial" w:cs="Arial" w:eastAsia="Arial" w:hAnsi="Arial"/>
                <w:sz w:val="13"/>
                <w:szCs w:val="13"/>
                <w:color w:val="auto"/>
              </w:rPr>
              <w:t>77,270</w:t>
            </w:r>
          </w:p>
        </w:tc>
        <w:tc>
          <w:tcPr>
            <w:tcW w:w="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94,117</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102,597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Depreciation</w:t>
            </w:r>
          </w:p>
        </w:tc>
        <w:tc>
          <w:tcPr>
            <w:tcW w:w="2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4"/>
          </w:tcPr>
          <w:p>
            <w:pPr>
              <w:jc w:val="right"/>
              <w:ind w:right="9"/>
              <w:spacing w:after="0"/>
              <w:rPr>
                <w:sz w:val="20"/>
                <w:szCs w:val="20"/>
                <w:color w:val="auto"/>
              </w:rPr>
            </w:pPr>
            <w:r>
              <w:rPr>
                <w:rFonts w:ascii="Arial" w:cs="Arial" w:eastAsia="Arial" w:hAnsi="Arial"/>
                <w:sz w:val="13"/>
                <w:szCs w:val="13"/>
                <w:color w:val="auto"/>
              </w:rPr>
              <w:t>45,230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58,193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73,151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Financial costs</w:t>
            </w:r>
          </w:p>
        </w:tc>
        <w:tc>
          <w:tcPr>
            <w:tcW w:w="2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9"/>
              <w:spacing w:after="0"/>
              <w:rPr>
                <w:sz w:val="20"/>
                <w:szCs w:val="20"/>
                <w:color w:val="auto"/>
              </w:rPr>
            </w:pPr>
            <w:r>
              <w:rPr>
                <w:rFonts w:ascii="Arial" w:cs="Arial" w:eastAsia="Arial" w:hAnsi="Arial"/>
                <w:sz w:val="13"/>
                <w:szCs w:val="13"/>
                <w:color w:val="auto"/>
              </w:rPr>
              <w:t>30,187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44,916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60,258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Financial income</w:t>
            </w:r>
          </w:p>
        </w:tc>
        <w:tc>
          <w:tcPr>
            <w:tcW w:w="2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5"/>
          </w:tcPr>
          <w:p>
            <w:pPr>
              <w:jc w:val="right"/>
              <w:ind w:right="9"/>
              <w:spacing w:after="0"/>
              <w:rPr>
                <w:sz w:val="20"/>
                <w:szCs w:val="20"/>
                <w:color w:val="auto"/>
              </w:rPr>
            </w:pPr>
            <w:r>
              <w:rPr>
                <w:rFonts w:ascii="Arial" w:cs="Arial" w:eastAsia="Arial" w:hAnsi="Arial"/>
                <w:sz w:val="13"/>
                <w:szCs w:val="13"/>
                <w:color w:val="auto"/>
              </w:rPr>
              <w:t>(179)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53"/>
              <w:spacing w:after="0"/>
              <w:rPr>
                <w:sz w:val="20"/>
                <w:szCs w:val="20"/>
                <w:color w:val="auto"/>
              </w:rPr>
            </w:pPr>
            <w:r>
              <w:rPr>
                <w:rFonts w:ascii="Arial" w:cs="Arial" w:eastAsia="Arial" w:hAnsi="Arial"/>
                <w:sz w:val="13"/>
                <w:szCs w:val="13"/>
                <w:color w:val="auto"/>
              </w:rPr>
              <w:t>(972)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93"/>
              <w:spacing w:after="0"/>
              <w:rPr>
                <w:sz w:val="20"/>
                <w:szCs w:val="20"/>
                <w:color w:val="auto"/>
              </w:rPr>
            </w:pPr>
            <w:r>
              <w:rPr>
                <w:rFonts w:ascii="Arial" w:cs="Arial" w:eastAsia="Arial" w:hAnsi="Arial"/>
                <w:sz w:val="13"/>
                <w:szCs w:val="13"/>
                <w:color w:val="auto"/>
              </w:rPr>
              <w:t>(2,398)</w:t>
            </w:r>
          </w:p>
        </w:tc>
        <w:tc>
          <w:tcPr>
            <w:tcW w:w="0" w:type="dxa"/>
            <w:vAlign w:val="bottom"/>
          </w:tcPr>
          <w:p>
            <w:pPr>
              <w:spacing w:after="0"/>
              <w:rPr>
                <w:sz w:val="1"/>
                <w:szCs w:val="1"/>
                <w:color w:val="auto"/>
              </w:rPr>
            </w:pPr>
          </w:p>
        </w:tc>
      </w:tr>
      <w:tr>
        <w:trPr>
          <w:trHeight w:val="136"/>
        </w:trPr>
        <w:tc>
          <w:tcPr>
            <w:tcW w:w="800" w:type="dxa"/>
            <w:vAlign w:val="bottom"/>
          </w:tcPr>
          <w:p>
            <w:pPr>
              <w:spacing w:after="0"/>
              <w:rPr>
                <w:sz w:val="11"/>
                <w:szCs w:val="11"/>
                <w:color w:val="auto"/>
              </w:rPr>
            </w:pPr>
          </w:p>
        </w:tc>
        <w:tc>
          <w:tcPr>
            <w:tcW w:w="3500" w:type="dxa"/>
            <w:vAlign w:val="bottom"/>
          </w:tcPr>
          <w:p>
            <w:pPr>
              <w:spacing w:after="0" w:line="136" w:lineRule="exact"/>
              <w:rPr>
                <w:sz w:val="20"/>
                <w:szCs w:val="20"/>
                <w:color w:val="auto"/>
              </w:rPr>
            </w:pPr>
            <w:r>
              <w:rPr>
                <w:rFonts w:ascii="Arial" w:cs="Arial" w:eastAsia="Arial" w:hAnsi="Arial"/>
                <w:sz w:val="13"/>
                <w:szCs w:val="13"/>
                <w:color w:val="auto"/>
              </w:rPr>
              <w:t>(Gain)/loss on derivatives</w:t>
            </w:r>
          </w:p>
        </w:tc>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5"/>
          </w:tcPr>
          <w:p>
            <w:pPr>
              <w:jc w:val="right"/>
              <w:ind w:right="9"/>
              <w:spacing w:after="0" w:line="136" w:lineRule="exact"/>
              <w:rPr>
                <w:sz w:val="20"/>
                <w:szCs w:val="20"/>
                <w:color w:val="auto"/>
              </w:rPr>
            </w:pPr>
            <w:r>
              <w:rPr>
                <w:rFonts w:ascii="Arial" w:cs="Arial" w:eastAsia="Arial" w:hAnsi="Arial"/>
                <w:sz w:val="13"/>
                <w:szCs w:val="13"/>
                <w:color w:val="auto"/>
              </w:rPr>
              <w:t>(3,623)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53"/>
              <w:spacing w:after="0" w:line="136" w:lineRule="exact"/>
              <w:rPr>
                <w:sz w:val="20"/>
                <w:szCs w:val="20"/>
                <w:color w:val="auto"/>
              </w:rPr>
            </w:pPr>
            <w:r>
              <w:rPr>
                <w:rFonts w:ascii="Arial" w:cs="Arial" w:eastAsia="Arial" w:hAnsi="Arial"/>
                <w:sz w:val="13"/>
                <w:szCs w:val="13"/>
                <w:color w:val="auto"/>
              </w:rPr>
              <w:t>(121)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48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4300" w:type="dxa"/>
            <w:vAlign w:val="bottom"/>
            <w:gridSpan w:val="2"/>
          </w:tcPr>
          <w:p>
            <w:pPr>
              <w:ind w:left="800"/>
              <w:spacing w:after="0" w:line="33" w:lineRule="exact"/>
              <w:rPr>
                <w:sz w:val="20"/>
                <w:szCs w:val="20"/>
                <w:color w:val="auto"/>
              </w:rPr>
            </w:pPr>
            <w:r>
              <w:rPr>
                <w:rFonts w:ascii="Arial" w:cs="Arial" w:eastAsia="Arial" w:hAnsi="Arial"/>
                <w:sz w:val="3"/>
                <w:szCs w:val="3"/>
                <w:color w:val="auto"/>
              </w:rPr>
              <w:t>â€‹</w:t>
            </w:r>
          </w:p>
        </w:tc>
        <w:tc>
          <w:tcPr>
            <w:tcW w:w="2020" w:type="dxa"/>
            <w:vAlign w:val="bottom"/>
          </w:tcPr>
          <w:p>
            <w:pPr>
              <w:spacing w:after="0"/>
              <w:rPr>
                <w:sz w:val="2"/>
                <w:szCs w:val="2"/>
                <w:color w:val="auto"/>
              </w:rPr>
            </w:pPr>
          </w:p>
        </w:tc>
        <w:tc>
          <w:tcPr>
            <w:tcW w:w="260" w:type="dxa"/>
            <w:vAlign w:val="bottom"/>
          </w:tcPr>
          <w:p>
            <w:pPr>
              <w:ind w:left="200"/>
              <w:spacing w:after="0" w:line="33" w:lineRule="exact"/>
              <w:rPr>
                <w:sz w:val="20"/>
                <w:szCs w:val="20"/>
                <w:color w:val="auto"/>
              </w:rPr>
            </w:pPr>
            <w:r>
              <w:rPr>
                <w:rFonts w:ascii="Arial" w:cs="Arial" w:eastAsia="Arial" w:hAnsi="Arial"/>
                <w:sz w:val="3"/>
                <w:szCs w:val="3"/>
                <w:color w:val="auto"/>
                <w:w w:val="91"/>
              </w:rPr>
              <w:t>â€‹</w:t>
            </w:r>
          </w:p>
        </w:tc>
        <w:tc>
          <w:tcPr>
            <w:tcW w:w="100" w:type="dxa"/>
            <w:vAlign w:val="bottom"/>
          </w:tcPr>
          <w:p>
            <w:pPr>
              <w:spacing w:after="0"/>
              <w:rPr>
                <w:sz w:val="2"/>
                <w:szCs w:val="2"/>
                <w:color w:val="auto"/>
              </w:rPr>
            </w:pPr>
          </w:p>
        </w:tc>
        <w:tc>
          <w:tcPr>
            <w:tcW w:w="8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jc w:val="right"/>
              <w:ind w:right="9"/>
              <w:spacing w:after="0" w:line="27" w:lineRule="exact"/>
              <w:rPr>
                <w:sz w:val="20"/>
                <w:szCs w:val="20"/>
                <w:color w:val="auto"/>
              </w:rPr>
            </w:pPr>
            <w:r>
              <w:rPr>
                <w:rFonts w:ascii="Arial" w:cs="Arial" w:eastAsia="Arial" w:hAnsi="Arial"/>
                <w:sz w:val="3"/>
                <w:szCs w:val="3"/>
                <w:color w:val="auto"/>
              </w:rPr>
              <w:t>â€‹</w:t>
            </w:r>
          </w:p>
        </w:tc>
        <w:tc>
          <w:tcPr>
            <w:tcW w:w="60" w:type="dxa"/>
            <w:vAlign w:val="bottom"/>
          </w:tcPr>
          <w:p>
            <w:pPr>
              <w:spacing w:after="0" w:line="33" w:lineRule="exact"/>
              <w:rPr>
                <w:sz w:val="20"/>
                <w:szCs w:val="20"/>
                <w:color w:val="auto"/>
              </w:rPr>
            </w:pPr>
            <w:r>
              <w:rPr>
                <w:rFonts w:ascii="Arial" w:cs="Arial" w:eastAsia="Arial" w:hAnsi="Arial"/>
                <w:sz w:val="3"/>
                <w:szCs w:val="3"/>
                <w:color w:val="auto"/>
                <w:w w:val="91"/>
              </w:rPr>
              <w:t>â€‹</w:t>
            </w:r>
          </w:p>
        </w:tc>
        <w:tc>
          <w:tcPr>
            <w:tcW w:w="80" w:type="dxa"/>
            <w:vAlign w:val="bottom"/>
          </w:tcPr>
          <w:p>
            <w:pPr>
              <w:spacing w:after="0"/>
              <w:rPr>
                <w:sz w:val="2"/>
                <w:szCs w:val="2"/>
                <w:color w:val="auto"/>
              </w:rPr>
            </w:pPr>
          </w:p>
        </w:tc>
        <w:tc>
          <w:tcPr>
            <w:tcW w:w="10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56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00" w:type="dxa"/>
            <w:vAlign w:val="bottom"/>
          </w:tcPr>
          <w:p>
            <w:pPr>
              <w:jc w:val="right"/>
              <w:ind w:right="53"/>
              <w:spacing w:after="0"/>
              <w:rPr>
                <w:sz w:val="20"/>
                <w:szCs w:val="20"/>
                <w:color w:val="auto"/>
              </w:rPr>
            </w:pPr>
            <w:r>
              <w:rPr>
                <w:rFonts w:ascii="Arial" w:cs="Arial" w:eastAsia="Arial" w:hAnsi="Arial"/>
                <w:sz w:val="1"/>
                <w:szCs w:val="1"/>
                <w:color w:val="auto"/>
              </w:rPr>
              <w:t>â€‹</w:t>
            </w:r>
          </w:p>
        </w:tc>
        <w:tc>
          <w:tcPr>
            <w:tcW w:w="60" w:type="dxa"/>
            <w:vAlign w:val="bottom"/>
          </w:tcPr>
          <w:p>
            <w:pPr>
              <w:spacing w:after="0"/>
              <w:rPr>
                <w:sz w:val="2"/>
                <w:szCs w:val="2"/>
                <w:color w:val="auto"/>
              </w:rPr>
            </w:pPr>
          </w:p>
        </w:tc>
        <w:tc>
          <w:tcPr>
            <w:tcW w:w="18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46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129"/>
        </w:trPr>
        <w:tc>
          <w:tcPr>
            <w:tcW w:w="4300" w:type="dxa"/>
            <w:vAlign w:val="bottom"/>
            <w:gridSpan w:val="2"/>
          </w:tcPr>
          <w:p>
            <w:pPr>
              <w:ind w:left="800"/>
              <w:spacing w:after="0" w:line="129" w:lineRule="exact"/>
              <w:rPr>
                <w:sz w:val="20"/>
                <w:szCs w:val="20"/>
                <w:color w:val="auto"/>
              </w:rPr>
            </w:pPr>
            <w:r>
              <w:rPr>
                <w:rFonts w:ascii="Arial" w:cs="Arial" w:eastAsia="Arial" w:hAnsi="Arial"/>
                <w:sz w:val="13"/>
                <w:szCs w:val="13"/>
                <w:b w:val="1"/>
                <w:bCs w:val="1"/>
                <w:color w:val="auto"/>
              </w:rPr>
              <w:t>EBITDA</w:t>
            </w:r>
          </w:p>
        </w:tc>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gridSpan w:val="2"/>
          </w:tcPr>
          <w:p>
            <w:pPr>
              <w:ind w:left="100"/>
              <w:spacing w:after="0" w:line="129" w:lineRule="exact"/>
              <w:rPr>
                <w:sz w:val="20"/>
                <w:szCs w:val="20"/>
                <w:color w:val="auto"/>
              </w:rPr>
            </w:pPr>
            <w:r>
              <w:rPr>
                <w:rFonts w:ascii="Arial" w:cs="Arial" w:eastAsia="Arial" w:hAnsi="Arial"/>
                <w:sz w:val="13"/>
                <w:szCs w:val="13"/>
                <w:b w:val="1"/>
                <w:bCs w:val="1"/>
                <w:u w:val="single" w:color="auto"/>
                <w:color w:val="auto"/>
                <w:w w:val="82"/>
              </w:rPr>
              <w:t>$</w:t>
            </w:r>
          </w:p>
        </w:tc>
        <w:tc>
          <w:tcPr>
            <w:tcW w:w="580" w:type="dxa"/>
            <w:vAlign w:val="bottom"/>
            <w:gridSpan w:val="4"/>
          </w:tcPr>
          <w:p>
            <w:pPr>
              <w:jc w:val="right"/>
              <w:ind w:right="9"/>
              <w:spacing w:after="0" w:line="129" w:lineRule="exact"/>
              <w:rPr>
                <w:sz w:val="20"/>
                <w:szCs w:val="20"/>
                <w:color w:val="auto"/>
              </w:rPr>
            </w:pPr>
            <w:r>
              <w:rPr>
                <w:rFonts w:ascii="Arial" w:cs="Arial" w:eastAsia="Arial" w:hAnsi="Arial"/>
                <w:sz w:val="13"/>
                <w:szCs w:val="13"/>
                <w:b w:val="1"/>
                <w:bCs w:val="1"/>
                <w:u w:val="single" w:color="auto"/>
                <w:color w:val="auto"/>
              </w:rPr>
              <w:t>148,885</w:t>
            </w:r>
          </w:p>
        </w:tc>
        <w:tc>
          <w:tcPr>
            <w:tcW w:w="60" w:type="dxa"/>
            <w:vAlign w:val="bottom"/>
          </w:tcPr>
          <w:p>
            <w:pPr>
              <w:spacing w:after="0"/>
              <w:rPr>
                <w:sz w:val="11"/>
                <w:szCs w:val="11"/>
                <w:color w:val="auto"/>
              </w:rPr>
            </w:pPr>
          </w:p>
        </w:tc>
        <w:tc>
          <w:tcPr>
            <w:tcW w:w="180" w:type="dxa"/>
            <w:vAlign w:val="bottom"/>
            <w:gridSpan w:val="2"/>
          </w:tcPr>
          <w:p>
            <w:pPr>
              <w:ind w:left="80"/>
              <w:spacing w:after="0" w:line="129" w:lineRule="exact"/>
              <w:rPr>
                <w:sz w:val="20"/>
                <w:szCs w:val="20"/>
                <w:color w:val="auto"/>
              </w:rPr>
            </w:pPr>
            <w:r>
              <w:rPr>
                <w:rFonts w:ascii="Arial" w:cs="Arial" w:eastAsia="Arial" w:hAnsi="Arial"/>
                <w:sz w:val="13"/>
                <w:szCs w:val="13"/>
                <w:b w:val="1"/>
                <w:bCs w:val="1"/>
                <w:u w:val="single" w:color="auto"/>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3"/>
                <w:szCs w:val="13"/>
                <w:b w:val="1"/>
                <w:bCs w:val="1"/>
                <w:u w:val="single" w:color="auto"/>
                <w:color w:val="auto"/>
              </w:rPr>
              <w:t>196,133</w:t>
            </w:r>
          </w:p>
        </w:tc>
        <w:tc>
          <w:tcPr>
            <w:tcW w:w="100" w:type="dxa"/>
            <w:vAlign w:val="bottom"/>
          </w:tcPr>
          <w:p>
            <w:pPr>
              <w:spacing w:after="0"/>
              <w:rPr>
                <w:sz w:val="11"/>
                <w:szCs w:val="11"/>
                <w:color w:val="auto"/>
              </w:rPr>
            </w:pPr>
          </w:p>
        </w:tc>
        <w:tc>
          <w:tcPr>
            <w:tcW w:w="240" w:type="dxa"/>
            <w:vAlign w:val="bottom"/>
            <w:gridSpan w:val="2"/>
          </w:tcPr>
          <w:p>
            <w:pPr>
              <w:ind w:left="60"/>
              <w:spacing w:after="0" w:line="129" w:lineRule="exact"/>
              <w:rPr>
                <w:sz w:val="20"/>
                <w:szCs w:val="20"/>
                <w:color w:val="auto"/>
              </w:rPr>
            </w:pPr>
            <w:r>
              <w:rPr>
                <w:rFonts w:ascii="Arial" w:cs="Arial" w:eastAsia="Arial" w:hAnsi="Arial"/>
                <w:sz w:val="13"/>
                <w:szCs w:val="13"/>
                <w:b w:val="1"/>
                <w:bCs w:val="1"/>
                <w:u w:val="single" w:color="auto"/>
                <w:color w:val="auto"/>
              </w:rPr>
              <w:t>$</w:t>
            </w:r>
          </w:p>
        </w:tc>
        <w:tc>
          <w:tcPr>
            <w:tcW w:w="460" w:type="dxa"/>
            <w:vAlign w:val="bottom"/>
          </w:tcPr>
          <w:p>
            <w:pPr>
              <w:jc w:val="right"/>
              <w:spacing w:after="0" w:line="129" w:lineRule="exact"/>
              <w:rPr>
                <w:sz w:val="20"/>
                <w:szCs w:val="20"/>
                <w:color w:val="auto"/>
              </w:rPr>
            </w:pPr>
            <w:r>
              <w:rPr>
                <w:rFonts w:ascii="Arial" w:cs="Arial" w:eastAsia="Arial" w:hAnsi="Arial"/>
                <w:sz w:val="13"/>
                <w:szCs w:val="13"/>
                <w:b w:val="1"/>
                <w:bCs w:val="1"/>
                <w:u w:val="single" w:color="auto"/>
                <w:color w:val="auto"/>
                <w:w w:val="93"/>
              </w:rPr>
              <w:t>233,656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4300" w:type="dxa"/>
            <w:vAlign w:val="bottom"/>
            <w:gridSpan w:val="2"/>
          </w:tcPr>
          <w:p>
            <w:pPr>
              <w:ind w:left="800"/>
              <w:spacing w:after="0"/>
              <w:rPr>
                <w:sz w:val="20"/>
                <w:szCs w:val="20"/>
                <w:color w:val="auto"/>
              </w:rPr>
            </w:pPr>
            <w:r>
              <w:rPr>
                <w:rFonts w:ascii="Arial" w:cs="Arial" w:eastAsia="Arial" w:hAnsi="Arial"/>
                <w:sz w:val="1"/>
                <w:szCs w:val="1"/>
                <w:color w:val="auto"/>
              </w:rPr>
              <w:t>â€‹</w:t>
            </w:r>
          </w:p>
        </w:tc>
        <w:tc>
          <w:tcPr>
            <w:tcW w:w="2020" w:type="dxa"/>
            <w:vAlign w:val="bottom"/>
          </w:tcPr>
          <w:p>
            <w:pPr>
              <w:spacing w:after="0"/>
              <w:rPr>
                <w:sz w:val="3"/>
                <w:szCs w:val="3"/>
                <w:color w:val="auto"/>
              </w:rPr>
            </w:pPr>
          </w:p>
        </w:tc>
        <w:tc>
          <w:tcPr>
            <w:tcW w:w="260" w:type="dxa"/>
            <w:vAlign w:val="bottom"/>
          </w:tcPr>
          <w:p>
            <w:pPr>
              <w:ind w:left="200"/>
              <w:spacing w:after="0"/>
              <w:rPr>
                <w:sz w:val="20"/>
                <w:szCs w:val="20"/>
                <w:color w:val="auto"/>
              </w:rPr>
            </w:pPr>
            <w:r>
              <w:rPr>
                <w:rFonts w:ascii="Arial" w:cs="Arial" w:eastAsia="Arial" w:hAnsi="Arial"/>
                <w:sz w:val="1"/>
                <w:szCs w:val="1"/>
                <w:color w:val="auto"/>
              </w:rPr>
              <w:t>â€‹</w:t>
            </w:r>
          </w:p>
        </w:tc>
        <w:tc>
          <w:tcPr>
            <w:tcW w:w="100" w:type="dxa"/>
            <w:vAlign w:val="bottom"/>
          </w:tcPr>
          <w:p>
            <w:pPr>
              <w:spacing w:after="0"/>
              <w:rPr>
                <w:sz w:val="3"/>
                <w:szCs w:val="3"/>
                <w:color w:val="auto"/>
              </w:rPr>
            </w:pPr>
          </w:p>
        </w:tc>
        <w:tc>
          <w:tcPr>
            <w:tcW w:w="80" w:type="dxa"/>
            <w:vAlign w:val="bottom"/>
          </w:tcPr>
          <w:p>
            <w:pPr>
              <w:spacing w:after="0"/>
              <w:rPr>
                <w:sz w:val="20"/>
                <w:szCs w:val="20"/>
                <w:color w:val="auto"/>
              </w:rPr>
            </w:pPr>
            <w:r>
              <w:rPr>
                <w:rFonts w:ascii="Arial" w:cs="Arial" w:eastAsia="Arial" w:hAnsi="Arial"/>
                <w:sz w:val="3"/>
                <w:szCs w:val="3"/>
                <w:color w:val="auto"/>
              </w:rPr>
              <w:t>â€‹</w:t>
            </w: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gridSpan w:val="2"/>
          </w:tcPr>
          <w:p>
            <w:pPr>
              <w:jc w:val="right"/>
              <w:ind w:right="9"/>
              <w:spacing w:after="0"/>
              <w:rPr>
                <w:sz w:val="20"/>
                <w:szCs w:val="20"/>
                <w:color w:val="auto"/>
              </w:rPr>
            </w:pPr>
            <w:r>
              <w:rPr>
                <w:rFonts w:ascii="Arial" w:cs="Arial" w:eastAsia="Arial" w:hAnsi="Arial"/>
                <w:sz w:val="3"/>
                <w:szCs w:val="3"/>
                <w:color w:val="auto"/>
              </w:rPr>
              <w:t>â€‹</w:t>
            </w:r>
          </w:p>
        </w:tc>
        <w:tc>
          <w:tcPr>
            <w:tcW w:w="60" w:type="dxa"/>
            <w:vAlign w:val="bottom"/>
          </w:tcPr>
          <w:p>
            <w:pPr>
              <w:spacing w:after="0"/>
              <w:rPr>
                <w:sz w:val="20"/>
                <w:szCs w:val="20"/>
                <w:color w:val="auto"/>
              </w:rPr>
            </w:pPr>
            <w:r>
              <w:rPr>
                <w:rFonts w:ascii="Arial" w:cs="Arial" w:eastAsia="Arial" w:hAnsi="Arial"/>
                <w:sz w:val="1"/>
                <w:szCs w:val="1"/>
                <w:color w:val="auto"/>
              </w:rPr>
              <w:t>â€‹</w:t>
            </w:r>
          </w:p>
        </w:tc>
        <w:tc>
          <w:tcPr>
            <w:tcW w:w="80" w:type="dxa"/>
            <w:vAlign w:val="bottom"/>
          </w:tcPr>
          <w:p>
            <w:pPr>
              <w:spacing w:after="0"/>
              <w:rPr>
                <w:sz w:val="3"/>
                <w:szCs w:val="3"/>
                <w:color w:val="auto"/>
              </w:rPr>
            </w:pPr>
          </w:p>
        </w:tc>
        <w:tc>
          <w:tcPr>
            <w:tcW w:w="100" w:type="dxa"/>
            <w:vAlign w:val="bottom"/>
          </w:tcPr>
          <w:p>
            <w:pPr>
              <w:spacing w:after="0"/>
              <w:rPr>
                <w:sz w:val="20"/>
                <w:szCs w:val="20"/>
                <w:color w:val="auto"/>
              </w:rPr>
            </w:pPr>
            <w:r>
              <w:rPr>
                <w:rFonts w:ascii="Arial" w:cs="Arial" w:eastAsia="Arial" w:hAnsi="Arial"/>
                <w:sz w:val="3"/>
                <w:szCs w:val="3"/>
                <w:color w:val="auto"/>
              </w:rPr>
              <w:t>â€‹</w:t>
            </w:r>
          </w:p>
        </w:tc>
        <w:tc>
          <w:tcPr>
            <w:tcW w:w="560" w:type="dxa"/>
            <w:vAlign w:val="bottom"/>
          </w:tcPr>
          <w:p>
            <w:pPr>
              <w:jc w:val="right"/>
              <w:spacing w:after="0"/>
              <w:rPr>
                <w:sz w:val="20"/>
                <w:szCs w:val="20"/>
                <w:color w:val="auto"/>
              </w:rPr>
            </w:pPr>
            <w:r>
              <w:rPr>
                <w:rFonts w:ascii="Arial" w:cs="Arial" w:eastAsia="Arial" w:hAnsi="Arial"/>
                <w:sz w:val="3"/>
                <w:szCs w:val="3"/>
                <w:color w:val="auto"/>
              </w:rPr>
              <w:t>â€‹</w:t>
            </w:r>
          </w:p>
        </w:tc>
        <w:tc>
          <w:tcPr>
            <w:tcW w:w="100" w:type="dxa"/>
            <w:vAlign w:val="bottom"/>
          </w:tcPr>
          <w:p>
            <w:pPr>
              <w:jc w:val="right"/>
              <w:ind w:right="53"/>
              <w:spacing w:after="0"/>
              <w:rPr>
                <w:sz w:val="20"/>
                <w:szCs w:val="20"/>
                <w:color w:val="auto"/>
              </w:rPr>
            </w:pPr>
            <w:r>
              <w:rPr>
                <w:rFonts w:ascii="Arial" w:cs="Arial" w:eastAsia="Arial" w:hAnsi="Arial"/>
                <w:sz w:val="1"/>
                <w:szCs w:val="1"/>
                <w:color w:val="auto"/>
              </w:rPr>
              <w:t>â€‹</w:t>
            </w:r>
          </w:p>
        </w:tc>
        <w:tc>
          <w:tcPr>
            <w:tcW w:w="60" w:type="dxa"/>
            <w:vAlign w:val="bottom"/>
          </w:tcPr>
          <w:p>
            <w:pPr>
              <w:spacing w:after="0"/>
              <w:rPr>
                <w:sz w:val="3"/>
                <w:szCs w:val="3"/>
                <w:color w:val="auto"/>
              </w:rPr>
            </w:pPr>
          </w:p>
        </w:tc>
        <w:tc>
          <w:tcPr>
            <w:tcW w:w="180" w:type="dxa"/>
            <w:vAlign w:val="bottom"/>
          </w:tcPr>
          <w:p>
            <w:pPr>
              <w:spacing w:after="0"/>
              <w:rPr>
                <w:sz w:val="20"/>
                <w:szCs w:val="20"/>
                <w:color w:val="auto"/>
              </w:rPr>
            </w:pPr>
            <w:r>
              <w:rPr>
                <w:rFonts w:ascii="Arial" w:cs="Arial" w:eastAsia="Arial" w:hAnsi="Arial"/>
                <w:sz w:val="3"/>
                <w:szCs w:val="3"/>
                <w:color w:val="auto"/>
              </w:rPr>
              <w:t>â€‹</w:t>
            </w:r>
          </w:p>
        </w:tc>
        <w:tc>
          <w:tcPr>
            <w:tcW w:w="460" w:type="dxa"/>
            <w:vAlign w:val="bottom"/>
          </w:tcPr>
          <w:p>
            <w:pPr>
              <w:jc w:val="right"/>
              <w:spacing w:after="0"/>
              <w:rPr>
                <w:sz w:val="20"/>
                <w:szCs w:val="20"/>
                <w:color w:val="auto"/>
              </w:rPr>
            </w:pPr>
            <w:r>
              <w:rPr>
                <w:rFonts w:ascii="Arial" w:cs="Arial" w:eastAsia="Arial" w:hAnsi="Arial"/>
                <w:sz w:val="3"/>
                <w:szCs w:val="3"/>
                <w:color w:val="auto"/>
              </w:rPr>
              <w:t>â€‹</w:t>
            </w:r>
          </w:p>
        </w:tc>
        <w:tc>
          <w:tcPr>
            <w:tcW w:w="160" w:type="dxa"/>
            <w:vAlign w:val="bottom"/>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13"/>
        </w:trPr>
        <w:tc>
          <w:tcPr>
            <w:tcW w:w="4300" w:type="dxa"/>
            <w:vAlign w:val="bottom"/>
            <w:gridSpan w:val="2"/>
            <w:vMerge w:val="restart"/>
          </w:tcPr>
          <w:p>
            <w:pPr>
              <w:ind w:left="800"/>
              <w:spacing w:after="0"/>
              <w:rPr>
                <w:sz w:val="20"/>
                <w:szCs w:val="20"/>
                <w:color w:val="auto"/>
              </w:rPr>
            </w:pPr>
            <w:r>
              <w:rPr>
                <w:rFonts w:ascii="Arial" w:cs="Arial" w:eastAsia="Arial" w:hAnsi="Arial"/>
                <w:sz w:val="3"/>
                <w:szCs w:val="3"/>
                <w:color w:val="auto"/>
              </w:rPr>
              <w:t>â€‹</w:t>
            </w:r>
          </w:p>
        </w:tc>
        <w:tc>
          <w:tcPr>
            <w:tcW w:w="2020" w:type="dxa"/>
            <w:vAlign w:val="bottom"/>
          </w:tcPr>
          <w:p>
            <w:pPr>
              <w:spacing w:after="0" w:line="20" w:lineRule="exact"/>
              <w:rPr>
                <w:sz w:val="1"/>
                <w:szCs w:val="1"/>
                <w:color w:val="auto"/>
              </w:rPr>
            </w:pPr>
          </w:p>
        </w:tc>
        <w:tc>
          <w:tcPr>
            <w:tcW w:w="260" w:type="dxa"/>
            <w:vAlign w:val="bottom"/>
            <w:vMerge w:val="restart"/>
          </w:tcPr>
          <w:p>
            <w:pPr>
              <w:ind w:left="200"/>
              <w:spacing w:after="0"/>
              <w:rPr>
                <w:sz w:val="20"/>
                <w:szCs w:val="20"/>
                <w:color w:val="auto"/>
              </w:rPr>
            </w:pPr>
            <w:r>
              <w:rPr>
                <w:rFonts w:ascii="Arial" w:cs="Arial" w:eastAsia="Arial" w:hAnsi="Arial"/>
                <w:sz w:val="3"/>
                <w:szCs w:val="3"/>
                <w:color w:val="auto"/>
                <w:w w:val="91"/>
              </w:rPr>
              <w:t>â€‹</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jc w:val="right"/>
              <w:ind w:right="9"/>
              <w:spacing w:after="0" w:line="7" w:lineRule="exact"/>
              <w:rPr>
                <w:sz w:val="20"/>
                <w:szCs w:val="20"/>
                <w:color w:val="auto"/>
              </w:rPr>
            </w:pPr>
            <w:r>
              <w:rPr>
                <w:rFonts w:ascii="Arial" w:cs="Arial" w:eastAsia="Arial" w:hAnsi="Arial"/>
                <w:sz w:val="1"/>
                <w:szCs w:val="1"/>
                <w:color w:val="auto"/>
              </w:rPr>
              <w:t>â€‹</w:t>
            </w:r>
          </w:p>
        </w:tc>
        <w:tc>
          <w:tcPr>
            <w:tcW w:w="60" w:type="dxa"/>
            <w:vAlign w:val="bottom"/>
            <w:vMerge w:val="restart"/>
          </w:tcPr>
          <w:p>
            <w:pPr>
              <w:spacing w:after="0"/>
              <w:rPr>
                <w:sz w:val="20"/>
                <w:szCs w:val="20"/>
                <w:color w:val="auto"/>
              </w:rPr>
            </w:pPr>
            <w:r>
              <w:rPr>
                <w:rFonts w:ascii="Arial" w:cs="Arial" w:eastAsia="Arial" w:hAnsi="Arial"/>
                <w:sz w:val="3"/>
                <w:szCs w:val="3"/>
                <w:color w:val="auto"/>
                <w:w w:val="91"/>
              </w:rPr>
              <w:t>â€‹</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5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00" w:type="dxa"/>
            <w:vAlign w:val="bottom"/>
            <w:vMerge w:val="restart"/>
          </w:tcPr>
          <w:p>
            <w:pPr>
              <w:jc w:val="right"/>
              <w:ind w:right="53"/>
              <w:spacing w:after="0"/>
              <w:rPr>
                <w:sz w:val="20"/>
                <w:szCs w:val="20"/>
                <w:color w:val="auto"/>
              </w:rPr>
            </w:pPr>
            <w:r>
              <w:rPr>
                <w:rFonts w:ascii="Arial" w:cs="Arial" w:eastAsia="Arial" w:hAnsi="Arial"/>
                <w:sz w:val="1"/>
                <w:szCs w:val="1"/>
                <w:color w:val="auto"/>
              </w:rPr>
              <w:t>â€‹</w:t>
            </w: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4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60" w:type="dxa"/>
            <w:vAlign w:val="bottom"/>
            <w:vMerge w:val="restart"/>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22"/>
        </w:trPr>
        <w:tc>
          <w:tcPr>
            <w:tcW w:w="4300" w:type="dxa"/>
            <w:vAlign w:val="bottom"/>
            <w:gridSpan w:val="2"/>
            <w:vMerge w:val="continu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580"/>
        <w:spacing w:after="0"/>
        <w:rPr>
          <w:sz w:val="20"/>
          <w:szCs w:val="20"/>
          <w:color w:val="auto"/>
        </w:rPr>
      </w:pPr>
      <w:r>
        <w:rPr>
          <w:rFonts w:ascii="Arial" w:cs="Arial" w:eastAsia="Arial" w:hAnsi="Arial"/>
          <w:sz w:val="13"/>
          <w:szCs w:val="13"/>
          <w:b w:val="1"/>
          <w:bCs w:val="1"/>
          <w:i w:val="1"/>
          <w:iCs w:val="1"/>
          <w:color w:val="auto"/>
        </w:rPr>
        <w:t>Distributable Cash Flow</w:t>
      </w:r>
    </w:p>
    <w:p>
      <w:pPr>
        <w:spacing w:after="0" w:line="215" w:lineRule="exact"/>
        <w:rPr>
          <w:sz w:val="20"/>
          <w:szCs w:val="20"/>
          <w:color w:val="auto"/>
        </w:rPr>
      </w:pPr>
    </w:p>
    <w:p>
      <w:pPr>
        <w:ind w:left="1580" w:right="180"/>
        <w:spacing w:after="0" w:line="250" w:lineRule="auto"/>
        <w:rPr>
          <w:sz w:val="20"/>
          <w:szCs w:val="20"/>
          <w:color w:val="auto"/>
        </w:rPr>
      </w:pPr>
      <w:r>
        <w:rPr>
          <w:rFonts w:ascii="Arial" w:cs="Arial" w:eastAsia="Arial" w:hAnsi="Arial"/>
          <w:sz w:val="13"/>
          <w:szCs w:val="13"/>
          <w:color w:val="auto"/>
        </w:rPr>
        <w:t>Distributable cash flow means EBITDA, on the basis of the Partnership Performance Results, after considering financial costs for the year, including realized loss on derivatives and excluding amortization of loan fees,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 generated by, our capital assets. The Partnership</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280"/>
          </w:cols>
          <w:pgMar w:left="160" w:top="51" w:right="4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4701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41870" cy="470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580" w:right="160"/>
        <w:spacing w:after="0" w:line="317" w:lineRule="auto"/>
        <w:rPr>
          <w:sz w:val="20"/>
          <w:szCs w:val="20"/>
          <w:color w:val="auto"/>
        </w:rPr>
      </w:pPr>
      <w:r>
        <w:rPr>
          <w:rFonts w:ascii="Arial" w:cs="Arial" w:eastAsia="Arial" w:hAnsi="Arial"/>
          <w:sz w:val="12"/>
          <w:szCs w:val="12"/>
          <w:color w:val="auto"/>
        </w:rPr>
        <w:t>believes that Distributable cash flow, which is a non-GAAP financial measure, is useful because it is a quantitative standard used by investors in publicly-traded partnerships to assess their ability to make quarterly cash distributions. Our calculation of Distributable cash flow may not be comparable to that reported by other companies.</w:t>
      </w:r>
    </w:p>
    <w:p>
      <w:pPr>
        <w:spacing w:after="0" w:line="148" w:lineRule="exact"/>
        <w:rPr>
          <w:sz w:val="20"/>
          <w:szCs w:val="20"/>
          <w:color w:val="auto"/>
        </w:rPr>
      </w:pPr>
    </w:p>
    <w:p>
      <w:pPr>
        <w:ind w:left="1580" w:right="280"/>
        <w:spacing w:after="0" w:line="274" w:lineRule="auto"/>
        <w:rPr>
          <w:sz w:val="20"/>
          <w:szCs w:val="20"/>
          <w:color w:val="auto"/>
        </w:rPr>
      </w:pPr>
      <w:r>
        <w:rPr>
          <w:rFonts w:ascii="Arial" w:cs="Arial" w:eastAsia="Arial" w:hAnsi="Arial"/>
          <w:sz w:val="13"/>
          <w:szCs w:val="13"/>
          <w:color w:val="auto"/>
        </w:rPr>
        <w:t>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w:t>
      </w:r>
    </w:p>
    <w:p>
      <w:pPr>
        <w:spacing w:after="0" w:line="172"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The table below reconciles Distributable cash flow and Cash distributions declared to EBITDA (Partnership Performance Results).</w:t>
      </w:r>
    </w:p>
    <w:p>
      <w:pPr>
        <w:spacing w:after="0" w:line="213"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5940" w:type="dxa"/>
            <w:vAlign w:val="bottom"/>
            <w:gridSpan w:val="3"/>
          </w:tcPr>
          <w:p>
            <w:pPr>
              <w:spacing w:after="0"/>
              <w:rPr>
                <w:sz w:val="20"/>
                <w:szCs w:val="20"/>
                <w:color w:val="auto"/>
              </w:rPr>
            </w:pPr>
            <w:r>
              <w:rPr>
                <w:rFonts w:ascii="Arial" w:cs="Arial" w:eastAsia="Arial" w:hAnsi="Arial"/>
                <w:sz w:val="13"/>
                <w:szCs w:val="13"/>
                <w:b w:val="1"/>
                <w:bCs w:val="1"/>
                <w:color w:val="auto"/>
              </w:rPr>
              <w:t>Reconciliation of Distributable Cash Flow to EBITDA*:</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jc w:val="center"/>
              <w:ind w:right="63"/>
              <w:spacing w:after="0"/>
              <w:rPr>
                <w:sz w:val="20"/>
                <w:szCs w:val="20"/>
                <w:color w:val="auto"/>
              </w:rPr>
            </w:pPr>
            <w:r>
              <w:rPr>
                <w:rFonts w:ascii="Arial" w:cs="Arial" w:eastAsia="Arial" w:hAnsi="Arial"/>
                <w:sz w:val="13"/>
                <w:szCs w:val="13"/>
                <w:b w:val="1"/>
                <w:bCs w:val="1"/>
                <w:color w:val="auto"/>
                <w:w w:val="96"/>
              </w:rPr>
              <w:t>Partnership</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8"/>
          </w:tcPr>
          <w:p>
            <w:pPr>
              <w:jc w:val="center"/>
              <w:ind w:left="330"/>
              <w:spacing w:after="0"/>
              <w:rPr>
                <w:sz w:val="20"/>
                <w:szCs w:val="20"/>
                <w:color w:val="auto"/>
              </w:rPr>
            </w:pPr>
            <w:r>
              <w:rPr>
                <w:rFonts w:ascii="Arial" w:cs="Arial" w:eastAsia="Arial" w:hAnsi="Arial"/>
                <w:sz w:val="13"/>
                <w:szCs w:val="13"/>
                <w:b w:val="1"/>
                <w:bCs w:val="1"/>
                <w:color w:val="auto"/>
                <w:w w:val="92"/>
              </w:rPr>
              <w:t>Performance Results</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9"/>
          </w:tcPr>
          <w:p>
            <w:pPr>
              <w:jc w:val="center"/>
              <w:ind w:right="72"/>
              <w:spacing w:after="0" w:line="142" w:lineRule="exact"/>
              <w:rPr>
                <w:sz w:val="20"/>
                <w:szCs w:val="20"/>
                <w:color w:val="auto"/>
              </w:rPr>
            </w:pPr>
            <w:r>
              <w:rPr>
                <w:rFonts w:ascii="Arial" w:cs="Arial" w:eastAsia="Arial" w:hAnsi="Arial"/>
                <w:sz w:val="13"/>
                <w:szCs w:val="13"/>
                <w:b w:val="1"/>
                <w:bCs w:val="1"/>
                <w:color w:val="auto"/>
                <w:w w:val="93"/>
              </w:rPr>
              <w:t>Year Ended December 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74"/>
              </w:rPr>
              <w:t>(in</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92"/>
              <w:spacing w:after="0" w:line="142" w:lineRule="exact"/>
              <w:rPr>
                <w:sz w:val="20"/>
                <w:szCs w:val="20"/>
                <w:color w:val="auto"/>
              </w:rPr>
            </w:pPr>
            <w:r>
              <w:rPr>
                <w:rFonts w:ascii="Arial" w:cs="Arial" w:eastAsia="Arial" w:hAnsi="Arial"/>
                <w:sz w:val="13"/>
                <w:szCs w:val="13"/>
                <w:b w:val="1"/>
                <w:bCs w:val="1"/>
                <w:color w:val="auto"/>
                <w:w w:val="89"/>
              </w:rPr>
              <w:t>2017</w:t>
            </w: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of</w:t>
            </w: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4"/>
              </w:rPr>
              <w:t>thousands</w:t>
            </w: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ind w:right="83"/>
              <w:spacing w:after="0"/>
              <w:rPr>
                <w:sz w:val="20"/>
                <w:szCs w:val="20"/>
                <w:color w:val="auto"/>
              </w:rPr>
            </w:pPr>
            <w:r>
              <w:rPr>
                <w:rFonts w:ascii="Arial" w:cs="Arial" w:eastAsia="Arial" w:hAnsi="Arial"/>
                <w:sz w:val="13"/>
                <w:szCs w:val="13"/>
                <w:b w:val="1"/>
                <w:bCs w:val="1"/>
                <w:color w:val="auto"/>
                <w:w w:val="97"/>
              </w:rPr>
              <w:t>U.S. dollars)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EBITDA (Partnership Performance Results)*</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148,885</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196,133</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233,656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3"/>
                <w:szCs w:val="13"/>
                <w:color w:val="auto"/>
              </w:rPr>
              <w:t>Financial costs (excluding amortization of loan fees) and realized loss on derivatives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5"/>
              <w:spacing w:after="0"/>
              <w:rPr>
                <w:sz w:val="20"/>
                <w:szCs w:val="20"/>
                <w:color w:val="auto"/>
              </w:rPr>
            </w:pPr>
            <w:r>
              <w:rPr>
                <w:rFonts w:ascii="Arial" w:cs="Arial" w:eastAsia="Arial" w:hAnsi="Arial"/>
                <w:sz w:val="13"/>
                <w:szCs w:val="13"/>
                <w:color w:val="auto"/>
              </w:rPr>
              <w:t>(26,929)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3"/>
              <w:spacing w:after="0"/>
              <w:rPr>
                <w:sz w:val="20"/>
                <w:szCs w:val="20"/>
                <w:color w:val="auto"/>
              </w:rPr>
            </w:pPr>
            <w:r>
              <w:rPr>
                <w:rFonts w:ascii="Arial" w:cs="Arial" w:eastAsia="Arial" w:hAnsi="Arial"/>
                <w:sz w:val="13"/>
                <w:szCs w:val="13"/>
                <w:color w:val="auto"/>
              </w:rPr>
              <w:t>(41,722)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93"/>
              <w:spacing w:after="0"/>
              <w:rPr>
                <w:sz w:val="20"/>
                <w:szCs w:val="20"/>
                <w:color w:val="auto"/>
              </w:rPr>
            </w:pPr>
            <w:r>
              <w:rPr>
                <w:rFonts w:ascii="Arial" w:cs="Arial" w:eastAsia="Arial" w:hAnsi="Arial"/>
                <w:sz w:val="13"/>
                <w:szCs w:val="13"/>
                <w:color w:val="auto"/>
              </w:rPr>
              <w:t>(52,876)</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Dry-docking capital reserve</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5"/>
              <w:spacing w:after="0"/>
              <w:rPr>
                <w:sz w:val="20"/>
                <w:szCs w:val="20"/>
                <w:color w:val="auto"/>
              </w:rPr>
            </w:pPr>
            <w:r>
              <w:rPr>
                <w:rFonts w:ascii="Arial" w:cs="Arial" w:eastAsia="Arial" w:hAnsi="Arial"/>
                <w:sz w:val="13"/>
                <w:szCs w:val="13"/>
                <w:color w:val="auto"/>
              </w:rPr>
              <w:t>(8,829)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3"/>
              <w:spacing w:after="0"/>
              <w:rPr>
                <w:sz w:val="20"/>
                <w:szCs w:val="20"/>
                <w:color w:val="auto"/>
              </w:rPr>
            </w:pPr>
            <w:r>
              <w:rPr>
                <w:rFonts w:ascii="Arial" w:cs="Arial" w:eastAsia="Arial" w:hAnsi="Arial"/>
                <w:sz w:val="13"/>
                <w:szCs w:val="13"/>
                <w:color w:val="auto"/>
              </w:rPr>
              <w:t>(12,234)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(13,890)</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3"/>
                <w:szCs w:val="13"/>
                <w:color w:val="auto"/>
              </w:rPr>
              <w:t>Replacement capital reserve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5"/>
              <w:spacing w:after="0"/>
              <w:rPr>
                <w:sz w:val="20"/>
                <w:szCs w:val="20"/>
                <w:color w:val="auto"/>
              </w:rPr>
            </w:pPr>
            <w:r>
              <w:rPr>
                <w:rFonts w:ascii="Arial" w:cs="Arial" w:eastAsia="Arial" w:hAnsi="Arial"/>
                <w:sz w:val="13"/>
                <w:szCs w:val="13"/>
                <w:color w:val="auto"/>
              </w:rPr>
              <w:t>(29,467)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3"/>
              <w:spacing w:after="0"/>
              <w:rPr>
                <w:sz w:val="20"/>
                <w:szCs w:val="20"/>
                <w:color w:val="auto"/>
              </w:rPr>
            </w:pPr>
            <w:r>
              <w:rPr>
                <w:rFonts w:ascii="Arial" w:cs="Arial" w:eastAsia="Arial" w:hAnsi="Arial"/>
                <w:sz w:val="13"/>
                <w:szCs w:val="13"/>
                <w:color w:val="auto"/>
              </w:rPr>
              <w:t>(33,877)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93"/>
              <w:spacing w:after="0"/>
              <w:rPr>
                <w:sz w:val="20"/>
                <w:szCs w:val="20"/>
                <w:color w:val="auto"/>
              </w:rPr>
            </w:pPr>
            <w:r>
              <w:rPr>
                <w:rFonts w:ascii="Arial" w:cs="Arial" w:eastAsia="Arial" w:hAnsi="Arial"/>
                <w:sz w:val="13"/>
                <w:szCs w:val="13"/>
                <w:color w:val="auto"/>
              </w:rPr>
              <w:t>(35,450)</w:t>
            </w:r>
          </w:p>
        </w:tc>
        <w:tc>
          <w:tcPr>
            <w:tcW w:w="0" w:type="dxa"/>
            <w:vAlign w:val="bottom"/>
          </w:tcPr>
          <w:p>
            <w:pPr>
              <w:spacing w:after="0"/>
              <w:rPr>
                <w:sz w:val="1"/>
                <w:szCs w:val="1"/>
                <w:color w:val="auto"/>
              </w:rPr>
            </w:pPr>
          </w:p>
        </w:tc>
      </w:tr>
      <w:tr>
        <w:trPr>
          <w:trHeight w:val="136"/>
        </w:trPr>
        <w:tc>
          <w:tcPr>
            <w:tcW w:w="800" w:type="dxa"/>
            <w:vAlign w:val="bottom"/>
          </w:tcPr>
          <w:p>
            <w:pPr>
              <w:spacing w:after="0"/>
              <w:rPr>
                <w:sz w:val="11"/>
                <w:szCs w:val="11"/>
                <w:color w:val="auto"/>
              </w:rPr>
            </w:pPr>
          </w:p>
        </w:tc>
        <w:tc>
          <w:tcPr>
            <w:tcW w:w="5140" w:type="dxa"/>
            <w:vAlign w:val="bottom"/>
            <w:gridSpan w:val="2"/>
          </w:tcPr>
          <w:p>
            <w:pPr>
              <w:spacing w:after="0" w:line="136" w:lineRule="exact"/>
              <w:rPr>
                <w:sz w:val="20"/>
                <w:szCs w:val="20"/>
                <w:color w:val="auto"/>
              </w:rPr>
            </w:pPr>
            <w:r>
              <w:rPr>
                <w:rFonts w:ascii="Arial" w:cs="Arial" w:eastAsia="Arial" w:hAnsi="Arial"/>
                <w:sz w:val="13"/>
                <w:szCs w:val="13"/>
                <w:color w:val="auto"/>
              </w:rPr>
              <w:t>Paid and Accrued preferred equity distribution</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5"/>
              <w:spacing w:after="0" w:line="136" w:lineRule="exact"/>
              <w:rPr>
                <w:sz w:val="20"/>
                <w:szCs w:val="20"/>
                <w:color w:val="auto"/>
              </w:rPr>
            </w:pPr>
            <w:r>
              <w:rPr>
                <w:rFonts w:ascii="Arial" w:cs="Arial" w:eastAsia="Arial" w:hAnsi="Arial"/>
                <w:sz w:val="13"/>
                <w:szCs w:val="13"/>
                <w:color w:val="auto"/>
              </w:rPr>
              <w:t>â€”</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3"/>
              <w:spacing w:after="0" w:line="136" w:lineRule="exact"/>
              <w:rPr>
                <w:sz w:val="20"/>
                <w:szCs w:val="20"/>
                <w:color w:val="auto"/>
              </w:rPr>
            </w:pPr>
            <w:r>
              <w:rPr>
                <w:rFonts w:ascii="Arial" w:cs="Arial" w:eastAsia="Arial" w:hAnsi="Arial"/>
                <w:sz w:val="13"/>
                <w:szCs w:val="13"/>
                <w:color w:val="auto"/>
              </w:rPr>
              <w:t>(7,749)</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93"/>
              <w:spacing w:after="0" w:line="136" w:lineRule="exact"/>
              <w:rPr>
                <w:sz w:val="20"/>
                <w:szCs w:val="20"/>
                <w:color w:val="auto"/>
              </w:rPr>
            </w:pPr>
            <w:r>
              <w:rPr>
                <w:rFonts w:ascii="Arial" w:cs="Arial" w:eastAsia="Arial" w:hAnsi="Arial"/>
                <w:sz w:val="13"/>
                <w:szCs w:val="13"/>
                <w:color w:val="auto"/>
              </w:rPr>
              <w:t>(22,495)</w:t>
            </w:r>
          </w:p>
        </w:tc>
        <w:tc>
          <w:tcPr>
            <w:tcW w:w="0" w:type="dxa"/>
            <w:vAlign w:val="bottom"/>
          </w:tcPr>
          <w:p>
            <w:pPr>
              <w:spacing w:after="0"/>
              <w:rPr>
                <w:sz w:val="1"/>
                <w:szCs w:val="1"/>
                <w:color w:val="auto"/>
              </w:rPr>
            </w:pPr>
          </w:p>
        </w:tc>
      </w:tr>
      <w:tr>
        <w:trPr>
          <w:trHeight w:val="33"/>
        </w:trPr>
        <w:tc>
          <w:tcPr>
            <w:tcW w:w="5940" w:type="dxa"/>
            <w:vAlign w:val="bottom"/>
            <w:gridSpan w:val="3"/>
          </w:tcPr>
          <w:p>
            <w:pPr>
              <w:jc w:val="right"/>
              <w:ind w:right="5120"/>
              <w:spacing w:after="0" w:line="33" w:lineRule="exact"/>
              <w:rPr>
                <w:sz w:val="20"/>
                <w:szCs w:val="20"/>
                <w:color w:val="auto"/>
              </w:rPr>
            </w:pPr>
            <w:r>
              <w:rPr>
                <w:rFonts w:ascii="Arial" w:cs="Arial" w:eastAsia="Arial" w:hAnsi="Arial"/>
                <w:sz w:val="3"/>
                <w:szCs w:val="3"/>
                <w:color w:val="auto"/>
              </w:rPr>
              <w:t>â€‹</w:t>
            </w:r>
          </w:p>
        </w:tc>
        <w:tc>
          <w:tcPr>
            <w:tcW w:w="740" w:type="dxa"/>
            <w:vAlign w:val="bottom"/>
          </w:tcPr>
          <w:p>
            <w:pPr>
              <w:ind w:left="580"/>
              <w:spacing w:after="0" w:line="33" w:lineRule="exact"/>
              <w:rPr>
                <w:sz w:val="20"/>
                <w:szCs w:val="20"/>
                <w:color w:val="auto"/>
              </w:rPr>
            </w:pPr>
            <w:r>
              <w:rPr>
                <w:rFonts w:ascii="Arial" w:cs="Arial" w:eastAsia="Arial" w:hAnsi="Arial"/>
                <w:sz w:val="3"/>
                <w:szCs w:val="3"/>
                <w:color w:val="auto"/>
              </w:rPr>
              <w:t>â€‹</w:t>
            </w:r>
          </w:p>
        </w:tc>
        <w:tc>
          <w:tcPr>
            <w:tcW w:w="12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52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00" w:type="dxa"/>
            <w:vAlign w:val="bottom"/>
          </w:tcPr>
          <w:p>
            <w:pPr>
              <w:jc w:val="right"/>
              <w:ind w:right="45"/>
              <w:spacing w:after="0"/>
              <w:rPr>
                <w:sz w:val="20"/>
                <w:szCs w:val="20"/>
                <w:color w:val="auto"/>
              </w:rPr>
            </w:pPr>
            <w:r>
              <w:rPr>
                <w:rFonts w:ascii="Arial" w:cs="Arial" w:eastAsia="Arial" w:hAnsi="Arial"/>
                <w:sz w:val="1"/>
                <w:szCs w:val="1"/>
                <w:color w:val="auto"/>
              </w:rPr>
              <w:t>â€‹</w:t>
            </w:r>
          </w:p>
        </w:tc>
        <w:tc>
          <w:tcPr>
            <w:tcW w:w="60" w:type="dxa"/>
            <w:vAlign w:val="bottom"/>
          </w:tcPr>
          <w:p>
            <w:pPr>
              <w:spacing w:after="0"/>
              <w:rPr>
                <w:sz w:val="2"/>
                <w:szCs w:val="2"/>
                <w:color w:val="auto"/>
              </w:rPr>
            </w:pPr>
          </w:p>
        </w:tc>
        <w:tc>
          <w:tcPr>
            <w:tcW w:w="14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52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40" w:type="dxa"/>
            <w:vAlign w:val="bottom"/>
          </w:tcPr>
          <w:p>
            <w:pPr>
              <w:jc w:val="right"/>
              <w:ind w:right="83"/>
              <w:spacing w:after="0"/>
              <w:rPr>
                <w:sz w:val="20"/>
                <w:szCs w:val="20"/>
                <w:color w:val="auto"/>
              </w:rPr>
            </w:pPr>
            <w:r>
              <w:rPr>
                <w:rFonts w:ascii="Arial" w:cs="Arial" w:eastAsia="Arial" w:hAnsi="Arial"/>
                <w:sz w:val="1"/>
                <w:szCs w:val="1"/>
                <w:color w:val="auto"/>
              </w:rPr>
              <w:t>â€‹</w:t>
            </w:r>
          </w:p>
        </w:tc>
        <w:tc>
          <w:tcPr>
            <w:tcW w:w="20" w:type="dxa"/>
            <w:vAlign w:val="bottom"/>
          </w:tcPr>
          <w:p>
            <w:pPr>
              <w:spacing w:after="0"/>
              <w:rPr>
                <w:sz w:val="2"/>
                <w:szCs w:val="2"/>
                <w:color w:val="auto"/>
              </w:rPr>
            </w:pPr>
          </w:p>
        </w:tc>
        <w:tc>
          <w:tcPr>
            <w:tcW w:w="16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48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129"/>
        </w:trPr>
        <w:tc>
          <w:tcPr>
            <w:tcW w:w="5940" w:type="dxa"/>
            <w:vAlign w:val="bottom"/>
            <w:gridSpan w:val="3"/>
          </w:tcPr>
          <w:p>
            <w:pPr>
              <w:ind w:left="800"/>
              <w:spacing w:after="0" w:line="129" w:lineRule="exact"/>
              <w:rPr>
                <w:sz w:val="20"/>
                <w:szCs w:val="20"/>
                <w:color w:val="auto"/>
              </w:rPr>
            </w:pPr>
            <w:r>
              <w:rPr>
                <w:rFonts w:ascii="Arial" w:cs="Arial" w:eastAsia="Arial" w:hAnsi="Arial"/>
                <w:sz w:val="13"/>
                <w:szCs w:val="13"/>
                <w:b w:val="1"/>
                <w:bCs w:val="1"/>
                <w:color w:val="auto"/>
              </w:rPr>
              <w:t>Distributable cash flow</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83,660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100,551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7"/>
              </w:rPr>
              <w:t>108,945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00" w:type="dxa"/>
            <w:vAlign w:val="bottom"/>
          </w:tcPr>
          <w:p>
            <w:pPr>
              <w:spacing w:after="0"/>
              <w:rPr>
                <w:sz w:val="3"/>
                <w:szCs w:val="3"/>
                <w:color w:val="auto"/>
              </w:rPr>
            </w:pPr>
          </w:p>
        </w:tc>
        <w:tc>
          <w:tcPr>
            <w:tcW w:w="5140" w:type="dxa"/>
            <w:vAlign w:val="bottom"/>
            <w:gridSpan w:val="2"/>
          </w:tcPr>
          <w:p>
            <w:pPr>
              <w:jc w:val="right"/>
              <w:ind w:right="5120"/>
              <w:spacing w:after="0"/>
              <w:rPr>
                <w:sz w:val="20"/>
                <w:szCs w:val="20"/>
                <w:color w:val="auto"/>
              </w:rPr>
            </w:pPr>
            <w:r>
              <w:rPr>
                <w:rFonts w:ascii="Arial" w:cs="Arial" w:eastAsia="Arial" w:hAnsi="Arial"/>
                <w:sz w:val="1"/>
                <w:szCs w:val="1"/>
                <w:color w:val="auto"/>
                <w:w w:val="4294967293"/>
              </w:rPr>
              <w:t>â€‹</w:t>
            </w:r>
          </w:p>
        </w:tc>
        <w:tc>
          <w:tcPr>
            <w:tcW w:w="740" w:type="dxa"/>
            <w:vAlign w:val="bottom"/>
          </w:tcPr>
          <w:p>
            <w:pPr>
              <w:ind w:left="580"/>
              <w:spacing w:after="0"/>
              <w:rPr>
                <w:sz w:val="20"/>
                <w:szCs w:val="20"/>
                <w:color w:val="auto"/>
              </w:rPr>
            </w:pPr>
            <w:r>
              <w:rPr>
                <w:rFonts w:ascii="Arial" w:cs="Arial" w:eastAsia="Arial" w:hAnsi="Arial"/>
                <w:sz w:val="3"/>
                <w:szCs w:val="3"/>
                <w:color w:val="auto"/>
              </w:rPr>
              <w:t>â€‹</w:t>
            </w: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520" w:type="dxa"/>
            <w:vAlign w:val="bottom"/>
          </w:tcPr>
          <w:p>
            <w:pPr>
              <w:jc w:val="right"/>
              <w:spacing w:after="0"/>
              <w:rPr>
                <w:sz w:val="20"/>
                <w:szCs w:val="20"/>
                <w:color w:val="auto"/>
              </w:rPr>
            </w:pPr>
            <w:r>
              <w:rPr>
                <w:rFonts w:ascii="Arial" w:cs="Arial" w:eastAsia="Arial" w:hAnsi="Arial"/>
                <w:sz w:val="3"/>
                <w:szCs w:val="3"/>
                <w:color w:val="auto"/>
              </w:rPr>
              <w:t>â€‹</w:t>
            </w:r>
          </w:p>
        </w:tc>
        <w:tc>
          <w:tcPr>
            <w:tcW w:w="100" w:type="dxa"/>
            <w:vAlign w:val="bottom"/>
          </w:tcPr>
          <w:p>
            <w:pPr>
              <w:jc w:val="right"/>
              <w:ind w:right="45"/>
              <w:spacing w:after="0"/>
              <w:rPr>
                <w:sz w:val="20"/>
                <w:szCs w:val="20"/>
                <w:color w:val="auto"/>
              </w:rPr>
            </w:pPr>
            <w:r>
              <w:rPr>
                <w:rFonts w:ascii="Arial" w:cs="Arial" w:eastAsia="Arial" w:hAnsi="Arial"/>
                <w:sz w:val="1"/>
                <w:szCs w:val="1"/>
                <w:color w:val="auto"/>
              </w:rPr>
              <w:t>â€‹</w:t>
            </w:r>
          </w:p>
        </w:tc>
        <w:tc>
          <w:tcPr>
            <w:tcW w:w="60" w:type="dxa"/>
            <w:vAlign w:val="bottom"/>
          </w:tcPr>
          <w:p>
            <w:pPr>
              <w:spacing w:after="0"/>
              <w:rPr>
                <w:sz w:val="3"/>
                <w:szCs w:val="3"/>
                <w:color w:val="auto"/>
              </w:rPr>
            </w:pPr>
          </w:p>
        </w:tc>
        <w:tc>
          <w:tcPr>
            <w:tcW w:w="140" w:type="dxa"/>
            <w:vAlign w:val="bottom"/>
          </w:tcPr>
          <w:p>
            <w:pPr>
              <w:spacing w:after="0"/>
              <w:rPr>
                <w:sz w:val="20"/>
                <w:szCs w:val="20"/>
                <w:color w:val="auto"/>
              </w:rPr>
            </w:pPr>
            <w:r>
              <w:rPr>
                <w:rFonts w:ascii="Arial" w:cs="Arial" w:eastAsia="Arial" w:hAnsi="Arial"/>
                <w:sz w:val="3"/>
                <w:szCs w:val="3"/>
                <w:color w:val="auto"/>
              </w:rPr>
              <w:t>â€‹</w:t>
            </w:r>
          </w:p>
        </w:tc>
        <w:tc>
          <w:tcPr>
            <w:tcW w:w="520" w:type="dxa"/>
            <w:vAlign w:val="bottom"/>
          </w:tcPr>
          <w:p>
            <w:pPr>
              <w:jc w:val="right"/>
              <w:spacing w:after="0"/>
              <w:rPr>
                <w:sz w:val="20"/>
                <w:szCs w:val="20"/>
                <w:color w:val="auto"/>
              </w:rPr>
            </w:pPr>
            <w:r>
              <w:rPr>
                <w:rFonts w:ascii="Arial" w:cs="Arial" w:eastAsia="Arial" w:hAnsi="Arial"/>
                <w:sz w:val="3"/>
                <w:szCs w:val="3"/>
                <w:color w:val="auto"/>
              </w:rPr>
              <w:t>â€‹</w:t>
            </w:r>
          </w:p>
        </w:tc>
        <w:tc>
          <w:tcPr>
            <w:tcW w:w="140" w:type="dxa"/>
            <w:vAlign w:val="bottom"/>
          </w:tcPr>
          <w:p>
            <w:pPr>
              <w:jc w:val="right"/>
              <w:ind w:right="83"/>
              <w:spacing w:after="0"/>
              <w:rPr>
                <w:sz w:val="20"/>
                <w:szCs w:val="20"/>
                <w:color w:val="auto"/>
              </w:rPr>
            </w:pPr>
            <w:r>
              <w:rPr>
                <w:rFonts w:ascii="Arial" w:cs="Arial" w:eastAsia="Arial" w:hAnsi="Arial"/>
                <w:sz w:val="1"/>
                <w:szCs w:val="1"/>
                <w:color w:val="auto"/>
              </w:rPr>
              <w:t>â€‹</w:t>
            </w:r>
          </w:p>
        </w:tc>
        <w:tc>
          <w:tcPr>
            <w:tcW w:w="20" w:type="dxa"/>
            <w:vAlign w:val="bottom"/>
          </w:tcPr>
          <w:p>
            <w:pPr>
              <w:spacing w:after="0"/>
              <w:rPr>
                <w:sz w:val="3"/>
                <w:szCs w:val="3"/>
                <w:color w:val="auto"/>
              </w:rPr>
            </w:pPr>
          </w:p>
        </w:tc>
        <w:tc>
          <w:tcPr>
            <w:tcW w:w="160" w:type="dxa"/>
            <w:vAlign w:val="bottom"/>
          </w:tcPr>
          <w:p>
            <w:pPr>
              <w:spacing w:after="0"/>
              <w:rPr>
                <w:sz w:val="20"/>
                <w:szCs w:val="20"/>
                <w:color w:val="auto"/>
              </w:rPr>
            </w:pPr>
            <w:r>
              <w:rPr>
                <w:rFonts w:ascii="Arial" w:cs="Arial" w:eastAsia="Arial" w:hAnsi="Arial"/>
                <w:sz w:val="3"/>
                <w:szCs w:val="3"/>
                <w:color w:val="auto"/>
              </w:rPr>
              <w:t>â€‹</w:t>
            </w:r>
          </w:p>
        </w:tc>
        <w:tc>
          <w:tcPr>
            <w:tcW w:w="480" w:type="dxa"/>
            <w:vAlign w:val="bottom"/>
          </w:tcPr>
          <w:p>
            <w:pPr>
              <w:jc w:val="right"/>
              <w:spacing w:after="0"/>
              <w:rPr>
                <w:sz w:val="20"/>
                <w:szCs w:val="20"/>
                <w:color w:val="auto"/>
              </w:rPr>
            </w:pPr>
            <w:r>
              <w:rPr>
                <w:rFonts w:ascii="Arial" w:cs="Arial" w:eastAsia="Arial" w:hAnsi="Arial"/>
                <w:sz w:val="3"/>
                <w:szCs w:val="3"/>
                <w:color w:val="auto"/>
              </w:rPr>
              <w:t>â€‹</w:t>
            </w:r>
          </w:p>
        </w:tc>
        <w:tc>
          <w:tcPr>
            <w:tcW w:w="160" w:type="dxa"/>
            <w:vAlign w:val="bottom"/>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122"/>
        </w:trPr>
        <w:tc>
          <w:tcPr>
            <w:tcW w:w="800" w:type="dxa"/>
            <w:vAlign w:val="bottom"/>
          </w:tcPr>
          <w:p>
            <w:pPr>
              <w:spacing w:after="0"/>
              <w:rPr>
                <w:sz w:val="10"/>
                <w:szCs w:val="10"/>
                <w:color w:val="auto"/>
              </w:rPr>
            </w:pPr>
          </w:p>
        </w:tc>
        <w:tc>
          <w:tcPr>
            <w:tcW w:w="5140" w:type="dxa"/>
            <w:vAlign w:val="bottom"/>
            <w:gridSpan w:val="2"/>
          </w:tcPr>
          <w:p>
            <w:pPr>
              <w:spacing w:after="0" w:line="123" w:lineRule="exact"/>
              <w:rPr>
                <w:sz w:val="20"/>
                <w:szCs w:val="20"/>
                <w:color w:val="auto"/>
              </w:rPr>
            </w:pPr>
            <w:r>
              <w:rPr>
                <w:rFonts w:ascii="Arial" w:cs="Arial" w:eastAsia="Arial" w:hAnsi="Arial"/>
                <w:sz w:val="13"/>
                <w:szCs w:val="13"/>
                <w:color w:val="auto"/>
              </w:rPr>
              <w:t>Other reserves**</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5"/>
              <w:spacing w:after="0" w:line="123" w:lineRule="exact"/>
              <w:rPr>
                <w:sz w:val="20"/>
                <w:szCs w:val="20"/>
                <w:color w:val="auto"/>
              </w:rPr>
            </w:pPr>
            <w:r>
              <w:rPr>
                <w:rFonts w:ascii="Arial" w:cs="Arial" w:eastAsia="Arial" w:hAnsi="Arial"/>
                <w:sz w:val="13"/>
                <w:szCs w:val="13"/>
                <w:color w:val="auto"/>
              </w:rPr>
              <w:t>(14,244)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83"/>
              <w:spacing w:after="0" w:line="123" w:lineRule="exact"/>
              <w:rPr>
                <w:sz w:val="20"/>
                <w:szCs w:val="20"/>
                <w:color w:val="auto"/>
              </w:rPr>
            </w:pPr>
            <w:r>
              <w:rPr>
                <w:rFonts w:ascii="Arial" w:cs="Arial" w:eastAsia="Arial" w:hAnsi="Arial"/>
                <w:sz w:val="13"/>
                <w:szCs w:val="13"/>
                <w:color w:val="auto"/>
              </w:rPr>
              <w:t>(14,207)</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right"/>
              <w:ind w:right="93"/>
              <w:spacing w:after="0" w:line="123" w:lineRule="exact"/>
              <w:rPr>
                <w:sz w:val="20"/>
                <w:szCs w:val="20"/>
                <w:color w:val="auto"/>
              </w:rPr>
            </w:pPr>
            <w:r>
              <w:rPr>
                <w:rFonts w:ascii="Arial" w:cs="Arial" w:eastAsia="Arial" w:hAnsi="Arial"/>
                <w:sz w:val="13"/>
                <w:szCs w:val="13"/>
                <w:color w:val="auto"/>
              </w:rPr>
              <w:t>(7,756)</w:t>
            </w:r>
          </w:p>
        </w:tc>
        <w:tc>
          <w:tcPr>
            <w:tcW w:w="0" w:type="dxa"/>
            <w:vAlign w:val="bottom"/>
          </w:tcPr>
          <w:p>
            <w:pPr>
              <w:spacing w:after="0"/>
              <w:rPr>
                <w:sz w:val="1"/>
                <w:szCs w:val="1"/>
                <w:color w:val="auto"/>
              </w:rPr>
            </w:pPr>
          </w:p>
        </w:tc>
      </w:tr>
      <w:tr>
        <w:trPr>
          <w:trHeight w:val="33"/>
        </w:trPr>
        <w:tc>
          <w:tcPr>
            <w:tcW w:w="5940" w:type="dxa"/>
            <w:vAlign w:val="bottom"/>
            <w:gridSpan w:val="3"/>
          </w:tcPr>
          <w:p>
            <w:pPr>
              <w:jc w:val="right"/>
              <w:ind w:right="5120"/>
              <w:spacing w:after="0" w:line="33" w:lineRule="exact"/>
              <w:rPr>
                <w:sz w:val="20"/>
                <w:szCs w:val="20"/>
                <w:color w:val="auto"/>
              </w:rPr>
            </w:pPr>
            <w:r>
              <w:rPr>
                <w:rFonts w:ascii="Arial" w:cs="Arial" w:eastAsia="Arial" w:hAnsi="Arial"/>
                <w:sz w:val="3"/>
                <w:szCs w:val="3"/>
                <w:color w:val="auto"/>
              </w:rPr>
              <w:t>â€‹</w:t>
            </w:r>
          </w:p>
        </w:tc>
        <w:tc>
          <w:tcPr>
            <w:tcW w:w="740" w:type="dxa"/>
            <w:vAlign w:val="bottom"/>
          </w:tcPr>
          <w:p>
            <w:pPr>
              <w:ind w:left="580"/>
              <w:spacing w:after="0" w:line="33" w:lineRule="exact"/>
              <w:rPr>
                <w:sz w:val="20"/>
                <w:szCs w:val="20"/>
                <w:color w:val="auto"/>
              </w:rPr>
            </w:pPr>
            <w:r>
              <w:rPr>
                <w:rFonts w:ascii="Arial" w:cs="Arial" w:eastAsia="Arial" w:hAnsi="Arial"/>
                <w:sz w:val="3"/>
                <w:szCs w:val="3"/>
                <w:color w:val="auto"/>
              </w:rPr>
              <w:t>â€‹</w:t>
            </w:r>
          </w:p>
        </w:tc>
        <w:tc>
          <w:tcPr>
            <w:tcW w:w="12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52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00" w:type="dxa"/>
            <w:vAlign w:val="bottom"/>
          </w:tcPr>
          <w:p>
            <w:pPr>
              <w:jc w:val="right"/>
              <w:ind w:right="45"/>
              <w:spacing w:after="0"/>
              <w:rPr>
                <w:sz w:val="20"/>
                <w:szCs w:val="20"/>
                <w:color w:val="auto"/>
              </w:rPr>
            </w:pPr>
            <w:r>
              <w:rPr>
                <w:rFonts w:ascii="Arial" w:cs="Arial" w:eastAsia="Arial" w:hAnsi="Arial"/>
                <w:sz w:val="1"/>
                <w:szCs w:val="1"/>
                <w:color w:val="auto"/>
              </w:rPr>
              <w:t>â€‹</w:t>
            </w:r>
          </w:p>
        </w:tc>
        <w:tc>
          <w:tcPr>
            <w:tcW w:w="60" w:type="dxa"/>
            <w:vAlign w:val="bottom"/>
          </w:tcPr>
          <w:p>
            <w:pPr>
              <w:spacing w:after="0"/>
              <w:rPr>
                <w:sz w:val="2"/>
                <w:szCs w:val="2"/>
                <w:color w:val="auto"/>
              </w:rPr>
            </w:pPr>
          </w:p>
        </w:tc>
        <w:tc>
          <w:tcPr>
            <w:tcW w:w="14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52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40" w:type="dxa"/>
            <w:vAlign w:val="bottom"/>
          </w:tcPr>
          <w:p>
            <w:pPr>
              <w:jc w:val="right"/>
              <w:ind w:right="83"/>
              <w:spacing w:after="0"/>
              <w:rPr>
                <w:sz w:val="20"/>
                <w:szCs w:val="20"/>
                <w:color w:val="auto"/>
              </w:rPr>
            </w:pPr>
            <w:r>
              <w:rPr>
                <w:rFonts w:ascii="Arial" w:cs="Arial" w:eastAsia="Arial" w:hAnsi="Arial"/>
                <w:sz w:val="1"/>
                <w:szCs w:val="1"/>
                <w:color w:val="auto"/>
              </w:rPr>
              <w:t>â€‹</w:t>
            </w:r>
          </w:p>
        </w:tc>
        <w:tc>
          <w:tcPr>
            <w:tcW w:w="20" w:type="dxa"/>
            <w:vAlign w:val="bottom"/>
          </w:tcPr>
          <w:p>
            <w:pPr>
              <w:spacing w:after="0"/>
              <w:rPr>
                <w:sz w:val="2"/>
                <w:szCs w:val="2"/>
                <w:color w:val="auto"/>
              </w:rPr>
            </w:pPr>
          </w:p>
        </w:tc>
        <w:tc>
          <w:tcPr>
            <w:tcW w:w="16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48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129"/>
        </w:trPr>
        <w:tc>
          <w:tcPr>
            <w:tcW w:w="5940" w:type="dxa"/>
            <w:vAlign w:val="bottom"/>
            <w:gridSpan w:val="3"/>
          </w:tcPr>
          <w:p>
            <w:pPr>
              <w:ind w:left="800"/>
              <w:spacing w:after="0" w:line="129" w:lineRule="exact"/>
              <w:rPr>
                <w:sz w:val="20"/>
                <w:szCs w:val="20"/>
                <w:color w:val="auto"/>
              </w:rPr>
            </w:pPr>
            <w:r>
              <w:rPr>
                <w:rFonts w:ascii="Arial" w:cs="Arial" w:eastAsia="Arial" w:hAnsi="Arial"/>
                <w:sz w:val="13"/>
                <w:szCs w:val="13"/>
                <w:b w:val="1"/>
                <w:bCs w:val="1"/>
                <w:color w:val="auto"/>
              </w:rPr>
              <w:t>Cash distributions***</w:t>
            </w:r>
          </w:p>
        </w:tc>
        <w:tc>
          <w:tcPr>
            <w:tcW w:w="74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3"/>
                <w:szCs w:val="13"/>
                <w:b w:val="1"/>
                <w:bCs w:val="1"/>
                <w:u w:val="single" w:color="auto"/>
                <w:color w:val="auto"/>
              </w:rPr>
              <w:t>$</w:t>
            </w:r>
          </w:p>
        </w:tc>
        <w:tc>
          <w:tcPr>
            <w:tcW w:w="520" w:type="dxa"/>
            <w:vAlign w:val="bottom"/>
          </w:tcPr>
          <w:p>
            <w:pPr>
              <w:jc w:val="right"/>
              <w:spacing w:after="0" w:line="129" w:lineRule="exact"/>
              <w:rPr>
                <w:sz w:val="20"/>
                <w:szCs w:val="20"/>
                <w:color w:val="auto"/>
              </w:rPr>
            </w:pPr>
            <w:r>
              <w:rPr>
                <w:rFonts w:ascii="Arial" w:cs="Arial" w:eastAsia="Arial" w:hAnsi="Arial"/>
                <w:sz w:val="13"/>
                <w:szCs w:val="13"/>
                <w:b w:val="1"/>
                <w:bCs w:val="1"/>
                <w:u w:val="single" w:color="auto"/>
                <w:color w:val="auto"/>
              </w:rPr>
              <w:t>69,416</w:t>
            </w:r>
          </w:p>
        </w:tc>
        <w:tc>
          <w:tcPr>
            <w:tcW w:w="100" w:type="dxa"/>
            <w:vAlign w:val="bottom"/>
          </w:tcPr>
          <w:p>
            <w:pPr>
              <w:spacing w:after="0"/>
              <w:rPr>
                <w:sz w:val="11"/>
                <w:szCs w:val="11"/>
                <w:color w:val="auto"/>
              </w:rPr>
            </w:pPr>
          </w:p>
        </w:tc>
        <w:tc>
          <w:tcPr>
            <w:tcW w:w="200" w:type="dxa"/>
            <w:vAlign w:val="bottom"/>
            <w:gridSpan w:val="2"/>
          </w:tcPr>
          <w:p>
            <w:pPr>
              <w:ind w:left="60"/>
              <w:spacing w:after="0" w:line="129" w:lineRule="exact"/>
              <w:rPr>
                <w:sz w:val="20"/>
                <w:szCs w:val="20"/>
                <w:color w:val="auto"/>
              </w:rPr>
            </w:pPr>
            <w:r>
              <w:rPr>
                <w:rFonts w:ascii="Arial" w:cs="Arial" w:eastAsia="Arial" w:hAnsi="Arial"/>
                <w:sz w:val="13"/>
                <w:szCs w:val="13"/>
                <w:b w:val="1"/>
                <w:bCs w:val="1"/>
                <w:u w:val="single" w:color="auto"/>
                <w:color w:val="auto"/>
              </w:rPr>
              <w:t>$</w:t>
            </w:r>
          </w:p>
        </w:tc>
        <w:tc>
          <w:tcPr>
            <w:tcW w:w="520" w:type="dxa"/>
            <w:vAlign w:val="bottom"/>
          </w:tcPr>
          <w:p>
            <w:pPr>
              <w:jc w:val="right"/>
              <w:spacing w:after="0" w:line="129" w:lineRule="exact"/>
              <w:rPr>
                <w:sz w:val="20"/>
                <w:szCs w:val="20"/>
                <w:color w:val="auto"/>
              </w:rPr>
            </w:pPr>
            <w:r>
              <w:rPr>
                <w:rFonts w:ascii="Arial" w:cs="Arial" w:eastAsia="Arial" w:hAnsi="Arial"/>
                <w:sz w:val="13"/>
                <w:szCs w:val="13"/>
                <w:b w:val="1"/>
                <w:bCs w:val="1"/>
                <w:u w:val="single" w:color="auto"/>
                <w:color w:val="auto"/>
              </w:rPr>
              <w:t>86,344</w:t>
            </w:r>
          </w:p>
        </w:tc>
        <w:tc>
          <w:tcPr>
            <w:tcW w:w="140" w:type="dxa"/>
            <w:vAlign w:val="bottom"/>
          </w:tcPr>
          <w:p>
            <w:pPr>
              <w:spacing w:after="0"/>
              <w:rPr>
                <w:sz w:val="11"/>
                <w:szCs w:val="11"/>
                <w:color w:val="auto"/>
              </w:rPr>
            </w:pPr>
          </w:p>
        </w:tc>
        <w:tc>
          <w:tcPr>
            <w:tcW w:w="180" w:type="dxa"/>
            <w:vAlign w:val="bottom"/>
            <w:gridSpan w:val="2"/>
          </w:tcPr>
          <w:p>
            <w:pPr>
              <w:ind w:left="20"/>
              <w:spacing w:after="0" w:line="129" w:lineRule="exact"/>
              <w:rPr>
                <w:sz w:val="20"/>
                <w:szCs w:val="20"/>
                <w:color w:val="auto"/>
              </w:rPr>
            </w:pPr>
            <w:r>
              <w:rPr>
                <w:rFonts w:ascii="Arial" w:cs="Arial" w:eastAsia="Arial" w:hAnsi="Arial"/>
                <w:sz w:val="13"/>
                <w:szCs w:val="13"/>
                <w:b w:val="1"/>
                <w:bCs w:val="1"/>
                <w:u w:val="single" w:color="auto"/>
                <w:color w:val="auto"/>
              </w:rPr>
              <w:t>$</w:t>
            </w:r>
          </w:p>
        </w:tc>
        <w:tc>
          <w:tcPr>
            <w:tcW w:w="480" w:type="dxa"/>
            <w:vAlign w:val="bottom"/>
          </w:tcPr>
          <w:p>
            <w:pPr>
              <w:jc w:val="right"/>
              <w:spacing w:after="0" w:line="129" w:lineRule="exact"/>
              <w:rPr>
                <w:sz w:val="20"/>
                <w:szCs w:val="20"/>
                <w:color w:val="auto"/>
              </w:rPr>
            </w:pPr>
            <w:r>
              <w:rPr>
                <w:rFonts w:ascii="Arial" w:cs="Arial" w:eastAsia="Arial" w:hAnsi="Arial"/>
                <w:sz w:val="13"/>
                <w:szCs w:val="13"/>
                <w:b w:val="1"/>
                <w:bCs w:val="1"/>
                <w:u w:val="single" w:color="auto"/>
                <w:color w:val="auto"/>
                <w:w w:val="97"/>
              </w:rPr>
              <w:t>101,189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5940" w:type="dxa"/>
            <w:vAlign w:val="bottom"/>
            <w:gridSpan w:val="3"/>
          </w:tcPr>
          <w:p>
            <w:pPr>
              <w:jc w:val="right"/>
              <w:ind w:right="5120"/>
              <w:spacing w:after="0"/>
              <w:rPr>
                <w:sz w:val="20"/>
                <w:szCs w:val="20"/>
                <w:color w:val="auto"/>
              </w:rPr>
            </w:pPr>
            <w:r>
              <w:rPr>
                <w:rFonts w:ascii="Arial" w:cs="Arial" w:eastAsia="Arial" w:hAnsi="Arial"/>
                <w:sz w:val="1"/>
                <w:szCs w:val="1"/>
                <w:color w:val="auto"/>
              </w:rPr>
              <w:t>â€‹</w:t>
            </w:r>
          </w:p>
        </w:tc>
        <w:tc>
          <w:tcPr>
            <w:tcW w:w="740" w:type="dxa"/>
            <w:vAlign w:val="bottom"/>
          </w:tcPr>
          <w:p>
            <w:pPr>
              <w:ind w:left="580"/>
              <w:spacing w:after="0"/>
              <w:rPr>
                <w:sz w:val="20"/>
                <w:szCs w:val="20"/>
                <w:color w:val="auto"/>
              </w:rPr>
            </w:pPr>
            <w:r>
              <w:rPr>
                <w:rFonts w:ascii="Arial" w:cs="Arial" w:eastAsia="Arial" w:hAnsi="Arial"/>
                <w:sz w:val="1"/>
                <w:szCs w:val="1"/>
                <w:color w:val="auto"/>
              </w:rPr>
              <w:t>â€‹</w:t>
            </w:r>
          </w:p>
        </w:tc>
        <w:tc>
          <w:tcPr>
            <w:tcW w:w="120" w:type="dxa"/>
            <w:vAlign w:val="bottom"/>
          </w:tcPr>
          <w:p>
            <w:pPr>
              <w:spacing w:after="0"/>
              <w:rPr>
                <w:sz w:val="20"/>
                <w:szCs w:val="20"/>
                <w:color w:val="auto"/>
              </w:rPr>
            </w:pPr>
            <w:r>
              <w:rPr>
                <w:rFonts w:ascii="Arial" w:cs="Arial" w:eastAsia="Arial" w:hAnsi="Arial"/>
                <w:sz w:val="3"/>
                <w:szCs w:val="3"/>
                <w:color w:val="auto"/>
              </w:rPr>
              <w:t>â€‹</w:t>
            </w:r>
          </w:p>
        </w:tc>
        <w:tc>
          <w:tcPr>
            <w:tcW w:w="520" w:type="dxa"/>
            <w:vAlign w:val="bottom"/>
          </w:tcPr>
          <w:p>
            <w:pPr>
              <w:jc w:val="right"/>
              <w:spacing w:after="0"/>
              <w:rPr>
                <w:sz w:val="20"/>
                <w:szCs w:val="20"/>
                <w:color w:val="auto"/>
              </w:rPr>
            </w:pPr>
            <w:r>
              <w:rPr>
                <w:rFonts w:ascii="Arial" w:cs="Arial" w:eastAsia="Arial" w:hAnsi="Arial"/>
                <w:sz w:val="3"/>
                <w:szCs w:val="3"/>
                <w:color w:val="auto"/>
              </w:rPr>
              <w:t>â€‹</w:t>
            </w:r>
          </w:p>
        </w:tc>
        <w:tc>
          <w:tcPr>
            <w:tcW w:w="100" w:type="dxa"/>
            <w:vAlign w:val="bottom"/>
          </w:tcPr>
          <w:p>
            <w:pPr>
              <w:jc w:val="right"/>
              <w:ind w:right="45"/>
              <w:spacing w:after="0"/>
              <w:rPr>
                <w:sz w:val="20"/>
                <w:szCs w:val="20"/>
                <w:color w:val="auto"/>
              </w:rPr>
            </w:pPr>
            <w:r>
              <w:rPr>
                <w:rFonts w:ascii="Arial" w:cs="Arial" w:eastAsia="Arial" w:hAnsi="Arial"/>
                <w:sz w:val="1"/>
                <w:szCs w:val="1"/>
                <w:color w:val="auto"/>
              </w:rPr>
              <w:t>â€‹</w:t>
            </w:r>
          </w:p>
        </w:tc>
        <w:tc>
          <w:tcPr>
            <w:tcW w:w="60" w:type="dxa"/>
            <w:vAlign w:val="bottom"/>
          </w:tcPr>
          <w:p>
            <w:pPr>
              <w:spacing w:after="0"/>
              <w:rPr>
                <w:sz w:val="3"/>
                <w:szCs w:val="3"/>
                <w:color w:val="auto"/>
              </w:rPr>
            </w:pPr>
          </w:p>
        </w:tc>
        <w:tc>
          <w:tcPr>
            <w:tcW w:w="140" w:type="dxa"/>
            <w:vAlign w:val="bottom"/>
          </w:tcPr>
          <w:p>
            <w:pPr>
              <w:spacing w:after="0"/>
              <w:rPr>
                <w:sz w:val="20"/>
                <w:szCs w:val="20"/>
                <w:color w:val="auto"/>
              </w:rPr>
            </w:pPr>
            <w:r>
              <w:rPr>
                <w:rFonts w:ascii="Arial" w:cs="Arial" w:eastAsia="Arial" w:hAnsi="Arial"/>
                <w:sz w:val="3"/>
                <w:szCs w:val="3"/>
                <w:color w:val="auto"/>
              </w:rPr>
              <w:t>â€‹</w:t>
            </w:r>
          </w:p>
        </w:tc>
        <w:tc>
          <w:tcPr>
            <w:tcW w:w="520" w:type="dxa"/>
            <w:vAlign w:val="bottom"/>
          </w:tcPr>
          <w:p>
            <w:pPr>
              <w:jc w:val="right"/>
              <w:spacing w:after="0"/>
              <w:rPr>
                <w:sz w:val="20"/>
                <w:szCs w:val="20"/>
                <w:color w:val="auto"/>
              </w:rPr>
            </w:pPr>
            <w:r>
              <w:rPr>
                <w:rFonts w:ascii="Arial" w:cs="Arial" w:eastAsia="Arial" w:hAnsi="Arial"/>
                <w:sz w:val="3"/>
                <w:szCs w:val="3"/>
                <w:color w:val="auto"/>
              </w:rPr>
              <w:t>â€‹</w:t>
            </w:r>
          </w:p>
        </w:tc>
        <w:tc>
          <w:tcPr>
            <w:tcW w:w="140" w:type="dxa"/>
            <w:vAlign w:val="bottom"/>
          </w:tcPr>
          <w:p>
            <w:pPr>
              <w:jc w:val="right"/>
              <w:ind w:right="83"/>
              <w:spacing w:after="0"/>
              <w:rPr>
                <w:sz w:val="20"/>
                <w:szCs w:val="20"/>
                <w:color w:val="auto"/>
              </w:rPr>
            </w:pPr>
            <w:r>
              <w:rPr>
                <w:rFonts w:ascii="Arial" w:cs="Arial" w:eastAsia="Arial" w:hAnsi="Arial"/>
                <w:sz w:val="1"/>
                <w:szCs w:val="1"/>
                <w:color w:val="auto"/>
              </w:rPr>
              <w:t>â€‹</w:t>
            </w:r>
          </w:p>
        </w:tc>
        <w:tc>
          <w:tcPr>
            <w:tcW w:w="20" w:type="dxa"/>
            <w:vAlign w:val="bottom"/>
          </w:tcPr>
          <w:p>
            <w:pPr>
              <w:spacing w:after="0"/>
              <w:rPr>
                <w:sz w:val="3"/>
                <w:szCs w:val="3"/>
                <w:color w:val="auto"/>
              </w:rPr>
            </w:pPr>
          </w:p>
        </w:tc>
        <w:tc>
          <w:tcPr>
            <w:tcW w:w="160" w:type="dxa"/>
            <w:vAlign w:val="bottom"/>
          </w:tcPr>
          <w:p>
            <w:pPr>
              <w:spacing w:after="0"/>
              <w:rPr>
                <w:sz w:val="20"/>
                <w:szCs w:val="20"/>
                <w:color w:val="auto"/>
              </w:rPr>
            </w:pPr>
            <w:r>
              <w:rPr>
                <w:rFonts w:ascii="Arial" w:cs="Arial" w:eastAsia="Arial" w:hAnsi="Arial"/>
                <w:sz w:val="3"/>
                <w:szCs w:val="3"/>
                <w:color w:val="auto"/>
              </w:rPr>
              <w:t>â€‹</w:t>
            </w:r>
          </w:p>
        </w:tc>
        <w:tc>
          <w:tcPr>
            <w:tcW w:w="480" w:type="dxa"/>
            <w:vAlign w:val="bottom"/>
          </w:tcPr>
          <w:p>
            <w:pPr>
              <w:jc w:val="right"/>
              <w:spacing w:after="0"/>
              <w:rPr>
                <w:sz w:val="20"/>
                <w:szCs w:val="20"/>
                <w:color w:val="auto"/>
              </w:rPr>
            </w:pPr>
            <w:r>
              <w:rPr>
                <w:rFonts w:ascii="Arial" w:cs="Arial" w:eastAsia="Arial" w:hAnsi="Arial"/>
                <w:sz w:val="3"/>
                <w:szCs w:val="3"/>
                <w:color w:val="auto"/>
              </w:rPr>
              <w:t>â€‹</w:t>
            </w:r>
          </w:p>
        </w:tc>
        <w:tc>
          <w:tcPr>
            <w:tcW w:w="160" w:type="dxa"/>
            <w:vAlign w:val="bottom"/>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13"/>
        </w:trPr>
        <w:tc>
          <w:tcPr>
            <w:tcW w:w="5940" w:type="dxa"/>
            <w:vAlign w:val="bottom"/>
            <w:gridSpan w:val="3"/>
            <w:vMerge w:val="restart"/>
          </w:tcPr>
          <w:p>
            <w:pPr>
              <w:jc w:val="right"/>
              <w:ind w:right="5120"/>
              <w:spacing w:after="0"/>
              <w:rPr>
                <w:sz w:val="20"/>
                <w:szCs w:val="20"/>
                <w:color w:val="auto"/>
              </w:rPr>
            </w:pPr>
            <w:r>
              <w:rPr>
                <w:rFonts w:ascii="Arial" w:cs="Arial" w:eastAsia="Arial" w:hAnsi="Arial"/>
                <w:sz w:val="3"/>
                <w:szCs w:val="3"/>
                <w:color w:val="auto"/>
              </w:rPr>
              <w:t>â€‹</w:t>
            </w:r>
          </w:p>
        </w:tc>
        <w:tc>
          <w:tcPr>
            <w:tcW w:w="740" w:type="dxa"/>
            <w:vAlign w:val="bottom"/>
            <w:vMerge w:val="restart"/>
          </w:tcPr>
          <w:p>
            <w:pPr>
              <w:ind w:left="580"/>
              <w:spacing w:after="0"/>
              <w:rPr>
                <w:sz w:val="20"/>
                <w:szCs w:val="20"/>
                <w:color w:val="auto"/>
              </w:rPr>
            </w:pPr>
            <w:r>
              <w:rPr>
                <w:rFonts w:ascii="Arial" w:cs="Arial" w:eastAsia="Arial" w:hAnsi="Arial"/>
                <w:sz w:val="3"/>
                <w:szCs w:val="3"/>
                <w:color w:val="auto"/>
              </w:rPr>
              <w:t>â€‹</w:t>
            </w:r>
          </w:p>
        </w:tc>
        <w:tc>
          <w:tcPr>
            <w:tcW w:w="12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52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00" w:type="dxa"/>
            <w:vAlign w:val="bottom"/>
            <w:vMerge w:val="restart"/>
          </w:tcPr>
          <w:p>
            <w:pPr>
              <w:jc w:val="right"/>
              <w:ind w:right="45"/>
              <w:spacing w:after="0"/>
              <w:rPr>
                <w:sz w:val="20"/>
                <w:szCs w:val="20"/>
                <w:color w:val="auto"/>
              </w:rPr>
            </w:pPr>
            <w:r>
              <w:rPr>
                <w:rFonts w:ascii="Arial" w:cs="Arial" w:eastAsia="Arial" w:hAnsi="Arial"/>
                <w:sz w:val="1"/>
                <w:szCs w:val="1"/>
                <w:color w:val="auto"/>
              </w:rPr>
              <w:t>â€‹</w:t>
            </w: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52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40" w:type="dxa"/>
            <w:vAlign w:val="bottom"/>
            <w:vMerge w:val="restart"/>
          </w:tcPr>
          <w:p>
            <w:pPr>
              <w:jc w:val="right"/>
              <w:ind w:right="83"/>
              <w:spacing w:after="0"/>
              <w:rPr>
                <w:sz w:val="20"/>
                <w:szCs w:val="20"/>
                <w:color w:val="auto"/>
              </w:rPr>
            </w:pPr>
            <w:r>
              <w:rPr>
                <w:rFonts w:ascii="Arial" w:cs="Arial" w:eastAsia="Arial" w:hAnsi="Arial"/>
                <w:sz w:val="1"/>
                <w:szCs w:val="1"/>
                <w:color w:val="auto"/>
              </w:rPr>
              <w:t>â€‹</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48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60" w:type="dxa"/>
            <w:vAlign w:val="bottom"/>
            <w:vMerge w:val="restart"/>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22"/>
        </w:trPr>
        <w:tc>
          <w:tcPr>
            <w:tcW w:w="594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80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120" w:hanging="548"/>
        <w:spacing w:after="0"/>
        <w:tabs>
          <w:tab w:leader="none" w:pos="212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reconciliation of Profit to EBITDA on the basis of Partnership Performance Results is presented above.</w:t>
      </w:r>
    </w:p>
    <w:p>
      <w:pPr>
        <w:spacing w:after="0" w:line="134" w:lineRule="exact"/>
        <w:rPr>
          <w:sz w:val="20"/>
          <w:szCs w:val="20"/>
          <w:color w:val="auto"/>
        </w:rPr>
      </w:pPr>
    </w:p>
    <w:p>
      <w:pPr>
        <w:ind w:left="2120" w:hanging="548"/>
        <w:spacing w:after="0" w:line="317" w:lineRule="auto"/>
        <w:tabs>
          <w:tab w:leader="none" w:pos="2120" w:val="left"/>
        </w:tabs>
        <w:numPr>
          <w:ilvl w:val="1"/>
          <w:numId w:val="10"/>
        </w:numPr>
        <w:rPr>
          <w:rFonts w:ascii="Arial" w:cs="Arial" w:eastAsia="Arial" w:hAnsi="Arial"/>
          <w:sz w:val="12"/>
          <w:szCs w:val="12"/>
          <w:color w:val="auto"/>
        </w:rPr>
      </w:pPr>
      <w:r>
        <w:rPr>
          <w:rFonts w:ascii="Arial" w:cs="Arial" w:eastAsia="Arial" w:hAnsi="Arial"/>
          <w:sz w:val="12"/>
          <w:szCs w:val="12"/>
          <w:color w:val="auto"/>
        </w:rPr>
        <w:t>Refers to movements in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67" w:lineRule="exact"/>
        <w:rPr>
          <w:rFonts w:ascii="Arial" w:cs="Arial" w:eastAsia="Arial" w:hAnsi="Arial"/>
          <w:sz w:val="12"/>
          <w:szCs w:val="12"/>
          <w:color w:val="auto"/>
        </w:rPr>
      </w:pPr>
    </w:p>
    <w:p>
      <w:pPr>
        <w:ind w:left="2120" w:hanging="548"/>
        <w:spacing w:after="0"/>
        <w:tabs>
          <w:tab w:leader="none" w:pos="2120" w:val="left"/>
        </w:tabs>
        <w:numPr>
          <w:ilvl w:val="1"/>
          <w:numId w:val="11"/>
        </w:numPr>
        <w:rPr>
          <w:rFonts w:ascii="Arial" w:cs="Arial" w:eastAsia="Arial" w:hAnsi="Arial"/>
          <w:sz w:val="12"/>
          <w:szCs w:val="12"/>
          <w:color w:val="auto"/>
        </w:rPr>
      </w:pPr>
      <w:r>
        <w:rPr>
          <w:rFonts w:ascii="Arial" w:cs="Arial" w:eastAsia="Arial" w:hAnsi="Arial"/>
          <w:sz w:val="12"/>
          <w:szCs w:val="12"/>
          <w:color w:val="auto"/>
        </w:rPr>
        <w:t>Refers to cash distributions made since the Partnership's IPO. It excludes payments of dividends due to GasLog before vessels were acquired by the Partnership.</w:t>
      </w:r>
    </w:p>
    <w:p>
      <w:pPr>
        <w:spacing w:after="0" w:line="213" w:lineRule="exact"/>
        <w:rPr>
          <w:rFonts w:ascii="Arial" w:cs="Arial" w:eastAsia="Arial" w:hAnsi="Arial"/>
          <w:sz w:val="12"/>
          <w:szCs w:val="12"/>
          <w:color w:val="auto"/>
        </w:rPr>
      </w:pPr>
    </w:p>
    <w:p>
      <w:pPr>
        <w:ind w:left="780" w:hanging="538"/>
        <w:spacing w:after="0"/>
        <w:tabs>
          <w:tab w:leader="none" w:pos="780" w:val="left"/>
        </w:tabs>
        <w:numPr>
          <w:ilvl w:val="0"/>
          <w:numId w:val="11"/>
        </w:numPr>
        <w:rPr>
          <w:rFonts w:ascii="Arial" w:cs="Arial" w:eastAsia="Arial" w:hAnsi="Arial"/>
          <w:sz w:val="11"/>
          <w:szCs w:val="11"/>
          <w:color w:val="auto"/>
        </w:rPr>
      </w:pPr>
      <w:r>
        <w:rPr>
          <w:rFonts w:ascii="Arial" w:cs="Arial" w:eastAsia="Arial" w:hAnsi="Arial"/>
          <w:sz w:val="13"/>
          <w:szCs w:val="13"/>
          <w:color w:val="auto"/>
        </w:rPr>
        <w:t>Does not reflect a distribution of $19.6 million declared in January 2017 and paid in February 2017, in respect of the fourth quarter of 2016.</w:t>
      </w:r>
    </w:p>
    <w:p>
      <w:pPr>
        <w:spacing w:after="0" w:line="134" w:lineRule="exact"/>
        <w:rPr>
          <w:rFonts w:ascii="Arial" w:cs="Arial" w:eastAsia="Arial" w:hAnsi="Arial"/>
          <w:sz w:val="11"/>
          <w:szCs w:val="11"/>
          <w:color w:val="auto"/>
        </w:rPr>
      </w:pPr>
    </w:p>
    <w:p>
      <w:pPr>
        <w:ind w:left="780" w:right="100" w:hanging="538"/>
        <w:spacing w:after="0" w:line="274" w:lineRule="auto"/>
        <w:tabs>
          <w:tab w:leader="none" w:pos="780" w:val="left"/>
        </w:tabs>
        <w:numPr>
          <w:ilvl w:val="0"/>
          <w:numId w:val="11"/>
        </w:numPr>
        <w:rPr>
          <w:rFonts w:ascii="Arial" w:cs="Arial" w:eastAsia="Arial" w:hAnsi="Arial"/>
          <w:sz w:val="11"/>
          <w:szCs w:val="11"/>
          <w:color w:val="auto"/>
        </w:rPr>
      </w:pPr>
      <w:r>
        <w:rPr>
          <w:rFonts w:ascii="Arial" w:cs="Arial" w:eastAsia="Arial" w:hAnsi="Arial"/>
          <w:sz w:val="13"/>
          <w:szCs w:val="13"/>
          <w:color w:val="auto"/>
        </w:rPr>
        <w:t xml:space="preserve">Cash distribution paid includes $7.8 million, $3.0 million and $1.0 million of dividends due to GasLog which were declared in 2015 prior to the contribution of the </w:t>
      </w:r>
      <w:r>
        <w:rPr>
          <w:rFonts w:ascii="Arial" w:cs="Arial" w:eastAsia="Arial" w:hAnsi="Arial"/>
          <w:sz w:val="13"/>
          <w:szCs w:val="13"/>
          <w:i w:val="1"/>
          <w:iCs w:val="1"/>
          <w:color w:val="auto"/>
        </w:rPr>
        <w:t>GasLog Seattle</w:t>
      </w:r>
      <w:r>
        <w:rPr>
          <w:rFonts w:ascii="Arial" w:cs="Arial" w:eastAsia="Arial" w:hAnsi="Arial"/>
          <w:sz w:val="13"/>
          <w:szCs w:val="13"/>
          <w:color w:val="auto"/>
        </w:rPr>
        <w:t xml:space="preserve">, the </w:t>
      </w:r>
      <w:r>
        <w:rPr>
          <w:rFonts w:ascii="Arial" w:cs="Arial" w:eastAsia="Arial" w:hAnsi="Arial"/>
          <w:sz w:val="13"/>
          <w:szCs w:val="13"/>
          <w:i w:val="1"/>
          <w:iCs w:val="1"/>
          <w:color w:val="auto"/>
        </w:rPr>
        <w:t>Solaris</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Becki Anne</w:t>
      </w:r>
      <w:r>
        <w:rPr>
          <w:rFonts w:ascii="Arial" w:cs="Arial" w:eastAsia="Arial" w:hAnsi="Arial"/>
          <w:sz w:val="13"/>
          <w:szCs w:val="13"/>
          <w:color w:val="auto"/>
        </w:rPr>
        <w:t>, respectively, to the Partnership.</w:t>
      </w:r>
    </w:p>
    <w:p>
      <w:pPr>
        <w:spacing w:after="0" w:line="90" w:lineRule="exact"/>
        <w:rPr>
          <w:rFonts w:ascii="Arial" w:cs="Arial" w:eastAsia="Arial" w:hAnsi="Arial"/>
          <w:sz w:val="11"/>
          <w:szCs w:val="11"/>
          <w:color w:val="auto"/>
        </w:rPr>
      </w:pPr>
    </w:p>
    <w:p>
      <w:pPr>
        <w:ind w:left="780" w:hanging="538"/>
        <w:spacing w:after="0"/>
        <w:tabs>
          <w:tab w:leader="none" w:pos="780" w:val="left"/>
        </w:tabs>
        <w:numPr>
          <w:ilvl w:val="0"/>
          <w:numId w:val="11"/>
        </w:numPr>
        <w:rPr>
          <w:rFonts w:ascii="Arial" w:cs="Arial" w:eastAsia="Arial" w:hAnsi="Arial"/>
          <w:sz w:val="11"/>
          <w:szCs w:val="11"/>
          <w:color w:val="auto"/>
        </w:rPr>
      </w:pPr>
      <w:r>
        <w:rPr>
          <w:rFonts w:ascii="Arial" w:cs="Arial" w:eastAsia="Arial" w:hAnsi="Arial"/>
          <w:sz w:val="13"/>
          <w:szCs w:val="13"/>
          <w:color w:val="auto"/>
        </w:rPr>
        <w:t>Does not reflect a distribution of $22.8 million declared in January 2018 and paid in February 2018, in respect of the fourth quarter of 2017.</w:t>
      </w:r>
    </w:p>
    <w:p>
      <w:pPr>
        <w:spacing w:after="0" w:line="134" w:lineRule="exact"/>
        <w:rPr>
          <w:rFonts w:ascii="Arial" w:cs="Arial" w:eastAsia="Arial" w:hAnsi="Arial"/>
          <w:sz w:val="11"/>
          <w:szCs w:val="11"/>
          <w:color w:val="auto"/>
        </w:rPr>
      </w:pPr>
    </w:p>
    <w:p>
      <w:pPr>
        <w:ind w:left="780" w:hanging="538"/>
        <w:spacing w:after="0"/>
        <w:tabs>
          <w:tab w:leader="none" w:pos="780" w:val="left"/>
        </w:tabs>
        <w:numPr>
          <w:ilvl w:val="0"/>
          <w:numId w:val="11"/>
        </w:numPr>
        <w:rPr>
          <w:rFonts w:ascii="Arial" w:cs="Arial" w:eastAsia="Arial" w:hAnsi="Arial"/>
          <w:sz w:val="11"/>
          <w:szCs w:val="11"/>
          <w:color w:val="auto"/>
        </w:rPr>
      </w:pPr>
      <w:r>
        <w:rPr>
          <w:rFonts w:ascii="Arial" w:cs="Arial" w:eastAsia="Arial" w:hAnsi="Arial"/>
          <w:sz w:val="13"/>
          <w:szCs w:val="13"/>
          <w:color w:val="auto"/>
        </w:rPr>
        <w:t>Does not reflect a distribution of $26.9 million declared in January 2019 and paid in February 2019, in respect of the fourth quarter 2018.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220"/>
          </w:cols>
          <w:pgMar w:left="160" w:top="51" w:right="5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Any investment in our common units involves a high degree of risk. Before investing in our common units, you should carefully consider the important factors set forth under the heading "Risk Factors" starting on page 8 of our Annual Report on Form 20-F, which was filed with the SEC on February 26, 2019, and incorporated herein by reference. For further details, see the sections entitled "Where You Can Find Additional Information" and "Incorporation of Certain Information by Reference".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any of these risks were to materialize, our business, results of operations, cash flows and financial condition could be materially adversely affected. In that case, our ability to make distributions to our unitholders may be reduced, the trading price of our common units could decline and you could lose all or part of your investment. The risks referred to above are not the only ones that may exist. Additional risks not currently known by us or that we deem immaterial may also impair our business operations.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supplement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supplement,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ectPr>
          <w:pgSz w:w="11900" w:h="16838" w:orient="portrait"/>
          <w:cols w:equalWidth="0" w:num="1">
            <w:col w:w="11500"/>
          </w:cols>
          <w:pgMar w:left="160" w:top="51" w:right="23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fluctuations in charter hire rates and vessel values;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secure new multi-year charters at economically attractive rates;</w:t>
      </w:r>
    </w:p>
    <w:p>
      <w:pPr>
        <w:spacing w:after="0" w:line="23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94" w:lineRule="exact"/>
        <w:rPr>
          <w:sz w:val="20"/>
          <w:szCs w:val="20"/>
          <w:color w:val="auto"/>
        </w:rPr>
      </w:pPr>
    </w:p>
    <w:p>
      <w:pPr>
        <w:sectPr>
          <w:pgSz w:w="11900" w:h="16838" w:orient="portrait"/>
          <w:cols w:equalWidth="0" w:num="2">
            <w:col w:w="800" w:space="280"/>
            <w:col w:w="10420"/>
          </w:cols>
          <w:pgMar w:left="160" w:top="51" w:right="239" w:bottom="1440" w:gutter="0" w:footer="0" w:header="0"/>
          <w:type w:val="continuous"/>
        </w:sect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changes in our operating expenses, including crew wages, maintenance, dry docking and insurance costs and bunker prices;</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number of off hire days and dry-docking requirements including our ability to complete scheduled dry dockings on time and within budget;</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planned capital expenditures and availability of capital resources to fund capital expenditures;</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fluctuations in prices for crude oil, petroleum products and natural gas;</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fluctuations in exchange rates, especially the U.S. dollar and Euro;</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our ability to expand our portfolio by acquiring vessels through our drop-down pipeline with GasLog or by acquiring other assets from third parties;</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our ability to leverage GasLog's relationships and reputation in the shipping industry;</w:t>
      </w:r>
    </w:p>
    <w:p>
      <w:pPr>
        <w:spacing w:after="0" w:line="252" w:lineRule="exact"/>
        <w:rPr>
          <w:sz w:val="20"/>
          <w:szCs w:val="20"/>
          <w:color w:val="auto"/>
        </w:rPr>
      </w:pPr>
    </w:p>
    <w:p>
      <w:pPr>
        <w:jc w:val="center"/>
        <w:ind w:right="-59"/>
        <w:spacing w:after="0"/>
        <w:tabs>
          <w:tab w:leader="none" w:pos="2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ability of GasLog to maintain long term relationships with major energy companies and major LNG producers, marketers and consumers;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type w:val="continuous"/>
        </w:sectPr>
      </w:pPr>
    </w:p>
    <w:bookmarkStart w:id="23" w:name="page24"/>
    <w:bookmarkEnd w:id="2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500"/>
          </w:cols>
          <w:pgMar w:left="160" w:top="51" w:right="23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ownership of our charterers;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customers' performance of their obligations under our time charters and other contracts;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future operating performance, financial condition, liquidity and cash available for distributions;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23, 2017 and our ability to meet our restrictive covenants and other obligations under our credit facilities;</w:t>
      </w:r>
    </w:p>
    <w:p>
      <w:pPr>
        <w:spacing w:after="0" w:line="194" w:lineRule="exact"/>
        <w:rPr>
          <w:sz w:val="20"/>
          <w:szCs w:val="20"/>
          <w:color w:val="auto"/>
        </w:rPr>
      </w:pPr>
    </w:p>
    <w:p>
      <w:pPr>
        <w:sectPr>
          <w:pgSz w:w="11900" w:h="16838" w:orient="portrait"/>
          <w:cols w:equalWidth="0" w:num="2">
            <w:col w:w="800" w:space="280"/>
            <w:col w:w="10420"/>
          </w:cols>
          <w:pgMar w:left="160" w:top="51" w:right="23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risks inherent in ship operation, including the discharge of pollutants;</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w:t>
      </w:r>
    </w:p>
    <w:p>
      <w:pPr>
        <w:spacing w:after="0" w:line="19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94" w:lineRule="exact"/>
        <w:rPr>
          <w:sz w:val="20"/>
          <w:szCs w:val="20"/>
          <w:color w:val="auto"/>
        </w:rPr>
      </w:pPr>
    </w:p>
    <w:p>
      <w:pPr>
        <w:sectPr>
          <w:pgSz w:w="11900" w:h="16838" w:orient="portrait"/>
          <w:cols w:equalWidth="0" w:num="2">
            <w:col w:w="800" w:space="280"/>
            <w:col w:w="10420"/>
          </w:cols>
          <w:pgMar w:left="160" w:top="51" w:right="23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potential liability from future litigation; and</w:t>
      </w:r>
    </w:p>
    <w:p>
      <w:pPr>
        <w:spacing w:after="0" w:line="23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other risks and uncertainties described in the Partnership's Annual Report on Form 20-F filed with the SEC on February 26, 2019, available at http://www.sec.gov.</w:t>
      </w:r>
    </w:p>
    <w:p>
      <w:pPr>
        <w:spacing w:after="0" w:line="186" w:lineRule="exact"/>
        <w:rPr>
          <w:sz w:val="20"/>
          <w:szCs w:val="20"/>
          <w:color w:val="auto"/>
        </w:rPr>
      </w:pPr>
    </w:p>
    <w:p>
      <w:pPr>
        <w:sectPr>
          <w:pgSz w:w="11900" w:h="16838" w:orient="portrait"/>
          <w:cols w:equalWidth="0" w:num="2">
            <w:col w:w="800" w:space="280"/>
            <w:col w:w="10420"/>
          </w:cols>
          <w:pgMar w:left="160" w:top="51" w:right="239" w:bottom="1440" w:gutter="0" w:footer="0" w:header="0"/>
          <w:type w:val="continuous"/>
        </w:sectPr>
      </w:pPr>
    </w:p>
    <w:p>
      <w:pPr>
        <w:ind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intend to use the net proceeds from this offering, after deducting the sales agents' commissions and estimated expenses payable by us, for general partnership purposes, which may include future acquisitions, debt repayment, capital expenditures and additions to working capital. We currently expect that this will include future acquisitions from GasLog.</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not obligated to purchase any of the vessels from GasLog that we have the option to purchase under the omnibus agreement and, accordingly, we may not complete the purchase of any such vessels. Furthermore, our ability to purchase any additional vessels, including under the omnibus agreement, is dependent on our ability to obtain financing to fund all or a portion of the acquisition costs of these vessels. See "Item 3. Key Informationâ€”D. Risk Factorsâ€”Risks Inherent in Our Business" of our Annual Report on Form 20-F for a discussion of the risks we face in acquiring vessels. See also "Item 7. Major Unitholders and Related Party Transactionsâ€”B. Related Party Transactionsâ€”Omnibus Agreement" of our Annual Report on Form 20-F.</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AND 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(a) cash and cash equivalents and (b) consolidated capitalization as of December 31, 2018 on an:</w:t>
      </w:r>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actual basis;</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as adjusted basis, giving effect to:</w:t>
      </w:r>
    </w:p>
    <w:p>
      <w:pPr>
        <w:spacing w:after="0" w:line="200" w:lineRule="exact"/>
        <w:rPr>
          <w:sz w:val="20"/>
          <w:szCs w:val="20"/>
          <w:color w:val="auto"/>
        </w:rPr>
      </w:pPr>
    </w:p>
    <w:p>
      <w:pPr>
        <w:spacing w:after="0" w:line="268" w:lineRule="exact"/>
        <w:rPr>
          <w:sz w:val="20"/>
          <w:szCs w:val="20"/>
          <w:color w:val="auto"/>
        </w:rPr>
      </w:pPr>
    </w:p>
    <w:p>
      <w:pPr>
        <w:ind w:left="1620" w:right="440" w:hanging="539"/>
        <w:spacing w:after="0" w:line="268" w:lineRule="auto"/>
        <w:tabs>
          <w:tab w:leader="none" w:pos="16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8"/>
          <w:szCs w:val="18"/>
          <w:color w:val="auto"/>
        </w:rPr>
        <w:t>scheduled principal payments on our bank indebtedness totaling $19.48 million during the period from January 1, 2019 to February 26, 2019; and</w:t>
      </w:r>
    </w:p>
    <w:p>
      <w:pPr>
        <w:spacing w:after="0" w:line="199"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cash distribution of $26.93 million paid on February 13, 2019 to all unitholders of record as of February 8, 2019.</w:t>
      </w:r>
    </w:p>
    <w:p>
      <w:pPr>
        <w:spacing w:after="0" w:line="239"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Other than these adjustments, there has been no material change in our capitalization from debt or equity issuances, re-capitalizations or special dividends between December 31, 2018, and the date of this prospectus supplement.</w:t>
      </w:r>
    </w:p>
    <w:p>
      <w:pPr>
        <w:spacing w:after="0" w:line="186"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This table is derived from and should be read together with the condensed consolidated financial statements of GasLog Partners LP and the accompanying notes incorporated herein by reference. You should also read this table in conjunction with "Item 5. Operating and Financial Review and Prospects" on Form 20-F as filed with the SEC on February 26, 2019 and incorporated herein by reference.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7"/>
          </w:tcPr>
          <w:p>
            <w:pPr>
              <w:jc w:val="center"/>
              <w:ind w:right="1460"/>
              <w:spacing w:after="0"/>
              <w:rPr>
                <w:sz w:val="20"/>
                <w:szCs w:val="20"/>
                <w:color w:val="auto"/>
              </w:rPr>
            </w:pPr>
            <w:r>
              <w:rPr>
                <w:rFonts w:ascii="Arial" w:cs="Arial" w:eastAsia="Arial" w:hAnsi="Arial"/>
                <w:sz w:val="13"/>
                <w:szCs w:val="13"/>
                <w:b w:val="1"/>
                <w:bCs w:val="1"/>
                <w:color w:val="auto"/>
                <w:w w:val="92"/>
              </w:rPr>
              <w:t>As of December 31, 2018</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3"/>
                <w:szCs w:val="13"/>
                <w:b w:val="1"/>
                <w:bCs w:val="1"/>
                <w:color w:val="auto"/>
              </w:rPr>
              <w:t>Actual</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3"/>
                <w:szCs w:val="13"/>
                <w:b w:val="1"/>
                <w:bCs w:val="1"/>
                <w:color w:val="auto"/>
              </w:rPr>
              <w:t>Adjusted</w:t>
            </w:r>
          </w:p>
        </w:tc>
        <w:tc>
          <w:tcPr>
            <w:tcW w:w="1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gridSpan w:val="7"/>
          </w:tcPr>
          <w:p>
            <w:pPr>
              <w:jc w:val="center"/>
              <w:ind w:right="1480"/>
              <w:spacing w:after="0" w:line="142" w:lineRule="exact"/>
              <w:rPr>
                <w:sz w:val="20"/>
                <w:szCs w:val="20"/>
                <w:color w:val="auto"/>
              </w:rPr>
            </w:pPr>
            <w:r>
              <w:rPr>
                <w:rFonts w:ascii="Arial" w:cs="Arial" w:eastAsia="Arial" w:hAnsi="Arial"/>
                <w:sz w:val="13"/>
                <w:szCs w:val="13"/>
                <w:b w:val="1"/>
                <w:bCs w:val="1"/>
                <w:color w:val="auto"/>
                <w:w w:val="91"/>
              </w:rPr>
              <w:t>(dollars in thousands)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920" w:type="dxa"/>
            <w:vAlign w:val="bottom"/>
          </w:tcPr>
          <w:p>
            <w:pPr>
              <w:spacing w:after="0" w:line="203" w:lineRule="exact"/>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7"/>
                <w:szCs w:val="17"/>
                <w:color w:val="auto"/>
              </w:rPr>
            </w:pPr>
          </w:p>
        </w:tc>
        <w:tc>
          <w:tcPr>
            <w:tcW w:w="160" w:type="dxa"/>
            <w:vAlign w:val="bottom"/>
          </w:tcPr>
          <w:p>
            <w:pPr>
              <w:spacing w:after="0" w:line="203" w:lineRule="exact"/>
              <w:rPr>
                <w:sz w:val="20"/>
                <w:szCs w:val="20"/>
                <w:color w:val="auto"/>
              </w:rPr>
            </w:pPr>
            <w:r>
              <w:rPr>
                <w:rFonts w:ascii="Arial" w:cs="Arial" w:eastAsia="Arial" w:hAnsi="Arial"/>
                <w:sz w:val="18"/>
                <w:szCs w:val="18"/>
                <w:u w:val="single" w:color="auto"/>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u w:val="single" w:color="auto"/>
                <w:color w:val="auto"/>
              </w:rPr>
              <w:t>129,125</w:t>
            </w:r>
          </w:p>
        </w:tc>
        <w:tc>
          <w:tcPr>
            <w:tcW w:w="100" w:type="dxa"/>
            <w:vAlign w:val="bottom"/>
          </w:tcPr>
          <w:p>
            <w:pPr>
              <w:spacing w:after="0"/>
              <w:rPr>
                <w:sz w:val="17"/>
                <w:szCs w:val="17"/>
                <w:color w:val="auto"/>
              </w:rPr>
            </w:pPr>
          </w:p>
        </w:tc>
        <w:tc>
          <w:tcPr>
            <w:tcW w:w="200" w:type="dxa"/>
            <w:vAlign w:val="bottom"/>
            <w:gridSpan w:val="2"/>
          </w:tcPr>
          <w:p>
            <w:pPr>
              <w:ind w:left="60"/>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82,715</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8080" w:type="dxa"/>
            <w:vAlign w:val="bottom"/>
            <w:gridSpan w:val="2"/>
          </w:tcPr>
          <w:p>
            <w:pPr>
              <w:ind w:left="1160"/>
              <w:spacing w:after="0"/>
              <w:rPr>
                <w:sz w:val="20"/>
                <w:szCs w:val="20"/>
                <w:color w:val="auto"/>
              </w:rPr>
            </w:pPr>
            <w:r>
              <w:rPr>
                <w:rFonts w:ascii="Arial" w:cs="Arial" w:eastAsia="Arial" w:hAnsi="Arial"/>
                <w:sz w:val="1"/>
                <w:szCs w:val="1"/>
                <w:color w:val="auto"/>
              </w:rPr>
              <w:t>â€‹</w:t>
            </w:r>
          </w:p>
        </w:tc>
        <w:tc>
          <w:tcPr>
            <w:tcW w:w="160" w:type="dxa"/>
            <w:vAlign w:val="bottom"/>
          </w:tcPr>
          <w:p>
            <w:pPr>
              <w:spacing w:after="0"/>
              <w:rPr>
                <w:sz w:val="20"/>
                <w:szCs w:val="20"/>
                <w:color w:val="auto"/>
              </w:rPr>
            </w:pPr>
            <w:r>
              <w:rPr>
                <w:rFonts w:ascii="Arial" w:cs="Arial" w:eastAsia="Arial" w:hAnsi="Arial"/>
                <w:sz w:val="1"/>
                <w:szCs w:val="1"/>
                <w:color w:val="auto"/>
              </w:rPr>
              <w:t>â€‹</w:t>
            </w:r>
          </w:p>
        </w:tc>
        <w:tc>
          <w:tcPr>
            <w:tcW w:w="160" w:type="dxa"/>
            <w:vAlign w:val="bottom"/>
          </w:tcPr>
          <w:p>
            <w:pPr>
              <w:spacing w:after="0"/>
              <w:rPr>
                <w:sz w:val="20"/>
                <w:szCs w:val="20"/>
                <w:color w:val="auto"/>
              </w:rPr>
            </w:pPr>
            <w:r>
              <w:rPr>
                <w:rFonts w:ascii="Arial" w:cs="Arial" w:eastAsia="Arial" w:hAnsi="Arial"/>
                <w:sz w:val="3"/>
                <w:szCs w:val="3"/>
                <w:color w:val="auto"/>
              </w:rPr>
              <w:t>â€‹</w:t>
            </w:r>
          </w:p>
        </w:tc>
        <w:tc>
          <w:tcPr>
            <w:tcW w:w="760" w:type="dxa"/>
            <w:vAlign w:val="bottom"/>
          </w:tcPr>
          <w:p>
            <w:pPr>
              <w:jc w:val="right"/>
              <w:spacing w:after="0"/>
              <w:rPr>
                <w:sz w:val="20"/>
                <w:szCs w:val="20"/>
                <w:color w:val="auto"/>
              </w:rPr>
            </w:pPr>
            <w:r>
              <w:rPr>
                <w:rFonts w:ascii="Arial" w:cs="Arial" w:eastAsia="Arial" w:hAnsi="Arial"/>
                <w:sz w:val="3"/>
                <w:szCs w:val="3"/>
                <w:color w:val="auto"/>
              </w:rPr>
              <w:t>â€‹</w:t>
            </w:r>
          </w:p>
        </w:tc>
        <w:tc>
          <w:tcPr>
            <w:tcW w:w="100" w:type="dxa"/>
            <w:vAlign w:val="bottom"/>
          </w:tcPr>
          <w:p>
            <w:pPr>
              <w:spacing w:after="0"/>
              <w:rPr>
                <w:sz w:val="20"/>
                <w:szCs w:val="20"/>
                <w:color w:val="auto"/>
              </w:rPr>
            </w:pPr>
            <w:r>
              <w:rPr>
                <w:rFonts w:ascii="Arial" w:cs="Arial" w:eastAsia="Arial" w:hAnsi="Arial"/>
                <w:sz w:val="1"/>
                <w:szCs w:val="1"/>
                <w:color w:val="auto"/>
              </w:rPr>
              <w:t>â€‹</w:t>
            </w:r>
          </w:p>
        </w:tc>
        <w:tc>
          <w:tcPr>
            <w:tcW w:w="60" w:type="dxa"/>
            <w:vAlign w:val="bottom"/>
          </w:tcPr>
          <w:p>
            <w:pPr>
              <w:spacing w:after="0"/>
              <w:rPr>
                <w:sz w:val="3"/>
                <w:szCs w:val="3"/>
                <w:color w:val="auto"/>
              </w:rPr>
            </w:pPr>
          </w:p>
        </w:tc>
        <w:tc>
          <w:tcPr>
            <w:tcW w:w="140" w:type="dxa"/>
            <w:vAlign w:val="bottom"/>
          </w:tcPr>
          <w:p>
            <w:pPr>
              <w:spacing w:after="0"/>
              <w:rPr>
                <w:sz w:val="20"/>
                <w:szCs w:val="20"/>
                <w:color w:val="auto"/>
              </w:rPr>
            </w:pPr>
            <w:r>
              <w:rPr>
                <w:rFonts w:ascii="Arial" w:cs="Arial" w:eastAsia="Arial" w:hAnsi="Arial"/>
                <w:sz w:val="3"/>
                <w:szCs w:val="3"/>
                <w:color w:val="auto"/>
              </w:rPr>
              <w:t>â€‹</w:t>
            </w:r>
          </w:p>
        </w:tc>
        <w:tc>
          <w:tcPr>
            <w:tcW w:w="780" w:type="dxa"/>
            <w:vAlign w:val="bottom"/>
          </w:tcPr>
          <w:p>
            <w:pPr>
              <w:jc w:val="right"/>
              <w:spacing w:after="0"/>
              <w:rPr>
                <w:sz w:val="20"/>
                <w:szCs w:val="20"/>
                <w:color w:val="auto"/>
              </w:rPr>
            </w:pPr>
            <w:r>
              <w:rPr>
                <w:rFonts w:ascii="Arial" w:cs="Arial" w:eastAsia="Arial" w:hAnsi="Arial"/>
                <w:sz w:val="3"/>
                <w:szCs w:val="3"/>
                <w:color w:val="auto"/>
              </w:rPr>
              <w:t>â€‹</w:t>
            </w:r>
          </w:p>
        </w:tc>
        <w:tc>
          <w:tcPr>
            <w:tcW w:w="1320" w:type="dxa"/>
            <w:vAlign w:val="bottom"/>
            <w:gridSpan w:val="2"/>
          </w:tcPr>
          <w:p>
            <w:pPr>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27"/>
        </w:trPr>
        <w:tc>
          <w:tcPr>
            <w:tcW w:w="1160" w:type="dxa"/>
            <w:vAlign w:val="bottom"/>
          </w:tcPr>
          <w:p>
            <w:pPr>
              <w:spacing w:after="0"/>
              <w:rPr>
                <w:sz w:val="2"/>
                <w:szCs w:val="2"/>
                <w:color w:val="auto"/>
              </w:rPr>
            </w:pPr>
          </w:p>
        </w:tc>
        <w:tc>
          <w:tcPr>
            <w:tcW w:w="692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16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7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0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60" w:type="dxa"/>
            <w:vAlign w:val="bottom"/>
          </w:tcPr>
          <w:p>
            <w:pPr>
              <w:spacing w:after="0"/>
              <w:rPr>
                <w:sz w:val="2"/>
                <w:szCs w:val="2"/>
                <w:color w:val="auto"/>
              </w:rPr>
            </w:pPr>
          </w:p>
        </w:tc>
        <w:tc>
          <w:tcPr>
            <w:tcW w:w="14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78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6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6920" w:type="dxa"/>
            <w:vAlign w:val="bottom"/>
          </w:tcPr>
          <w:p>
            <w:pPr>
              <w:spacing w:after="0" w:line="202" w:lineRule="exact"/>
              <w:rPr>
                <w:sz w:val="20"/>
                <w:szCs w:val="20"/>
                <w:color w:val="auto"/>
              </w:rPr>
            </w:pPr>
            <w:r>
              <w:rPr>
                <w:rFonts w:ascii="Arial" w:cs="Arial" w:eastAsia="Arial" w:hAnsi="Arial"/>
                <w:sz w:val="18"/>
                <w:szCs w:val="18"/>
                <w:b w:val="1"/>
                <w:bCs w:val="1"/>
                <w:color w:val="auto"/>
              </w:rPr>
              <w:t>CAPITALIZATION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Borrowingsâ€”current portion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409,956</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920" w:type="dxa"/>
            <w:vAlign w:val="bottom"/>
          </w:tcPr>
          <w:p>
            <w:pPr>
              <w:ind w:left="360"/>
              <w:spacing w:after="0" w:line="203" w:lineRule="exact"/>
              <w:rPr>
                <w:sz w:val="20"/>
                <w:szCs w:val="20"/>
                <w:color w:val="auto"/>
              </w:rPr>
            </w:pPr>
            <w:r>
              <w:rPr>
                <w:rFonts w:ascii="Arial" w:cs="Arial" w:eastAsia="Arial" w:hAnsi="Arial"/>
                <w:sz w:val="18"/>
                <w:szCs w:val="18"/>
                <w:color w:val="auto"/>
              </w:rPr>
              <w:t>Borrowingsâ€”non-current portion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805,560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805,560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6920" w:type="dxa"/>
            <w:vAlign w:val="bottom"/>
          </w:tcPr>
          <w:p>
            <w:pPr>
              <w:spacing w:after="0" w:line="33"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33"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76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gridSpan w:val="2"/>
          </w:tcPr>
          <w:p>
            <w:pPr>
              <w:spacing w:after="0" w:line="33" w:lineRule="exact"/>
              <w:rPr>
                <w:sz w:val="20"/>
                <w:szCs w:val="20"/>
                <w:color w:val="auto"/>
              </w:rPr>
            </w:pPr>
            <w:r>
              <w:rPr>
                <w:rFonts w:ascii="Arial" w:cs="Arial" w:eastAsia="Arial" w:hAnsi="Arial"/>
                <w:sz w:val="3"/>
                <w:szCs w:val="3"/>
                <w:color w:val="auto"/>
              </w:rPr>
              <w:t>â€‹</w:t>
            </w:r>
          </w:p>
        </w:tc>
        <w:tc>
          <w:tcPr>
            <w:tcW w:w="14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78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33" w:lineRule="exact"/>
              <w:rPr>
                <w:sz w:val="20"/>
                <w:szCs w:val="20"/>
                <w:color w:val="auto"/>
              </w:rPr>
            </w:pPr>
            <w:r>
              <w:rPr>
                <w:rFonts w:ascii="Arial" w:cs="Arial" w:eastAsia="Arial" w:hAnsi="Arial"/>
                <w:sz w:val="3"/>
                <w:szCs w:val="3"/>
                <w:color w:val="auto"/>
              </w:rPr>
              <w:t>â€‹</w:t>
            </w: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920" w:type="dxa"/>
            <w:vAlign w:val="bottom"/>
          </w:tcPr>
          <w:p>
            <w:pPr>
              <w:spacing w:after="0" w:line="197" w:lineRule="exact"/>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7" w:lineRule="exact"/>
              <w:rPr>
                <w:sz w:val="20"/>
                <w:szCs w:val="20"/>
                <w:color w:val="auto"/>
              </w:rPr>
            </w:pPr>
            <w:r>
              <w:rPr>
                <w:rFonts w:ascii="Arial" w:cs="Arial" w:eastAsia="Arial" w:hAnsi="Arial"/>
                <w:sz w:val="18"/>
                <w:szCs w:val="18"/>
                <w:color w:val="auto"/>
                <w:w w:val="92"/>
              </w:rPr>
              <w:t>1,234,997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7" w:lineRule="exact"/>
              <w:rPr>
                <w:sz w:val="20"/>
                <w:szCs w:val="20"/>
                <w:color w:val="auto"/>
              </w:rPr>
            </w:pPr>
            <w:r>
              <w:rPr>
                <w:rFonts w:ascii="Arial" w:cs="Arial" w:eastAsia="Arial" w:hAnsi="Arial"/>
                <w:sz w:val="18"/>
                <w:szCs w:val="18"/>
                <w:color w:val="auto"/>
                <w:w w:val="94"/>
              </w:rPr>
              <w:t>1,215,516</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8080" w:type="dxa"/>
            <w:vAlign w:val="bottom"/>
            <w:gridSpan w:val="2"/>
          </w:tcPr>
          <w:p>
            <w:pPr>
              <w:ind w:left="1160"/>
              <w:spacing w:after="0"/>
              <w:rPr>
                <w:sz w:val="20"/>
                <w:szCs w:val="20"/>
                <w:color w:val="auto"/>
              </w:rPr>
            </w:pPr>
            <w:r>
              <w:rPr>
                <w:rFonts w:ascii="Arial" w:cs="Arial" w:eastAsia="Arial" w:hAnsi="Arial"/>
                <w:sz w:val="1"/>
                <w:szCs w:val="1"/>
                <w:color w:val="auto"/>
              </w:rPr>
              <w:t>â€‹</w:t>
            </w:r>
          </w:p>
        </w:tc>
        <w:tc>
          <w:tcPr>
            <w:tcW w:w="160" w:type="dxa"/>
            <w:vAlign w:val="bottom"/>
          </w:tcPr>
          <w:p>
            <w:pPr>
              <w:spacing w:after="0"/>
              <w:rPr>
                <w:sz w:val="20"/>
                <w:szCs w:val="20"/>
                <w:color w:val="auto"/>
              </w:rPr>
            </w:pPr>
            <w:r>
              <w:rPr>
                <w:rFonts w:ascii="Arial" w:cs="Arial" w:eastAsia="Arial" w:hAnsi="Arial"/>
                <w:sz w:val="1"/>
                <w:szCs w:val="1"/>
                <w:color w:val="auto"/>
              </w:rPr>
              <w:t>â€‹</w:t>
            </w:r>
          </w:p>
        </w:tc>
        <w:tc>
          <w:tcPr>
            <w:tcW w:w="160" w:type="dxa"/>
            <w:vAlign w:val="bottom"/>
          </w:tcPr>
          <w:p>
            <w:pPr>
              <w:spacing w:after="0"/>
              <w:rPr>
                <w:sz w:val="20"/>
                <w:szCs w:val="20"/>
                <w:color w:val="auto"/>
              </w:rPr>
            </w:pPr>
            <w:r>
              <w:rPr>
                <w:rFonts w:ascii="Arial" w:cs="Arial" w:eastAsia="Arial" w:hAnsi="Arial"/>
                <w:sz w:val="3"/>
                <w:szCs w:val="3"/>
                <w:color w:val="auto"/>
              </w:rPr>
              <w:t>â€‹</w:t>
            </w:r>
          </w:p>
        </w:tc>
        <w:tc>
          <w:tcPr>
            <w:tcW w:w="760" w:type="dxa"/>
            <w:vAlign w:val="bottom"/>
          </w:tcPr>
          <w:p>
            <w:pPr>
              <w:jc w:val="right"/>
              <w:spacing w:after="0"/>
              <w:rPr>
                <w:sz w:val="20"/>
                <w:szCs w:val="20"/>
                <w:color w:val="auto"/>
              </w:rPr>
            </w:pPr>
            <w:r>
              <w:rPr>
                <w:rFonts w:ascii="Arial" w:cs="Arial" w:eastAsia="Arial" w:hAnsi="Arial"/>
                <w:sz w:val="3"/>
                <w:szCs w:val="3"/>
                <w:color w:val="auto"/>
              </w:rPr>
              <w:t>â€‹</w:t>
            </w:r>
          </w:p>
        </w:tc>
        <w:tc>
          <w:tcPr>
            <w:tcW w:w="100" w:type="dxa"/>
            <w:vAlign w:val="bottom"/>
          </w:tcPr>
          <w:p>
            <w:pPr>
              <w:spacing w:after="0"/>
              <w:rPr>
                <w:sz w:val="20"/>
                <w:szCs w:val="20"/>
                <w:color w:val="auto"/>
              </w:rPr>
            </w:pPr>
            <w:r>
              <w:rPr>
                <w:rFonts w:ascii="Arial" w:cs="Arial" w:eastAsia="Arial" w:hAnsi="Arial"/>
                <w:sz w:val="1"/>
                <w:szCs w:val="1"/>
                <w:color w:val="auto"/>
              </w:rPr>
              <w:t>â€‹</w:t>
            </w:r>
          </w:p>
        </w:tc>
        <w:tc>
          <w:tcPr>
            <w:tcW w:w="60" w:type="dxa"/>
            <w:vAlign w:val="bottom"/>
          </w:tcPr>
          <w:p>
            <w:pPr>
              <w:spacing w:after="0"/>
              <w:rPr>
                <w:sz w:val="3"/>
                <w:szCs w:val="3"/>
                <w:color w:val="auto"/>
              </w:rPr>
            </w:pPr>
          </w:p>
        </w:tc>
        <w:tc>
          <w:tcPr>
            <w:tcW w:w="140" w:type="dxa"/>
            <w:vAlign w:val="bottom"/>
          </w:tcPr>
          <w:p>
            <w:pPr>
              <w:spacing w:after="0"/>
              <w:rPr>
                <w:sz w:val="20"/>
                <w:szCs w:val="20"/>
                <w:color w:val="auto"/>
              </w:rPr>
            </w:pPr>
            <w:r>
              <w:rPr>
                <w:rFonts w:ascii="Arial" w:cs="Arial" w:eastAsia="Arial" w:hAnsi="Arial"/>
                <w:sz w:val="3"/>
                <w:szCs w:val="3"/>
                <w:color w:val="auto"/>
              </w:rPr>
              <w:t>â€‹</w:t>
            </w:r>
          </w:p>
        </w:tc>
        <w:tc>
          <w:tcPr>
            <w:tcW w:w="780" w:type="dxa"/>
            <w:vAlign w:val="bottom"/>
          </w:tcPr>
          <w:p>
            <w:pPr>
              <w:jc w:val="right"/>
              <w:spacing w:after="0"/>
              <w:rPr>
                <w:sz w:val="20"/>
                <w:szCs w:val="20"/>
                <w:color w:val="auto"/>
              </w:rPr>
            </w:pPr>
            <w:r>
              <w:rPr>
                <w:rFonts w:ascii="Arial" w:cs="Arial" w:eastAsia="Arial" w:hAnsi="Arial"/>
                <w:sz w:val="3"/>
                <w:szCs w:val="3"/>
                <w:color w:val="auto"/>
              </w:rPr>
              <w:t>â€‹</w:t>
            </w:r>
          </w:p>
        </w:tc>
        <w:tc>
          <w:tcPr>
            <w:tcW w:w="160" w:type="dxa"/>
            <w:vAlign w:val="bottom"/>
          </w:tcPr>
          <w:p>
            <w:pPr>
              <w:spacing w:after="0"/>
              <w:rPr>
                <w:sz w:val="20"/>
                <w:szCs w:val="20"/>
                <w:color w:val="auto"/>
              </w:rPr>
            </w:pPr>
            <w:r>
              <w:rPr>
                <w:rFonts w:ascii="Arial" w:cs="Arial" w:eastAsia="Arial" w:hAnsi="Arial"/>
                <w:sz w:val="1"/>
                <w:szCs w:val="1"/>
                <w:color w:val="auto"/>
              </w:rPr>
              <w:t>â€‹</w:t>
            </w: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8080" w:type="dxa"/>
            <w:vAlign w:val="bottom"/>
            <w:gridSpan w:val="2"/>
          </w:tcPr>
          <w:p>
            <w:pPr>
              <w:ind w:left="1160"/>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16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7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0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60" w:type="dxa"/>
            <w:vAlign w:val="bottom"/>
          </w:tcPr>
          <w:p>
            <w:pPr>
              <w:spacing w:after="0"/>
              <w:rPr>
                <w:sz w:val="2"/>
                <w:szCs w:val="2"/>
                <w:color w:val="auto"/>
              </w:rPr>
            </w:pPr>
          </w:p>
        </w:tc>
        <w:tc>
          <w:tcPr>
            <w:tcW w:w="14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78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320" w:type="dxa"/>
            <w:vAlign w:val="bottom"/>
            <w:gridSpan w:val="2"/>
          </w:tcPr>
          <w:p>
            <w:pPr>
              <w:spacing w:after="0" w:line="27" w:lineRule="exact"/>
              <w:rPr>
                <w:sz w:val="20"/>
                <w:szCs w:val="20"/>
                <w:color w:val="auto"/>
              </w:rPr>
            </w:pPr>
            <w:r>
              <w:rPr>
                <w:rFonts w:ascii="Arial" w:cs="Arial" w:eastAsia="Arial" w:hAnsi="Arial"/>
                <w:sz w:val="3"/>
                <w:szCs w:val="3"/>
                <w:color w:val="auto"/>
              </w:rPr>
              <w:t>â€‹</w:t>
            </w:r>
          </w:p>
        </w:tc>
        <w:tc>
          <w:tcPr>
            <w:tcW w:w="0" w:type="dxa"/>
            <w:vAlign w:val="bottom"/>
          </w:tcPr>
          <w:p>
            <w:pPr>
              <w:spacing w:after="0" w:line="20" w:lineRule="exact"/>
              <w:rPr>
                <w:sz w:val="1"/>
                <w:szCs w:val="1"/>
                <w:color w:val="auto"/>
              </w:rPr>
            </w:pPr>
          </w:p>
        </w:tc>
      </w:tr>
      <w:tr>
        <w:trPr>
          <w:trHeight w:val="203"/>
        </w:trPr>
        <w:tc>
          <w:tcPr>
            <w:tcW w:w="8080" w:type="dxa"/>
            <w:vAlign w:val="bottom"/>
            <w:gridSpan w:val="2"/>
          </w:tcPr>
          <w:p>
            <w:pPr>
              <w:ind w:left="1160"/>
              <w:spacing w:after="0" w:line="202" w:lineRule="exact"/>
              <w:rPr>
                <w:sz w:val="20"/>
                <w:szCs w:val="20"/>
                <w:color w:val="auto"/>
              </w:rPr>
            </w:pPr>
            <w:r>
              <w:rPr>
                <w:rFonts w:ascii="Arial" w:cs="Arial" w:eastAsia="Arial" w:hAnsi="Arial"/>
                <w:sz w:val="18"/>
                <w:szCs w:val="18"/>
                <w:color w:val="auto"/>
              </w:rPr>
              <w:t>Partners' Capital:</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Common unitholders: 45,448,993 units issued and outstanding as of December 31, 2018, and as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812,863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787,866</w:t>
            </w:r>
          </w:p>
        </w:tc>
        <w:tc>
          <w:tcPr>
            <w:tcW w:w="16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Arial" w:cs="Arial" w:eastAsia="Arial" w:hAnsi="Arial"/>
                <w:sz w:val="18"/>
                <w:szCs w:val="18"/>
                <w:color w:val="auto"/>
                <w:w w:val="86"/>
              </w:rPr>
              <w:t>General partner: 927,532 units issued and outstanding as of December 31, 2018 and as adjusted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12,750</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Incentive Distribution Rights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Arial" w:cs="Arial" w:eastAsia="Arial" w:hAnsi="Arial"/>
                <w:sz w:val="18"/>
                <w:szCs w:val="18"/>
                <w:color w:val="auto"/>
                <w:w w:val="90"/>
              </w:rPr>
              <w:t>Preference unitholders: 5,750,000 Series A Preference Units, 4,600,000 Series B Preference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Arial" w:cs="Arial" w:eastAsia="Arial" w:hAnsi="Arial"/>
                <w:sz w:val="18"/>
                <w:szCs w:val="18"/>
                <w:color w:val="auto"/>
                <w:w w:val="90"/>
              </w:rPr>
              <w:t>Units and 4,000,000 Series C Preference Units issued and outstanding as of December 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Arial" w:cs="Arial" w:eastAsia="Arial" w:hAnsi="Arial"/>
                <w:sz w:val="18"/>
                <w:szCs w:val="18"/>
                <w:color w:val="auto"/>
              </w:rPr>
              <w:t>2018 and as adjusted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348,331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348,331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6920" w:type="dxa"/>
            <w:vAlign w:val="bottom"/>
          </w:tcPr>
          <w:p>
            <w:pPr>
              <w:spacing w:after="0" w:line="33"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33"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76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gridSpan w:val="2"/>
          </w:tcPr>
          <w:p>
            <w:pPr>
              <w:spacing w:after="0" w:line="33" w:lineRule="exact"/>
              <w:rPr>
                <w:sz w:val="20"/>
                <w:szCs w:val="20"/>
                <w:color w:val="auto"/>
              </w:rPr>
            </w:pPr>
            <w:r>
              <w:rPr>
                <w:rFonts w:ascii="Arial" w:cs="Arial" w:eastAsia="Arial" w:hAnsi="Arial"/>
                <w:sz w:val="3"/>
                <w:szCs w:val="3"/>
                <w:color w:val="auto"/>
              </w:rPr>
              <w:t>â€‹</w:t>
            </w:r>
          </w:p>
        </w:tc>
        <w:tc>
          <w:tcPr>
            <w:tcW w:w="14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78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33" w:lineRule="exact"/>
              <w:rPr>
                <w:sz w:val="20"/>
                <w:szCs w:val="20"/>
                <w:color w:val="auto"/>
              </w:rPr>
            </w:pPr>
            <w:r>
              <w:rPr>
                <w:rFonts w:ascii="Arial" w:cs="Arial" w:eastAsia="Arial" w:hAnsi="Arial"/>
                <w:sz w:val="3"/>
                <w:szCs w:val="3"/>
                <w:color w:val="auto"/>
              </w:rPr>
              <w:t>â€‹</w:t>
            </w: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920" w:type="dxa"/>
            <w:vAlign w:val="bottom"/>
          </w:tcPr>
          <w:p>
            <w:pPr>
              <w:spacing w:after="0" w:line="197" w:lineRule="exact"/>
              <w:rPr>
                <w:sz w:val="20"/>
                <w:szCs w:val="20"/>
                <w:color w:val="auto"/>
              </w:rPr>
            </w:pPr>
            <w:r>
              <w:rPr>
                <w:rFonts w:ascii="Arial" w:cs="Arial" w:eastAsia="Arial" w:hAnsi="Arial"/>
                <w:sz w:val="18"/>
                <w:szCs w:val="18"/>
                <w:color w:val="auto"/>
              </w:rPr>
              <w:t>Total Partners' Capital</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7" w:lineRule="exact"/>
              <w:rPr>
                <w:sz w:val="20"/>
                <w:szCs w:val="20"/>
                <w:color w:val="auto"/>
              </w:rPr>
            </w:pPr>
            <w:r>
              <w:rPr>
                <w:rFonts w:ascii="Arial" w:cs="Arial" w:eastAsia="Arial" w:hAnsi="Arial"/>
                <w:sz w:val="18"/>
                <w:szCs w:val="18"/>
                <w:color w:val="auto"/>
                <w:w w:val="92"/>
              </w:rPr>
              <w:t>1,179,659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7" w:lineRule="exact"/>
              <w:rPr>
                <w:sz w:val="20"/>
                <w:szCs w:val="20"/>
                <w:color w:val="auto"/>
              </w:rPr>
            </w:pPr>
            <w:r>
              <w:rPr>
                <w:rFonts w:ascii="Arial" w:cs="Arial" w:eastAsia="Arial" w:hAnsi="Arial"/>
                <w:sz w:val="18"/>
                <w:szCs w:val="18"/>
                <w:color w:val="auto"/>
                <w:w w:val="94"/>
              </w:rPr>
              <w:t>1,152,730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080" w:type="dxa"/>
            <w:vAlign w:val="bottom"/>
            <w:gridSpan w:val="2"/>
          </w:tcPr>
          <w:p>
            <w:pPr>
              <w:ind w:left="1160"/>
              <w:spacing w:after="0" w:line="33"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33"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76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00" w:type="dxa"/>
            <w:vAlign w:val="bottom"/>
          </w:tcPr>
          <w:p>
            <w:pPr>
              <w:spacing w:after="0" w:line="33" w:lineRule="exact"/>
              <w:rPr>
                <w:sz w:val="20"/>
                <w:szCs w:val="20"/>
                <w:color w:val="auto"/>
              </w:rPr>
            </w:pPr>
            <w:r>
              <w:rPr>
                <w:rFonts w:ascii="Arial" w:cs="Arial" w:eastAsia="Arial" w:hAnsi="Arial"/>
                <w:sz w:val="3"/>
                <w:szCs w:val="3"/>
                <w:color w:val="auto"/>
              </w:rPr>
              <w:t>â€‹</w:t>
            </w:r>
          </w:p>
        </w:tc>
        <w:tc>
          <w:tcPr>
            <w:tcW w:w="60" w:type="dxa"/>
            <w:vAlign w:val="bottom"/>
          </w:tcPr>
          <w:p>
            <w:pPr>
              <w:spacing w:after="0"/>
              <w:rPr>
                <w:sz w:val="2"/>
                <w:szCs w:val="2"/>
                <w:color w:val="auto"/>
              </w:rPr>
            </w:pPr>
          </w:p>
        </w:tc>
        <w:tc>
          <w:tcPr>
            <w:tcW w:w="14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780" w:type="dxa"/>
            <w:vAlign w:val="bottom"/>
          </w:tcPr>
          <w:p>
            <w:pPr>
              <w:jc w:val="right"/>
              <w:spacing w:after="0" w:line="27"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33" w:lineRule="exact"/>
              <w:rPr>
                <w:sz w:val="20"/>
                <w:szCs w:val="20"/>
                <w:color w:val="auto"/>
              </w:rPr>
            </w:pPr>
            <w:r>
              <w:rPr>
                <w:rFonts w:ascii="Arial" w:cs="Arial" w:eastAsia="Arial" w:hAnsi="Arial"/>
                <w:sz w:val="3"/>
                <w:szCs w:val="3"/>
                <w:color w:val="auto"/>
              </w:rPr>
              <w:t>â€‹</w:t>
            </w: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gridSpan w:val="2"/>
          </w:tcPr>
          <w:p>
            <w:pPr>
              <w:ind w:left="1160"/>
              <w:spacing w:after="0" w:line="197" w:lineRule="exact"/>
              <w:rPr>
                <w:sz w:val="20"/>
                <w:szCs w:val="20"/>
                <w:color w:val="auto"/>
              </w:rPr>
            </w:pPr>
            <w:r>
              <w:rPr>
                <w:rFonts w:ascii="Arial" w:cs="Arial" w:eastAsia="Arial" w:hAnsi="Arial"/>
                <w:sz w:val="18"/>
                <w:szCs w:val="18"/>
                <w:color w:val="auto"/>
              </w:rPr>
              <w:t>Total capitalization</w:t>
            </w:r>
          </w:p>
        </w:tc>
        <w:tc>
          <w:tcPr>
            <w:tcW w:w="160" w:type="dxa"/>
            <w:vAlign w:val="bottom"/>
          </w:tcPr>
          <w:p>
            <w:pPr>
              <w:spacing w:after="0"/>
              <w:rPr>
                <w:sz w:val="17"/>
                <w:szCs w:val="17"/>
                <w:color w:val="auto"/>
              </w:rPr>
            </w:pPr>
          </w:p>
        </w:tc>
        <w:tc>
          <w:tcPr>
            <w:tcW w:w="160" w:type="dxa"/>
            <w:vAlign w:val="bottom"/>
          </w:tcPr>
          <w:p>
            <w:pPr>
              <w:spacing w:after="0" w:line="197" w:lineRule="exact"/>
              <w:rPr>
                <w:sz w:val="20"/>
                <w:szCs w:val="20"/>
                <w:color w:val="auto"/>
              </w:rPr>
            </w:pPr>
            <w:r>
              <w:rPr>
                <w:rFonts w:ascii="Arial" w:cs="Arial" w:eastAsia="Arial" w:hAnsi="Arial"/>
                <w:sz w:val="18"/>
                <w:szCs w:val="18"/>
                <w:u w:val="single" w:color="auto"/>
                <w:color w:val="auto"/>
              </w:rPr>
              <w:t>$</w:t>
            </w:r>
          </w:p>
        </w:tc>
        <w:tc>
          <w:tcPr>
            <w:tcW w:w="760" w:type="dxa"/>
            <w:vAlign w:val="bottom"/>
          </w:tcPr>
          <w:p>
            <w:pPr>
              <w:jc w:val="right"/>
              <w:spacing w:after="0" w:line="197" w:lineRule="exact"/>
              <w:rPr>
                <w:sz w:val="20"/>
                <w:szCs w:val="20"/>
                <w:color w:val="auto"/>
              </w:rPr>
            </w:pPr>
            <w:r>
              <w:rPr>
                <w:rFonts w:ascii="Arial" w:cs="Arial" w:eastAsia="Arial" w:hAnsi="Arial"/>
                <w:sz w:val="18"/>
                <w:szCs w:val="18"/>
                <w:u w:val="single" w:color="auto"/>
                <w:color w:val="auto"/>
                <w:w w:val="92"/>
              </w:rPr>
              <w:t>2,414,656</w:t>
            </w:r>
          </w:p>
        </w:tc>
        <w:tc>
          <w:tcPr>
            <w:tcW w:w="100" w:type="dxa"/>
            <w:vAlign w:val="bottom"/>
          </w:tcPr>
          <w:p>
            <w:pPr>
              <w:spacing w:after="0"/>
              <w:rPr>
                <w:sz w:val="17"/>
                <w:szCs w:val="17"/>
                <w:color w:val="auto"/>
              </w:rPr>
            </w:pPr>
          </w:p>
        </w:tc>
        <w:tc>
          <w:tcPr>
            <w:tcW w:w="200" w:type="dxa"/>
            <w:vAlign w:val="bottom"/>
            <w:gridSpan w:val="2"/>
          </w:tcPr>
          <w:p>
            <w:pPr>
              <w:ind w:left="60"/>
              <w:spacing w:after="0" w:line="197" w:lineRule="exact"/>
              <w:rPr>
                <w:sz w:val="20"/>
                <w:szCs w:val="20"/>
                <w:color w:val="auto"/>
              </w:rPr>
            </w:pPr>
            <w:r>
              <w:rPr>
                <w:rFonts w:ascii="Arial" w:cs="Arial" w:eastAsia="Arial" w:hAnsi="Arial"/>
                <w:sz w:val="18"/>
                <w:szCs w:val="18"/>
                <w:u w:val="single" w:color="auto"/>
                <w:color w:val="auto"/>
              </w:rPr>
              <w:t>$</w:t>
            </w:r>
          </w:p>
        </w:tc>
        <w:tc>
          <w:tcPr>
            <w:tcW w:w="780" w:type="dxa"/>
            <w:vAlign w:val="bottom"/>
          </w:tcPr>
          <w:p>
            <w:pPr>
              <w:jc w:val="right"/>
              <w:spacing w:after="0" w:line="197" w:lineRule="exact"/>
              <w:rPr>
                <w:sz w:val="20"/>
                <w:szCs w:val="20"/>
                <w:color w:val="auto"/>
              </w:rPr>
            </w:pPr>
            <w:r>
              <w:rPr>
                <w:rFonts w:ascii="Arial" w:cs="Arial" w:eastAsia="Arial" w:hAnsi="Arial"/>
                <w:sz w:val="18"/>
                <w:szCs w:val="18"/>
                <w:u w:val="single" w:color="auto"/>
                <w:color w:val="auto"/>
                <w:w w:val="94"/>
              </w:rPr>
              <w:t>2,368,246</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8080" w:type="dxa"/>
            <w:vAlign w:val="bottom"/>
            <w:gridSpan w:val="2"/>
          </w:tcPr>
          <w:p>
            <w:pPr>
              <w:ind w:left="1160"/>
              <w:spacing w:after="0"/>
              <w:rPr>
                <w:sz w:val="20"/>
                <w:szCs w:val="20"/>
                <w:color w:val="auto"/>
              </w:rPr>
            </w:pPr>
            <w:r>
              <w:rPr>
                <w:rFonts w:ascii="Arial" w:cs="Arial" w:eastAsia="Arial" w:hAnsi="Arial"/>
                <w:sz w:val="1"/>
                <w:szCs w:val="1"/>
                <w:color w:val="auto"/>
              </w:rPr>
              <w:t>â€‹</w:t>
            </w:r>
          </w:p>
        </w:tc>
        <w:tc>
          <w:tcPr>
            <w:tcW w:w="160" w:type="dxa"/>
            <w:vAlign w:val="bottom"/>
          </w:tcPr>
          <w:p>
            <w:pPr>
              <w:spacing w:after="0"/>
              <w:rPr>
                <w:sz w:val="20"/>
                <w:szCs w:val="20"/>
                <w:color w:val="auto"/>
              </w:rPr>
            </w:pPr>
            <w:r>
              <w:rPr>
                <w:rFonts w:ascii="Arial" w:cs="Arial" w:eastAsia="Arial" w:hAnsi="Arial"/>
                <w:sz w:val="1"/>
                <w:szCs w:val="1"/>
                <w:color w:val="auto"/>
              </w:rPr>
              <w:t>â€‹</w:t>
            </w:r>
          </w:p>
        </w:tc>
        <w:tc>
          <w:tcPr>
            <w:tcW w:w="160" w:type="dxa"/>
            <w:vAlign w:val="bottom"/>
          </w:tcPr>
          <w:p>
            <w:pPr>
              <w:spacing w:after="0"/>
              <w:rPr>
                <w:sz w:val="20"/>
                <w:szCs w:val="20"/>
                <w:color w:val="auto"/>
              </w:rPr>
            </w:pPr>
            <w:r>
              <w:rPr>
                <w:rFonts w:ascii="Arial" w:cs="Arial" w:eastAsia="Arial" w:hAnsi="Arial"/>
                <w:sz w:val="3"/>
                <w:szCs w:val="3"/>
                <w:color w:val="auto"/>
              </w:rPr>
              <w:t>â€‹</w:t>
            </w:r>
          </w:p>
        </w:tc>
        <w:tc>
          <w:tcPr>
            <w:tcW w:w="760" w:type="dxa"/>
            <w:vAlign w:val="bottom"/>
          </w:tcPr>
          <w:p>
            <w:pPr>
              <w:jc w:val="right"/>
              <w:spacing w:after="0"/>
              <w:rPr>
                <w:sz w:val="20"/>
                <w:szCs w:val="20"/>
                <w:color w:val="auto"/>
              </w:rPr>
            </w:pPr>
            <w:r>
              <w:rPr>
                <w:rFonts w:ascii="Arial" w:cs="Arial" w:eastAsia="Arial" w:hAnsi="Arial"/>
                <w:sz w:val="3"/>
                <w:szCs w:val="3"/>
                <w:color w:val="auto"/>
              </w:rPr>
              <w:t>â€‹</w:t>
            </w:r>
          </w:p>
        </w:tc>
        <w:tc>
          <w:tcPr>
            <w:tcW w:w="100" w:type="dxa"/>
            <w:vAlign w:val="bottom"/>
          </w:tcPr>
          <w:p>
            <w:pPr>
              <w:spacing w:after="0"/>
              <w:rPr>
                <w:sz w:val="20"/>
                <w:szCs w:val="20"/>
                <w:color w:val="auto"/>
              </w:rPr>
            </w:pPr>
            <w:r>
              <w:rPr>
                <w:rFonts w:ascii="Arial" w:cs="Arial" w:eastAsia="Arial" w:hAnsi="Arial"/>
                <w:sz w:val="1"/>
                <w:szCs w:val="1"/>
                <w:color w:val="auto"/>
              </w:rPr>
              <w:t>â€‹</w:t>
            </w:r>
          </w:p>
        </w:tc>
        <w:tc>
          <w:tcPr>
            <w:tcW w:w="60" w:type="dxa"/>
            <w:vAlign w:val="bottom"/>
          </w:tcPr>
          <w:p>
            <w:pPr>
              <w:spacing w:after="0"/>
              <w:rPr>
                <w:sz w:val="3"/>
                <w:szCs w:val="3"/>
                <w:color w:val="auto"/>
              </w:rPr>
            </w:pPr>
          </w:p>
        </w:tc>
        <w:tc>
          <w:tcPr>
            <w:tcW w:w="140" w:type="dxa"/>
            <w:vAlign w:val="bottom"/>
          </w:tcPr>
          <w:p>
            <w:pPr>
              <w:spacing w:after="0"/>
              <w:rPr>
                <w:sz w:val="20"/>
                <w:szCs w:val="20"/>
                <w:color w:val="auto"/>
              </w:rPr>
            </w:pPr>
            <w:r>
              <w:rPr>
                <w:rFonts w:ascii="Arial" w:cs="Arial" w:eastAsia="Arial" w:hAnsi="Arial"/>
                <w:sz w:val="3"/>
                <w:szCs w:val="3"/>
                <w:color w:val="auto"/>
              </w:rPr>
              <w:t>â€‹</w:t>
            </w:r>
          </w:p>
        </w:tc>
        <w:tc>
          <w:tcPr>
            <w:tcW w:w="780" w:type="dxa"/>
            <w:vAlign w:val="bottom"/>
          </w:tcPr>
          <w:p>
            <w:pPr>
              <w:jc w:val="right"/>
              <w:spacing w:after="0"/>
              <w:rPr>
                <w:sz w:val="20"/>
                <w:szCs w:val="20"/>
                <w:color w:val="auto"/>
              </w:rPr>
            </w:pPr>
            <w:r>
              <w:rPr>
                <w:rFonts w:ascii="Arial" w:cs="Arial" w:eastAsia="Arial" w:hAnsi="Arial"/>
                <w:sz w:val="3"/>
                <w:szCs w:val="3"/>
                <w:color w:val="auto"/>
              </w:rPr>
              <w:t>â€‹</w:t>
            </w:r>
          </w:p>
        </w:tc>
        <w:tc>
          <w:tcPr>
            <w:tcW w:w="1320" w:type="dxa"/>
            <w:vAlign w:val="bottom"/>
            <w:gridSpan w:val="2"/>
          </w:tcPr>
          <w:p>
            <w:pPr>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13"/>
        </w:trPr>
        <w:tc>
          <w:tcPr>
            <w:tcW w:w="8080" w:type="dxa"/>
            <w:vAlign w:val="bottom"/>
            <w:gridSpan w:val="2"/>
            <w:vMerge w:val="restart"/>
          </w:tcPr>
          <w:p>
            <w:pPr>
              <w:ind w:left="1160"/>
              <w:spacing w:after="0"/>
              <w:rPr>
                <w:sz w:val="20"/>
                <w:szCs w:val="20"/>
                <w:color w:val="auto"/>
              </w:rPr>
            </w:pPr>
            <w:r>
              <w:rPr>
                <w:rFonts w:ascii="Arial" w:cs="Arial" w:eastAsia="Arial" w:hAnsi="Arial"/>
                <w:sz w:val="3"/>
                <w:szCs w:val="3"/>
                <w:color w:val="auto"/>
              </w:rPr>
              <w:t>â€‹</w:t>
            </w:r>
          </w:p>
        </w:tc>
        <w:tc>
          <w:tcPr>
            <w:tcW w:w="160" w:type="dxa"/>
            <w:vAlign w:val="bottom"/>
            <w:vMerge w:val="restart"/>
          </w:tcPr>
          <w:p>
            <w:pPr>
              <w:spacing w:after="0"/>
              <w:rPr>
                <w:sz w:val="20"/>
                <w:szCs w:val="20"/>
                <w:color w:val="auto"/>
              </w:rPr>
            </w:pPr>
            <w:r>
              <w:rPr>
                <w:rFonts w:ascii="Arial" w:cs="Arial" w:eastAsia="Arial" w:hAnsi="Arial"/>
                <w:sz w:val="3"/>
                <w:szCs w:val="3"/>
                <w:color w:val="auto"/>
              </w:rPr>
              <w:t>â€‹</w:t>
            </w:r>
          </w:p>
        </w:tc>
        <w:tc>
          <w:tcPr>
            <w:tcW w:w="16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7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00" w:type="dxa"/>
            <w:vAlign w:val="bottom"/>
            <w:vMerge w:val="restart"/>
          </w:tcPr>
          <w:p>
            <w:pPr>
              <w:spacing w:after="0"/>
              <w:rPr>
                <w:sz w:val="20"/>
                <w:szCs w:val="20"/>
                <w:color w:val="auto"/>
              </w:rPr>
            </w:pPr>
            <w:r>
              <w:rPr>
                <w:rFonts w:ascii="Arial" w:cs="Arial" w:eastAsia="Arial" w:hAnsi="Arial"/>
                <w:sz w:val="3"/>
                <w:szCs w:val="3"/>
                <w:color w:val="auto"/>
              </w:rPr>
              <w:t>â€‹</w:t>
            </w: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78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â€‹</w:t>
            </w:r>
          </w:p>
        </w:tc>
        <w:tc>
          <w:tcPr>
            <w:tcW w:w="1320" w:type="dxa"/>
            <w:vAlign w:val="bottom"/>
            <w:gridSpan w:val="2"/>
            <w:vMerge w:val="restart"/>
          </w:tcPr>
          <w:p>
            <w:pPr>
              <w:spacing w:after="0"/>
              <w:rPr>
                <w:sz w:val="20"/>
                <w:szCs w:val="20"/>
                <w:color w:val="auto"/>
              </w:rPr>
            </w:pPr>
            <w:r>
              <w:rPr>
                <w:rFonts w:ascii="Arial" w:cs="Arial" w:eastAsia="Arial" w:hAnsi="Arial"/>
                <w:sz w:val="3"/>
                <w:szCs w:val="3"/>
                <w:color w:val="auto"/>
              </w:rPr>
              <w:t>â€‹</w:t>
            </w:r>
          </w:p>
        </w:tc>
        <w:tc>
          <w:tcPr>
            <w:tcW w:w="0" w:type="dxa"/>
            <w:vAlign w:val="bottom"/>
          </w:tcPr>
          <w:p>
            <w:pPr>
              <w:spacing w:after="0" w:line="20" w:lineRule="exact"/>
              <w:rPr>
                <w:sz w:val="1"/>
                <w:szCs w:val="1"/>
                <w:color w:val="auto"/>
              </w:rPr>
            </w:pPr>
          </w:p>
        </w:tc>
      </w:tr>
      <w:tr>
        <w:trPr>
          <w:trHeight w:val="22"/>
        </w:trPr>
        <w:tc>
          <w:tcPr>
            <w:tcW w:w="808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160" w:type="dxa"/>
            <w:vAlign w:val="bottom"/>
          </w:tcPr>
          <w:p>
            <w:pPr>
              <w:spacing w:after="0"/>
              <w:rPr>
                <w:sz w:val="24"/>
                <w:szCs w:val="24"/>
                <w:color w:val="auto"/>
              </w:rPr>
            </w:pPr>
          </w:p>
        </w:tc>
        <w:tc>
          <w:tcPr>
            <w:tcW w:w="6920" w:type="dxa"/>
            <w:vAlign w:val="bottom"/>
          </w:tcPr>
          <w:p>
            <w:pPr>
              <w:ind w:left="4460"/>
              <w:spacing w:after="0"/>
              <w:rPr>
                <w:sz w:val="20"/>
                <w:szCs w:val="20"/>
                <w:color w:val="auto"/>
              </w:rPr>
            </w:pPr>
            <w:r>
              <w:rPr>
                <w:rFonts w:ascii="Arial" w:cs="Arial" w:eastAsia="Arial" w:hAnsi="Arial"/>
                <w:sz w:val="18"/>
                <w:szCs w:val="18"/>
                <w:color w:val="auto"/>
              </w:rPr>
              <w:t>S-22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-2564765</wp:posOffset>
            </wp:positionV>
            <wp:extent cx="586359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63590" cy="13716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-2590165</wp:posOffset>
            </wp:positionV>
            <wp:extent cx="5863590" cy="19970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3590" cy="199707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THE COMMON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common units represent limited partner interests in us. The holders of units are entitled to participate in partnership distributions and exercise the rights and privileges available to limited partners under our Partnership Agreement. No certificates will be issued to the unitholders in respect of the common units. For a description of the rights and privileges of limited partners under our Partnership Agreement, including voting rights, see "Summary of Our Partnership Agreement" found elsewhere in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American Stock Transfer &amp; Trust, LLC serves as registrar and transfer agent for the common units. We pay all fees charged by the transfer agent for transfers of common units, except the following, which must be paid by unitholders:</w:t>
      </w:r>
    </w:p>
    <w:p>
      <w:pPr>
        <w:spacing w:after="0" w:line="186"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surety bond premiums to replace lost or stolen certificates, taxes and other governmental charges;</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special charges for services requested by a holder of a common unit; and</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other similar fees or charges.</w:t>
      </w:r>
    </w:p>
    <w:p>
      <w:pPr>
        <w:spacing w:after="0" w:line="239"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There is no charge to unitholders for disbursements of our cash distributions. We will indemnify the transfer agent, its agents and each of their stockholders, directors, officers and employees against all claims and losses that may arise out of acts performed or omitted for their activities in that capacity, except for any liability due to any gross negligence or intentional misconduct of the indemnified person or entity.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225"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transfer agent may resign, by notice to us, or be removed by us. The resignation or removal of the transfer agent will become effective upon our appointment of a successor transfer agent and registrar and its acceptance of the appointment. If a successor has not been appointed or has not accepted its appointment within 30 days after notice of the resignation or removal, our general partner may, at the direction of our board of directors, act as the transfer agent and registrar until a successor is appointed.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By transfer of common units in accordance with our Partnership Agreement, each transferee of common units will be admitted as a limited partner with respect to the common units transferred when such transfer and admission is reflected in our books and records. Each transferee:</w:t>
      </w:r>
    </w:p>
    <w:p>
      <w:pPr>
        <w:sectPr>
          <w:pgSz w:w="11900" w:h="16838" w:orient="portrait"/>
          <w:cols w:equalWidth="0" w:num="1">
            <w:col w:w="11540"/>
          </w:cols>
          <w:pgMar w:left="160" w:top="51" w:right="199" w:bottom="144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represents that the transferee has the capacity, power and authority to become bound by our Partnership Agreement;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2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gives the consents and approvals contained in our Partnership Agreement, such as the approval of all transactions and agreements we entered into in connection with our formation and the IPO.</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2">
            <w:col w:w="800" w:space="280"/>
            <w:col w:w="10460"/>
          </w:cols>
          <w:pgMar w:left="160" w:top="51" w:right="1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1"/>
        <w:spacing w:after="0" w:line="331" w:lineRule="auto"/>
        <w:rPr>
          <w:sz w:val="20"/>
          <w:szCs w:val="20"/>
          <w:color w:val="auto"/>
        </w:rPr>
      </w:pPr>
      <w:r>
        <w:rPr>
          <w:rFonts w:ascii="Arial" w:cs="Arial" w:eastAsia="Arial" w:hAnsi="Arial"/>
          <w:sz w:val="16"/>
          <w:szCs w:val="16"/>
          <w:color w:val="auto"/>
        </w:rPr>
        <w:t>A transferee will become a substituted limited partner of our partnership for the transferred common units automatically upon the recording of the transfer on our books and records. Our general partner will cause any transfers to be recorded on our books and records no less frequently than quarterly.</w:t>
      </w:r>
    </w:p>
    <w:p>
      <w:pPr>
        <w:spacing w:after="0" w:line="141" w:lineRule="exact"/>
        <w:rPr>
          <w:sz w:val="20"/>
          <w:szCs w:val="20"/>
          <w:color w:val="auto"/>
        </w:rPr>
      </w:pPr>
    </w:p>
    <w:p>
      <w:pPr>
        <w:ind w:right="360" w:firstLine="348"/>
        <w:spacing w:after="0" w:line="331" w:lineRule="auto"/>
        <w:rPr>
          <w:sz w:val="20"/>
          <w:szCs w:val="20"/>
          <w:color w:val="auto"/>
        </w:rPr>
      </w:pPr>
      <w:r>
        <w:rPr>
          <w:rFonts w:ascii="Arial" w:cs="Arial" w:eastAsia="Arial" w:hAnsi="Arial"/>
          <w:sz w:val="16"/>
          <w:szCs w:val="16"/>
          <w:color w:val="auto"/>
        </w:rPr>
        <w:t>We may, at our discretion,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141" w:lineRule="exact"/>
        <w:rPr>
          <w:sz w:val="20"/>
          <w:szCs w:val="20"/>
          <w:color w:val="auto"/>
        </w:rPr>
      </w:pPr>
    </w:p>
    <w:p>
      <w:pPr>
        <w:ind w:right="180" w:firstLine="351"/>
        <w:spacing w:after="0" w:line="331" w:lineRule="auto"/>
        <w:rPr>
          <w:sz w:val="20"/>
          <w:szCs w:val="20"/>
          <w:color w:val="auto"/>
        </w:rPr>
      </w:pPr>
      <w:r>
        <w:rPr>
          <w:rFonts w:ascii="Arial" w:cs="Arial" w:eastAsia="Arial" w:hAnsi="Arial"/>
          <w:sz w:val="16"/>
          <w:szCs w:val="16"/>
          <w:color w:val="auto"/>
        </w:rPr>
        <w:t>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w:t>
      </w:r>
    </w:p>
    <w:p>
      <w:pPr>
        <w:spacing w:after="0" w:line="14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Until a common unit has been transferred on our books, we and the transfer agent may treat the record holder of the unit as the absolute owner for all purposes, except as otherwise required by law or stock exchange regulations.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See "Item 8. Financial Informationâ€”Our Cash Distribution Policy" beginning on page 125 of our Annual Report on Form 20-F for descriptions of the general partner interest and the incentive distribution rights and "â€”Summary of Our Partnership Agreement" found elsewhere in this prospectus for a description of the Series A Preference Units, Series B Preference Units and Series C Preference Units.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following is a summary of the material provisions of the Partnership Agreement, which is qualified in its entirety by the terms and conditions of the Partnership Agreement, which is incorporated herein by reference. We will provide prospective investors with a copy of the Partnership Agreement upon written request at no charge.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organized on January 23, 2014 and have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Marshall Islands Act.</w:t>
      </w:r>
    </w:p>
    <w:p>
      <w:pPr>
        <w:spacing w:after="0" w:line="186"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Partnership Agreement specifies the manner in which we will make cash distributions to holders of our common units and other partnership interests, including to the holders of Series A Preference Units, Series B Preference Units and Series C Preference Units, our incentive distribution rights, as well as to our general partner in respect of its general partner interest. Please see "Our Cash Distribution Policy and Restrictions on Distributions" on page 36 of the accompanying base prospectus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No holder of common units, Series A Preference Units, Series B Preference Units or Series C Preference Units is obligated to make additional capital contributions, except as described below under "â€”Limited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following is a summary of the unitholder vote required for approval of the matters specified below. Matters that require the approval of a "Unit Majority" require the approval of a majority of the common units voting as a single class. In voting their common units, our general partner and its affiliates will have no fiduciary duty or obligation whatsoever to us or the limited partners, including any duty to act in good faith or in the best interests of us or the limited partners.</w:t>
      </w:r>
    </w:p>
    <w:p>
      <w:pPr>
        <w:spacing w:after="0" w:line="160"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U.S. Internal Revenue Code of 1986, as amended, or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 Series B Preference Units or Series C Preference Units.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Code.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2"/>
          </w:tcPr>
          <w:p>
            <w:pPr>
              <w:spacing w:after="0"/>
              <w:rPr>
                <w:sz w:val="20"/>
                <w:szCs w:val="20"/>
                <w:color w:val="auto"/>
              </w:rPr>
            </w:pPr>
            <w:r>
              <w:rPr>
                <w:rFonts w:ascii="Arial" w:cs="Arial" w:eastAsia="Arial" w:hAnsi="Arial"/>
                <w:sz w:val="13"/>
                <w:szCs w:val="13"/>
                <w:b w:val="1"/>
                <w:bCs w:val="1"/>
                <w:color w:val="auto"/>
              </w:rPr>
              <w:t>Action</w:t>
            </w:r>
          </w:p>
        </w:tc>
        <w:tc>
          <w:tcPr>
            <w:tcW w:w="580" w:type="dxa"/>
            <w:vAlign w:val="bottom"/>
          </w:tcPr>
          <w:p>
            <w:pPr>
              <w:spacing w:after="0"/>
              <w:rPr>
                <w:sz w:val="14"/>
                <w:szCs w:val="14"/>
                <w:color w:val="auto"/>
              </w:rPr>
            </w:pPr>
          </w:p>
        </w:tc>
        <w:tc>
          <w:tcPr>
            <w:tcW w:w="5540" w:type="dxa"/>
            <w:vAlign w:val="bottom"/>
          </w:tcPr>
          <w:p>
            <w:pPr>
              <w:ind w:left="1360"/>
              <w:spacing w:after="0"/>
              <w:rPr>
                <w:sz w:val="20"/>
                <w:szCs w:val="20"/>
                <w:color w:val="auto"/>
              </w:rPr>
            </w:pPr>
            <w:r>
              <w:rPr>
                <w:rFonts w:ascii="Arial" w:cs="Arial" w:eastAsia="Arial" w:hAnsi="Arial"/>
                <w:sz w:val="13"/>
                <w:szCs w:val="13"/>
                <w:b w:val="1"/>
                <w:bCs w:val="1"/>
                <w:color w:val="auto"/>
              </w:rPr>
              <w:t>Unitholder Approval Required and Voting Rights</w:t>
            </w:r>
          </w:p>
        </w:tc>
      </w:tr>
      <w:tr>
        <w:trPr>
          <w:trHeight w:val="20"/>
        </w:trPr>
        <w:tc>
          <w:tcPr>
            <w:tcW w:w="38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40" w:type="dxa"/>
            <w:vAlign w:val="bottom"/>
            <w:shd w:val="clear" w:color="auto" w:fill="000000"/>
          </w:tcPr>
          <w:p>
            <w:pPr>
              <w:spacing w:after="0" w:line="20" w:lineRule="exact"/>
              <w:rPr>
                <w:sz w:val="1"/>
                <w:szCs w:val="1"/>
                <w:color w:val="auto"/>
              </w:rPr>
            </w:pPr>
          </w:p>
        </w:tc>
      </w:tr>
      <w:tr>
        <w:trPr>
          <w:trHeight w:val="201"/>
        </w:trPr>
        <w:tc>
          <w:tcPr>
            <w:tcW w:w="5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additional common units or other limited partner interests</w:t>
            </w:r>
          </w:p>
        </w:tc>
        <w:tc>
          <w:tcPr>
            <w:tcW w:w="58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 approval rights; general partner approval required for all issuances not</w:t>
            </w:r>
          </w:p>
        </w:tc>
      </w:tr>
      <w:tr>
        <w:trPr>
          <w:trHeight w:val="216"/>
        </w:trPr>
        <w:tc>
          <w:tcPr>
            <w:tcW w:w="3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5"/>
              </w:rPr>
              <w:t>reasonably expected to be accretive within twelve months of issuance or</w:t>
            </w:r>
          </w:p>
        </w:tc>
      </w:tr>
      <w:tr>
        <w:trPr>
          <w:trHeight w:val="216"/>
        </w:trPr>
        <w:tc>
          <w:tcPr>
            <w:tcW w:w="3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89"/>
              </w:rPr>
              <w:t>which would otherwise have a material adverse impact on the general partner</w:t>
            </w:r>
          </w:p>
        </w:tc>
      </w:tr>
      <w:tr>
        <w:trPr>
          <w:trHeight w:val="224"/>
        </w:trPr>
        <w:tc>
          <w:tcPr>
            <w:tcW w:w="380" w:type="dxa"/>
            <w:vAlign w:val="bottom"/>
            <w:shd w:val="clear" w:color="auto" w:fill="CCEEFF"/>
          </w:tcPr>
          <w:p>
            <w:pPr>
              <w:spacing w:after="0"/>
              <w:rPr>
                <w:sz w:val="19"/>
                <w:szCs w:val="19"/>
                <w:color w:val="auto"/>
              </w:rPr>
            </w:pPr>
          </w:p>
        </w:tc>
        <w:tc>
          <w:tcPr>
            <w:tcW w:w="5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or its interest in our partnership.</w:t>
            </w:r>
          </w:p>
        </w:tc>
      </w:tr>
      <w:tr>
        <w:trPr>
          <w:trHeight w:val="424"/>
        </w:trPr>
        <w:tc>
          <w:tcPr>
            <w:tcW w:w="5440" w:type="dxa"/>
            <w:vAlign w:val="bottom"/>
            <w:gridSpan w:val="2"/>
          </w:tcPr>
          <w:p>
            <w:pPr>
              <w:spacing w:after="0"/>
              <w:rPr>
                <w:sz w:val="20"/>
                <w:szCs w:val="20"/>
                <w:color w:val="auto"/>
              </w:rPr>
            </w:pPr>
            <w:r>
              <w:rPr>
                <w:rFonts w:ascii="Arial" w:cs="Arial" w:eastAsia="Arial" w:hAnsi="Arial"/>
                <w:sz w:val="18"/>
                <w:szCs w:val="18"/>
                <w:color w:val="auto"/>
              </w:rPr>
              <w:t>Amendment of the Partnership Agreement</w:t>
            </w:r>
          </w:p>
        </w:tc>
        <w:tc>
          <w:tcPr>
            <w:tcW w:w="58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6"/>
              </w:rPr>
              <w:t>Certain amendments may be made by our board of directors without the</w:t>
            </w:r>
          </w:p>
        </w:tc>
      </w:tr>
      <w:tr>
        <w:trPr>
          <w:trHeight w:val="216"/>
        </w:trPr>
        <w:tc>
          <w:tcPr>
            <w:tcW w:w="3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89"/>
              </w:rPr>
              <w:t>approval of the unitholders. Other amendments generally require the approval</w:t>
            </w:r>
          </w:p>
        </w:tc>
      </w:tr>
      <w:tr>
        <w:trPr>
          <w:trHeight w:val="223"/>
        </w:trPr>
        <w:tc>
          <w:tcPr>
            <w:tcW w:w="38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8"/>
              </w:rPr>
              <w:t>of a Unit Majority. See "â€”Amendment of the Partnership Agreement".</w:t>
            </w:r>
          </w:p>
        </w:tc>
      </w:tr>
      <w:tr>
        <w:trPr>
          <w:trHeight w:val="425"/>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Merger of our partnership or the sale of all or substantially all of our assets</w:t>
            </w:r>
          </w:p>
        </w:tc>
        <w:tc>
          <w:tcPr>
            <w:tcW w:w="580" w:type="dxa"/>
            <w:vAlign w:val="bottom"/>
            <w:shd w:val="clear" w:color="auto" w:fill="CCEEFF"/>
          </w:tcPr>
          <w:p>
            <w:pPr>
              <w:spacing w:after="0"/>
              <w:rPr>
                <w:sz w:val="24"/>
                <w:szCs w:val="2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1"/>
              </w:rPr>
              <w:t>Unit Majority and approval of our general partner and our board of directors.</w:t>
            </w:r>
          </w:p>
        </w:tc>
      </w:tr>
      <w:tr>
        <w:trPr>
          <w:trHeight w:val="224"/>
        </w:trPr>
        <w:tc>
          <w:tcPr>
            <w:tcW w:w="380" w:type="dxa"/>
            <w:vAlign w:val="bottom"/>
            <w:shd w:val="clear" w:color="auto" w:fill="CCEEFF"/>
          </w:tcPr>
          <w:p>
            <w:pPr>
              <w:spacing w:after="0"/>
              <w:rPr>
                <w:sz w:val="19"/>
                <w:szCs w:val="19"/>
                <w:color w:val="auto"/>
              </w:rPr>
            </w:pPr>
          </w:p>
        </w:tc>
        <w:tc>
          <w:tcPr>
            <w:tcW w:w="5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See "â€”Merger, Sale, Conversion or Other Disposition of Assets".</w:t>
            </w:r>
          </w:p>
        </w:tc>
      </w:tr>
      <w:tr>
        <w:trPr>
          <w:trHeight w:val="424"/>
        </w:trPr>
        <w:tc>
          <w:tcPr>
            <w:tcW w:w="5440" w:type="dxa"/>
            <w:vAlign w:val="bottom"/>
            <w:gridSpan w:val="2"/>
          </w:tcPr>
          <w:p>
            <w:pPr>
              <w:spacing w:after="0"/>
              <w:rPr>
                <w:sz w:val="20"/>
                <w:szCs w:val="20"/>
                <w:color w:val="auto"/>
              </w:rPr>
            </w:pPr>
            <w:r>
              <w:rPr>
                <w:rFonts w:ascii="Arial" w:cs="Arial" w:eastAsia="Arial" w:hAnsi="Arial"/>
                <w:sz w:val="18"/>
                <w:szCs w:val="18"/>
                <w:color w:val="auto"/>
              </w:rPr>
              <w:t>Dissolution of our partnership</w:t>
            </w:r>
          </w:p>
        </w:tc>
        <w:tc>
          <w:tcPr>
            <w:tcW w:w="58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1"/>
              </w:rPr>
              <w:t>Unit Majority and approval of our general partner and our board of directors.</w:t>
            </w:r>
          </w:p>
        </w:tc>
      </w:tr>
      <w:tr>
        <w:trPr>
          <w:trHeight w:val="223"/>
        </w:trPr>
        <w:tc>
          <w:tcPr>
            <w:tcW w:w="38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See "â€”Termination and Dissolution".</w:t>
            </w:r>
          </w:p>
        </w:tc>
      </w:tr>
      <w:tr>
        <w:trPr>
          <w:trHeight w:val="433"/>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Reconstitution of our partnership upon dissolution</w:t>
            </w:r>
          </w:p>
        </w:tc>
        <w:tc>
          <w:tcPr>
            <w:tcW w:w="580" w:type="dxa"/>
            <w:vAlign w:val="bottom"/>
            <w:shd w:val="clear" w:color="auto" w:fill="CCEEFF"/>
          </w:tcPr>
          <w:p>
            <w:pPr>
              <w:spacing w:after="0"/>
              <w:rPr>
                <w:sz w:val="24"/>
                <w:szCs w:val="2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Unit Majority. See "â€”Termination and Dissolution".</w:t>
            </w:r>
          </w:p>
        </w:tc>
      </w:tr>
      <w:tr>
        <w:trPr>
          <w:trHeight w:val="424"/>
        </w:trPr>
        <w:tc>
          <w:tcPr>
            <w:tcW w:w="5440" w:type="dxa"/>
            <w:vAlign w:val="bottom"/>
            <w:gridSpan w:val="2"/>
          </w:tcPr>
          <w:p>
            <w:pPr>
              <w:spacing w:after="0"/>
              <w:rPr>
                <w:sz w:val="20"/>
                <w:szCs w:val="20"/>
                <w:color w:val="auto"/>
              </w:rPr>
            </w:pPr>
            <w:r>
              <w:rPr>
                <w:rFonts w:ascii="Arial" w:cs="Arial" w:eastAsia="Arial" w:hAnsi="Arial"/>
                <w:sz w:val="18"/>
                <w:szCs w:val="18"/>
                <w:color w:val="auto"/>
              </w:rPr>
              <w:t>Withdrawal of our general partner</w:t>
            </w:r>
          </w:p>
        </w:tc>
        <w:tc>
          <w:tcPr>
            <w:tcW w:w="58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2"/>
              </w:rPr>
              <w:t>Under most circumstances, the approval of a majority of the common units,</w:t>
            </w:r>
          </w:p>
        </w:tc>
      </w:tr>
      <w:tr>
        <w:trPr>
          <w:trHeight w:val="216"/>
        </w:trPr>
        <w:tc>
          <w:tcPr>
            <w:tcW w:w="3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7"/>
              </w:rPr>
              <w:t>excluding common units held by our general partner and its affiliates, is</w:t>
            </w:r>
          </w:p>
        </w:tc>
      </w:tr>
      <w:tr>
        <w:trPr>
          <w:trHeight w:val="216"/>
        </w:trPr>
        <w:tc>
          <w:tcPr>
            <w:tcW w:w="3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89"/>
              </w:rPr>
              <w:t>required for the withdrawal of our general partner prior to March 31, 2024 in a</w:t>
            </w:r>
          </w:p>
        </w:tc>
      </w:tr>
      <w:tr>
        <w:trPr>
          <w:trHeight w:val="216"/>
        </w:trPr>
        <w:tc>
          <w:tcPr>
            <w:tcW w:w="3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88"/>
              </w:rPr>
              <w:t>manner that would cause a dissolution of our partnership. See "â€”Withdrawal</w:t>
            </w:r>
          </w:p>
        </w:tc>
      </w:tr>
      <w:tr>
        <w:trPr>
          <w:trHeight w:val="222"/>
        </w:trPr>
        <w:tc>
          <w:tcPr>
            <w:tcW w:w="38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or Removal of Our General Partner".</w:t>
            </w:r>
          </w:p>
        </w:tc>
      </w:tr>
      <w:tr>
        <w:trPr>
          <w:trHeight w:val="432"/>
        </w:trPr>
        <w:tc>
          <w:tcPr>
            <w:tcW w:w="3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6120" w:type="dxa"/>
            <w:vAlign w:val="bottom"/>
            <w:gridSpan w:val="2"/>
          </w:tcPr>
          <w:p>
            <w:pPr>
              <w:ind w:left="180"/>
              <w:spacing w:after="0"/>
              <w:rPr>
                <w:sz w:val="20"/>
                <w:szCs w:val="20"/>
                <w:color w:val="auto"/>
              </w:rPr>
            </w:pPr>
            <w:r>
              <w:rPr>
                <w:rFonts w:ascii="Arial" w:cs="Arial" w:eastAsia="Arial" w:hAnsi="Arial"/>
                <w:sz w:val="18"/>
                <w:szCs w:val="18"/>
                <w:color w:val="auto"/>
              </w:rPr>
              <w:t>S-26</w:t>
            </w:r>
          </w:p>
        </w:tc>
      </w:tr>
      <w:tr>
        <w:trPr>
          <w:trHeight w:val="228"/>
        </w:trPr>
        <w:tc>
          <w:tcPr>
            <w:tcW w:w="38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Action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Removal of our general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3514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Not less than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outstanding common units, including common units held by our general partner and its affiliates, voting together as a single class. See "â€”Withdrawal or Removal of Our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-438150</wp:posOffset>
            </wp:positionV>
            <wp:extent cx="7338060" cy="436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38060" cy="4368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540"/>
          </w:cols>
          <w:pgMar w:left="160" w:top="51" w:right="179" w:bottom="1440" w:gutter="0" w:footer="0" w:header="0"/>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Transfer of our general partner interest in us</w:t>
            </w:r>
          </w:p>
        </w:tc>
        <w:tc>
          <w:tcPr>
            <w:tcW w:w="6680" w:type="dxa"/>
            <w:vAlign w:val="bottom"/>
          </w:tcPr>
          <w:p>
            <w:pPr>
              <w:ind w:left="1140"/>
              <w:spacing w:after="0"/>
              <w:rPr>
                <w:sz w:val="20"/>
                <w:szCs w:val="20"/>
                <w:color w:val="auto"/>
              </w:rPr>
            </w:pPr>
            <w:r>
              <w:rPr>
                <w:rFonts w:ascii="Arial" w:cs="Arial" w:eastAsia="Arial" w:hAnsi="Arial"/>
                <w:sz w:val="18"/>
                <w:szCs w:val="18"/>
                <w:color w:val="auto"/>
                <w:w w:val="88"/>
              </w:rPr>
              <w:t>Our general partner may transfer all, but not less than all, of its general partner</w:t>
            </w:r>
          </w:p>
        </w:tc>
      </w:tr>
      <w:tr>
        <w:trPr>
          <w:trHeight w:val="216"/>
        </w:trPr>
        <w:tc>
          <w:tcPr>
            <w:tcW w:w="4880" w:type="dxa"/>
            <w:vAlign w:val="bottom"/>
          </w:tcPr>
          <w:p>
            <w:pPr>
              <w:spacing w:after="0"/>
              <w:rPr>
                <w:sz w:val="18"/>
                <w:szCs w:val="18"/>
                <w:color w:val="auto"/>
              </w:rPr>
            </w:pPr>
          </w:p>
        </w:tc>
        <w:tc>
          <w:tcPr>
            <w:tcW w:w="6680" w:type="dxa"/>
            <w:vAlign w:val="bottom"/>
          </w:tcPr>
          <w:p>
            <w:pPr>
              <w:ind w:left="1140"/>
              <w:spacing w:after="0"/>
              <w:rPr>
                <w:sz w:val="20"/>
                <w:szCs w:val="20"/>
                <w:color w:val="auto"/>
              </w:rPr>
            </w:pPr>
            <w:r>
              <w:rPr>
                <w:rFonts w:ascii="Arial" w:cs="Arial" w:eastAsia="Arial" w:hAnsi="Arial"/>
                <w:sz w:val="18"/>
                <w:szCs w:val="18"/>
                <w:color w:val="auto"/>
                <w:w w:val="98"/>
              </w:rPr>
              <w:t>interest in us without a vote of our common unitholders or other limited</w:t>
            </w:r>
          </w:p>
        </w:tc>
      </w:tr>
      <w:tr>
        <w:trPr>
          <w:trHeight w:val="216"/>
        </w:trPr>
        <w:tc>
          <w:tcPr>
            <w:tcW w:w="4880" w:type="dxa"/>
            <w:vAlign w:val="bottom"/>
          </w:tcPr>
          <w:p>
            <w:pPr>
              <w:spacing w:after="0"/>
              <w:rPr>
                <w:sz w:val="18"/>
                <w:szCs w:val="18"/>
                <w:color w:val="auto"/>
              </w:rPr>
            </w:pPr>
          </w:p>
        </w:tc>
        <w:tc>
          <w:tcPr>
            <w:tcW w:w="6680" w:type="dxa"/>
            <w:vAlign w:val="bottom"/>
          </w:tcPr>
          <w:p>
            <w:pPr>
              <w:ind w:left="1140"/>
              <w:spacing w:after="0"/>
              <w:rPr>
                <w:sz w:val="20"/>
                <w:szCs w:val="20"/>
                <w:color w:val="auto"/>
              </w:rPr>
            </w:pPr>
            <w:r>
              <w:rPr>
                <w:rFonts w:ascii="Arial" w:cs="Arial" w:eastAsia="Arial" w:hAnsi="Arial"/>
                <w:sz w:val="18"/>
                <w:szCs w:val="18"/>
                <w:color w:val="auto"/>
                <w:w w:val="96"/>
              </w:rPr>
              <w:t>partners to an affiliate or another person in connection with its merger or</w:t>
            </w:r>
          </w:p>
        </w:tc>
      </w:tr>
      <w:tr>
        <w:trPr>
          <w:trHeight w:val="216"/>
        </w:trPr>
        <w:tc>
          <w:tcPr>
            <w:tcW w:w="4880" w:type="dxa"/>
            <w:vAlign w:val="bottom"/>
          </w:tcPr>
          <w:p>
            <w:pPr>
              <w:spacing w:after="0"/>
              <w:rPr>
                <w:sz w:val="18"/>
                <w:szCs w:val="18"/>
                <w:color w:val="auto"/>
              </w:rPr>
            </w:pPr>
          </w:p>
        </w:tc>
        <w:tc>
          <w:tcPr>
            <w:tcW w:w="6680" w:type="dxa"/>
            <w:vAlign w:val="bottom"/>
          </w:tcPr>
          <w:p>
            <w:pPr>
              <w:ind w:left="1140"/>
              <w:spacing w:after="0"/>
              <w:rPr>
                <w:sz w:val="20"/>
                <w:szCs w:val="20"/>
                <w:color w:val="auto"/>
              </w:rPr>
            </w:pPr>
            <w:r>
              <w:rPr>
                <w:rFonts w:ascii="Arial" w:cs="Arial" w:eastAsia="Arial" w:hAnsi="Arial"/>
                <w:sz w:val="18"/>
                <w:szCs w:val="18"/>
                <w:color w:val="auto"/>
                <w:w w:val="95"/>
              </w:rPr>
              <w:t>consolidation with or into, or sale of all or substantially all of its assets to,</w:t>
            </w:r>
          </w:p>
        </w:tc>
      </w:tr>
      <w:tr>
        <w:trPr>
          <w:trHeight w:val="216"/>
        </w:trPr>
        <w:tc>
          <w:tcPr>
            <w:tcW w:w="4880" w:type="dxa"/>
            <w:vAlign w:val="bottom"/>
          </w:tcPr>
          <w:p>
            <w:pPr>
              <w:spacing w:after="0"/>
              <w:rPr>
                <w:sz w:val="18"/>
                <w:szCs w:val="18"/>
                <w:color w:val="auto"/>
              </w:rPr>
            </w:pPr>
          </w:p>
        </w:tc>
        <w:tc>
          <w:tcPr>
            <w:tcW w:w="6680" w:type="dxa"/>
            <w:vAlign w:val="bottom"/>
          </w:tcPr>
          <w:p>
            <w:pPr>
              <w:ind w:left="1140"/>
              <w:spacing w:after="0"/>
              <w:rPr>
                <w:sz w:val="20"/>
                <w:szCs w:val="20"/>
                <w:color w:val="auto"/>
              </w:rPr>
            </w:pPr>
            <w:r>
              <w:rPr>
                <w:rFonts w:ascii="Arial" w:cs="Arial" w:eastAsia="Arial" w:hAnsi="Arial"/>
                <w:sz w:val="18"/>
                <w:szCs w:val="18"/>
                <w:color w:val="auto"/>
                <w:w w:val="96"/>
              </w:rPr>
              <w:t>such person. The approval of a majority of the common units, excluding</w:t>
            </w:r>
          </w:p>
        </w:tc>
      </w:tr>
      <w:tr>
        <w:trPr>
          <w:trHeight w:val="216"/>
        </w:trPr>
        <w:tc>
          <w:tcPr>
            <w:tcW w:w="4880" w:type="dxa"/>
            <w:vAlign w:val="bottom"/>
          </w:tcPr>
          <w:p>
            <w:pPr>
              <w:spacing w:after="0"/>
              <w:rPr>
                <w:sz w:val="18"/>
                <w:szCs w:val="18"/>
                <w:color w:val="auto"/>
              </w:rPr>
            </w:pPr>
          </w:p>
        </w:tc>
        <w:tc>
          <w:tcPr>
            <w:tcW w:w="6680" w:type="dxa"/>
            <w:vAlign w:val="bottom"/>
          </w:tcPr>
          <w:p>
            <w:pPr>
              <w:ind w:left="1140"/>
              <w:spacing w:after="0"/>
              <w:rPr>
                <w:sz w:val="20"/>
                <w:szCs w:val="20"/>
                <w:color w:val="auto"/>
              </w:rPr>
            </w:pPr>
            <w:r>
              <w:rPr>
                <w:rFonts w:ascii="Arial" w:cs="Arial" w:eastAsia="Arial" w:hAnsi="Arial"/>
                <w:sz w:val="18"/>
                <w:szCs w:val="18"/>
                <w:color w:val="auto"/>
                <w:w w:val="88"/>
              </w:rPr>
              <w:t>common units held by our general partner and its affiliates, is required in other</w:t>
            </w:r>
          </w:p>
        </w:tc>
      </w:tr>
      <w:tr>
        <w:trPr>
          <w:trHeight w:val="216"/>
        </w:trPr>
        <w:tc>
          <w:tcPr>
            <w:tcW w:w="4880" w:type="dxa"/>
            <w:vAlign w:val="bottom"/>
          </w:tcPr>
          <w:p>
            <w:pPr>
              <w:spacing w:after="0"/>
              <w:rPr>
                <w:sz w:val="18"/>
                <w:szCs w:val="18"/>
                <w:color w:val="auto"/>
              </w:rPr>
            </w:pPr>
          </w:p>
        </w:tc>
        <w:tc>
          <w:tcPr>
            <w:tcW w:w="6680" w:type="dxa"/>
            <w:vAlign w:val="bottom"/>
          </w:tcPr>
          <w:p>
            <w:pPr>
              <w:ind w:left="1140"/>
              <w:spacing w:after="0"/>
              <w:rPr>
                <w:sz w:val="20"/>
                <w:szCs w:val="20"/>
                <w:color w:val="auto"/>
              </w:rPr>
            </w:pPr>
            <w:r>
              <w:rPr>
                <w:rFonts w:ascii="Arial" w:cs="Arial" w:eastAsia="Arial" w:hAnsi="Arial"/>
                <w:sz w:val="18"/>
                <w:szCs w:val="18"/>
                <w:color w:val="auto"/>
                <w:w w:val="88"/>
              </w:rPr>
              <w:t>circumstances for a transfer of the general partner interest to a third party prior</w:t>
            </w:r>
          </w:p>
        </w:tc>
      </w:tr>
      <w:tr>
        <w:trPr>
          <w:trHeight w:val="223"/>
        </w:trPr>
        <w:tc>
          <w:tcPr>
            <w:tcW w:w="4880" w:type="dxa"/>
            <w:vAlign w:val="bottom"/>
          </w:tcPr>
          <w:p>
            <w:pPr>
              <w:spacing w:after="0"/>
              <w:rPr>
                <w:sz w:val="19"/>
                <w:szCs w:val="19"/>
                <w:color w:val="auto"/>
              </w:rPr>
            </w:pPr>
          </w:p>
        </w:tc>
        <w:tc>
          <w:tcPr>
            <w:tcW w:w="6680" w:type="dxa"/>
            <w:vAlign w:val="bottom"/>
          </w:tcPr>
          <w:p>
            <w:pPr>
              <w:ind w:left="1140"/>
              <w:spacing w:after="0"/>
              <w:rPr>
                <w:sz w:val="20"/>
                <w:szCs w:val="20"/>
                <w:color w:val="auto"/>
              </w:rPr>
            </w:pPr>
            <w:r>
              <w:rPr>
                <w:rFonts w:ascii="Arial" w:cs="Arial" w:eastAsia="Arial" w:hAnsi="Arial"/>
                <w:sz w:val="18"/>
                <w:szCs w:val="18"/>
                <w:color w:val="auto"/>
              </w:rPr>
              <w:t>to March 31, 2024. See "â€”Transfer of General Partner Interest".</w:t>
            </w:r>
          </w:p>
        </w:tc>
      </w:tr>
      <w:tr>
        <w:trPr>
          <w:trHeight w:val="42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Transfer of incentive distribution rights</w:t>
            </w:r>
          </w:p>
        </w:tc>
        <w:tc>
          <w:tcPr>
            <w:tcW w:w="668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3"/>
              </w:rPr>
              <w:t>Except for transfers to an affiliate or another person as part of a merger or</w:t>
            </w:r>
          </w:p>
        </w:tc>
      </w:tr>
      <w:tr>
        <w:trPr>
          <w:trHeight w:val="216"/>
        </w:trPr>
        <w:tc>
          <w:tcPr>
            <w:tcW w:w="4880" w:type="dxa"/>
            <w:vAlign w:val="bottom"/>
            <w:shd w:val="clear" w:color="auto" w:fill="CCEEFF"/>
          </w:tcPr>
          <w:p>
            <w:pPr>
              <w:spacing w:after="0"/>
              <w:rPr>
                <w:sz w:val="18"/>
                <w:szCs w:val="18"/>
                <w:color w:val="auto"/>
              </w:rPr>
            </w:pPr>
          </w:p>
        </w:tc>
        <w:tc>
          <w:tcPr>
            <w:tcW w:w="668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4"/>
              </w:rPr>
              <w:t>consolidation with or into, or sale of all or substantially all of the assets to,</w:t>
            </w:r>
          </w:p>
        </w:tc>
      </w:tr>
      <w:tr>
        <w:trPr>
          <w:trHeight w:val="216"/>
        </w:trPr>
        <w:tc>
          <w:tcPr>
            <w:tcW w:w="4880" w:type="dxa"/>
            <w:vAlign w:val="bottom"/>
            <w:shd w:val="clear" w:color="auto" w:fill="CCEEFF"/>
          </w:tcPr>
          <w:p>
            <w:pPr>
              <w:spacing w:after="0"/>
              <w:rPr>
                <w:sz w:val="18"/>
                <w:szCs w:val="18"/>
                <w:color w:val="auto"/>
              </w:rPr>
            </w:pPr>
          </w:p>
        </w:tc>
        <w:tc>
          <w:tcPr>
            <w:tcW w:w="668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7"/>
              </w:rPr>
              <w:t>such person, the approval of a majority of the common units, excluding</w:t>
            </w:r>
          </w:p>
        </w:tc>
      </w:tr>
      <w:tr>
        <w:trPr>
          <w:trHeight w:val="216"/>
        </w:trPr>
        <w:tc>
          <w:tcPr>
            <w:tcW w:w="4880" w:type="dxa"/>
            <w:vAlign w:val="bottom"/>
            <w:shd w:val="clear" w:color="auto" w:fill="CCEEFF"/>
          </w:tcPr>
          <w:p>
            <w:pPr>
              <w:spacing w:after="0"/>
              <w:rPr>
                <w:sz w:val="18"/>
                <w:szCs w:val="18"/>
                <w:color w:val="auto"/>
              </w:rPr>
            </w:pPr>
          </w:p>
        </w:tc>
        <w:tc>
          <w:tcPr>
            <w:tcW w:w="668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0"/>
              </w:rPr>
              <w:t>common units held by our general partner and its affiliates, voting separately</w:t>
            </w:r>
          </w:p>
        </w:tc>
      </w:tr>
      <w:tr>
        <w:trPr>
          <w:trHeight w:val="216"/>
        </w:trPr>
        <w:tc>
          <w:tcPr>
            <w:tcW w:w="4880" w:type="dxa"/>
            <w:vAlign w:val="bottom"/>
            <w:shd w:val="clear" w:color="auto" w:fill="CCEEFF"/>
          </w:tcPr>
          <w:p>
            <w:pPr>
              <w:spacing w:after="0"/>
              <w:rPr>
                <w:sz w:val="18"/>
                <w:szCs w:val="18"/>
                <w:color w:val="auto"/>
              </w:rPr>
            </w:pPr>
          </w:p>
        </w:tc>
        <w:tc>
          <w:tcPr>
            <w:tcW w:w="668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3"/>
              </w:rPr>
              <w:t>as a class, is required in most circumstances for a transfer of the incentive</w:t>
            </w:r>
          </w:p>
        </w:tc>
      </w:tr>
      <w:tr>
        <w:trPr>
          <w:trHeight w:val="216"/>
        </w:trPr>
        <w:tc>
          <w:tcPr>
            <w:tcW w:w="4880" w:type="dxa"/>
            <w:vAlign w:val="bottom"/>
            <w:shd w:val="clear" w:color="auto" w:fill="CCEEFF"/>
          </w:tcPr>
          <w:p>
            <w:pPr>
              <w:spacing w:after="0"/>
              <w:rPr>
                <w:sz w:val="18"/>
                <w:szCs w:val="18"/>
                <w:color w:val="auto"/>
              </w:rPr>
            </w:pPr>
          </w:p>
        </w:tc>
        <w:tc>
          <w:tcPr>
            <w:tcW w:w="668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2"/>
              </w:rPr>
              <w:t>distribution rights to a third party prior to March 31, 2019. See "â€”Transfer</w:t>
            </w:r>
          </w:p>
        </w:tc>
      </w:tr>
      <w:tr>
        <w:trPr>
          <w:trHeight w:val="224"/>
        </w:trPr>
        <w:tc>
          <w:tcPr>
            <w:tcW w:w="4880" w:type="dxa"/>
            <w:vAlign w:val="bottom"/>
            <w:shd w:val="clear" w:color="auto" w:fill="CCEEFF"/>
          </w:tcPr>
          <w:p>
            <w:pPr>
              <w:spacing w:after="0"/>
              <w:rPr>
                <w:sz w:val="19"/>
                <w:szCs w:val="19"/>
                <w:color w:val="auto"/>
              </w:rPr>
            </w:pPr>
          </w:p>
        </w:tc>
        <w:tc>
          <w:tcPr>
            <w:tcW w:w="66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of Incentive Distribution Rights".</w:t>
            </w:r>
          </w:p>
        </w:tc>
      </w:tr>
      <w:tr>
        <w:trPr>
          <w:trHeight w:val="424"/>
        </w:trPr>
        <w:tc>
          <w:tcPr>
            <w:tcW w:w="4880" w:type="dxa"/>
            <w:vAlign w:val="bottom"/>
          </w:tcPr>
          <w:p>
            <w:pPr>
              <w:spacing w:after="0"/>
              <w:rPr>
                <w:sz w:val="20"/>
                <w:szCs w:val="20"/>
                <w:color w:val="auto"/>
              </w:rPr>
            </w:pPr>
            <w:r>
              <w:rPr>
                <w:rFonts w:ascii="Arial" w:cs="Arial" w:eastAsia="Arial" w:hAnsi="Arial"/>
                <w:sz w:val="18"/>
                <w:szCs w:val="18"/>
                <w:color w:val="auto"/>
              </w:rPr>
              <w:t>Transfer of ownership interests in our general partner</w:t>
            </w:r>
          </w:p>
        </w:tc>
        <w:tc>
          <w:tcPr>
            <w:tcW w:w="6680" w:type="dxa"/>
            <w:vAlign w:val="bottom"/>
          </w:tcPr>
          <w:p>
            <w:pPr>
              <w:ind w:left="1140"/>
              <w:spacing w:after="0"/>
              <w:rPr>
                <w:sz w:val="20"/>
                <w:szCs w:val="20"/>
                <w:color w:val="auto"/>
              </w:rPr>
            </w:pPr>
            <w:r>
              <w:rPr>
                <w:rFonts w:ascii="Arial" w:cs="Arial" w:eastAsia="Arial" w:hAnsi="Arial"/>
                <w:sz w:val="18"/>
                <w:szCs w:val="18"/>
                <w:color w:val="auto"/>
                <w:w w:val="90"/>
              </w:rPr>
              <w:t>No approval required at any time. See "â€”Transfer of Ownership Interests in</w:t>
            </w:r>
          </w:p>
        </w:tc>
      </w:tr>
      <w:tr>
        <w:trPr>
          <w:trHeight w:val="222"/>
        </w:trPr>
        <w:tc>
          <w:tcPr>
            <w:tcW w:w="4880" w:type="dxa"/>
            <w:vAlign w:val="bottom"/>
          </w:tcPr>
          <w:p>
            <w:pPr>
              <w:spacing w:after="0"/>
              <w:rPr>
                <w:sz w:val="19"/>
                <w:szCs w:val="19"/>
                <w:color w:val="auto"/>
              </w:rPr>
            </w:pPr>
          </w:p>
        </w:tc>
        <w:tc>
          <w:tcPr>
            <w:tcW w:w="6680" w:type="dxa"/>
            <w:vAlign w:val="bottom"/>
          </w:tcPr>
          <w:p>
            <w:pPr>
              <w:ind w:left="1140"/>
              <w:spacing w:after="0"/>
              <w:rPr>
                <w:sz w:val="20"/>
                <w:szCs w:val="20"/>
                <w:color w:val="auto"/>
              </w:rPr>
            </w:pPr>
            <w:r>
              <w:rPr>
                <w:rFonts w:ascii="Arial" w:cs="Arial" w:eastAsia="Arial" w:hAnsi="Arial"/>
                <w:sz w:val="18"/>
                <w:szCs w:val="18"/>
                <w:color w:val="auto"/>
              </w:rPr>
              <w:t>General Partner".</w:t>
            </w:r>
          </w:p>
        </w:tc>
      </w:tr>
    </w:tbl>
    <w:p>
      <w:pPr>
        <w:spacing w:after="0" w:line="21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Holders of the Series A Preference Units, Series B Preference Units and Series C Preference Units generally have no voting rights. However, the consent of the holders of at least two-thirds of the outstanding Series A Preference Units, Series B Preference Units and Series C Preference Units, as applicable, voting as a single class, is required prior to any amendment to the Partnership Agreement that would have a material adverse effect on the existing terms of the Series A Preference Units, Series B Preference Units or Series C Preference Units, as applicable. In addition, unless we receive the affirmative vote or consent of the holders of at least two-thirds of the outstanding Series A Preference Units, Series B Preference Units and Series C Preference Units, voting together as a class with holders of any other Parity Securities (if applicable), we may not (i) issue any Parity Securities if the cumulative distributions on the Series A Preference Units, Series B Preference Units or Series C Preference Units are in arrears or (ii) create or issue any Senior Securities. Distributions payable on the Series A Preference Units, Series B Preference Units and Series C Preference Units will be considered to be in arrears for any quarterly period for which full cumulative distributions through the most recent distribution payment date have not been paid on all outstanding Series A Preference Units, Series B Preference Units and Series C Preference Units. In addition, in certain limited instances,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holders of Series A Preference Units, Series B Preference Units and Series C Preference Units (voting together as a class with any other Parity Securities) will be entitled to elect one director to our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Marshall Islands law. Our Partnership Agreement requires that any claims, suits, actions or proceedings:</w:t>
      </w:r>
    </w:p>
    <w:p>
      <w:pPr>
        <w:spacing w:after="0" w:line="248" w:lineRule="exact"/>
        <w:rPr>
          <w:sz w:val="20"/>
          <w:szCs w:val="20"/>
          <w:color w:val="auto"/>
        </w:rPr>
      </w:pPr>
    </w:p>
    <w:p>
      <w:pPr>
        <w:jc w:val="both"/>
        <w:ind w:left="1080" w:right="60" w:hanging="539"/>
        <w:spacing w:after="0" w:line="259"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ectPr>
          <w:pgSz w:w="11900" w:h="16838" w:orient="portrait"/>
          <w:cols w:equalWidth="0" w:num="1">
            <w:col w:w="11560"/>
          </w:cols>
          <w:pgMar w:left="160" w:top="51" w:right="179" w:bottom="1440" w:gutter="0" w:footer="0" w:header="0"/>
        </w:sect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brought in a derivative manner on our behalf;</w:t>
      </w:r>
    </w:p>
    <w:p>
      <w:pPr>
        <w:spacing w:after="0" w:line="23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limited partners;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asserting a claim arising pursuant to any provision of the Marshall Islands Act; 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asserting a claim governed by the internal affairs doctrine;</w:t>
      </w:r>
    </w:p>
    <w:p>
      <w:pPr>
        <w:spacing w:after="0" w:line="20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line="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common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common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ectPr>
          <w:pgSz w:w="11900" w:h="16838" w:orient="portrait"/>
          <w:cols w:equalWidth="0" w:num="1">
            <w:col w:w="11560"/>
          </w:cols>
          <w:pgMar w:left="160" w:top="51" w:right="179" w:bottom="1440" w:gutter="0" w:footer="0" w:header="0"/>
          <w:type w:val="continuous"/>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to remove or replace our general partner;</w:t>
      </w:r>
    </w:p>
    <w:p>
      <w:pPr>
        <w:spacing w:after="0" w:line="239"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to elect three (or, following the general partner's exercise of its right to transfer the power to elect a majority of our directors to the common unitholders, four) of our seven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to approve some amendments to our Partnership Agreement; 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take other action under our Partnership Agreement;</w:t>
      </w:r>
    </w:p>
    <w:p>
      <w:pPr>
        <w:spacing w:after="0" w:line="20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line="25" w:lineRule="exact"/>
        <w:rPr>
          <w:sz w:val="20"/>
          <w:szCs w:val="20"/>
          <w:color w:val="auto"/>
        </w:rPr>
      </w:pPr>
    </w:p>
    <w:p>
      <w:pPr>
        <w:ind w:right="240"/>
        <w:spacing w:after="0" w:line="331" w:lineRule="auto"/>
        <w:rPr>
          <w:sz w:val="20"/>
          <w:szCs w:val="20"/>
          <w:color w:val="auto"/>
        </w:rPr>
      </w:pPr>
      <w:r>
        <w:rPr>
          <w:rFonts w:ascii="Arial" w:cs="Arial" w:eastAsia="Arial" w:hAnsi="Arial"/>
          <w:sz w:val="16"/>
          <w:szCs w:val="16"/>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6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73"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Preference Units, Series B Preference Units and Series C Preference Units.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20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intend to fund acquisitions through borrowings and the issuance of additional common units or other equity securities and the issuance of debt securities. Holders of any additional Series A Preference Units we issue will be entitled to share equally with the then-existing holders of Series A Preference Units in our distributions, holders of any additional Series B Preference Units we issue will be entitled to share equally with the then-existing holders of Series B Preference Units in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distributions, holders of any additional Series C Preference Units we issue will be entitled to share equally with the then-existing holders of Series C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Series A Preference Units, Series B Preference Units or Series C Preference Units in our net assets and such securities may have priority over common units, Series A Preference Units, Series B Preference Units and Series C Preference Units for receipt of distributions.</w:t>
      </w:r>
    </w:p>
    <w:p>
      <w:pPr>
        <w:spacing w:after="0" w:line="169"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accordance with Marshall Islands law and the provisions of our Partnership Agreement, we may also issue additional partnership interests that, as determined by our board of directors, have special voting or other rights to which the common units, the Series A Preference Units, the Series B Preference Units and the Series C Preference Units are not entitled.</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A Preference Units, Series B Preference Units or Series C Preference Units. Our general partner and its affiliates will have the right, which it may from time to time assign in whole or in part to any of its affiliates, to purchase common units, Series A Preference Units, Series B Preference Units, Series C Preference Units or other equity securities whenever, and on the same terms that, we issue those securities to persons other than our general partner and its affiliates, to the extent necessary to maintain its and its affiliates' percentage interest, including its interest represented by common units, that existed immediately prior to each issuance. Other holders of common units will not have similar pre-emptive rights to acquire additional common units or other partnership interests.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Series A Preference Units, Series B Preference Units and Series C Preference Units must approve certain amendments as described under "â€”Voting Rights". Except as we describe below, an amendment must be approved by a Unit Majority.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5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approved by at least a majority of the type or class of limited partner interests so affected;</w:t>
      </w:r>
    </w:p>
    <w:p>
      <w:pPr>
        <w:spacing w:after="0" w:line="212" w:lineRule="exact"/>
        <w:rPr>
          <w:rFonts w:ascii="Arial" w:cs="Arial" w:eastAsia="Arial" w:hAnsi="Arial"/>
          <w:sz w:val="18"/>
          <w:szCs w:val="18"/>
          <w:color w:val="auto"/>
        </w:rPr>
      </w:pPr>
    </w:p>
    <w:p>
      <w:pPr>
        <w:jc w:val="both"/>
        <w:ind w:left="1080" w:right="120" w:hanging="532"/>
        <w:spacing w:after="0" w:line="33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86" w:lineRule="exact"/>
        <w:rPr>
          <w:sz w:val="20"/>
          <w:szCs w:val="20"/>
          <w:color w:val="auto"/>
        </w:rPr>
      </w:pPr>
    </w:p>
    <w:p>
      <w:pPr>
        <w:ind w:right="80" w:firstLine="348"/>
        <w:spacing w:after="0" w:line="369" w:lineRule="auto"/>
        <w:rPr>
          <w:sz w:val="20"/>
          <w:szCs w:val="20"/>
          <w:color w:val="auto"/>
        </w:rPr>
      </w:pPr>
      <w:r>
        <w:rPr>
          <w:rFonts w:ascii="Arial" w:cs="Arial" w:eastAsia="Arial" w:hAnsi="Arial"/>
          <w:sz w:val="15"/>
          <w:szCs w:val="15"/>
          <w:color w:val="auto"/>
        </w:rPr>
        <w:t>The provision of our Partnership Agreement preventing the amendments having the effects described in clauses (1) through (5) above can be amended upon the approval of the holders of at least 90% of the outstanding units voting together as a single class (including units owned by our general partner and its affiliates).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board of directors may generally make amendments to our Partnership Agreement without the approval of any limited partner to reflect:</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760" w:hanging="532"/>
        <w:spacing w:after="0" w:line="331"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4"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210" w:lineRule="exact"/>
        <w:rPr>
          <w:rFonts w:ascii="Arial" w:cs="Arial" w:eastAsia="Arial" w:hAnsi="Arial"/>
          <w:sz w:val="18"/>
          <w:szCs w:val="18"/>
          <w:color w:val="auto"/>
        </w:rPr>
      </w:pPr>
    </w:p>
    <w:p>
      <w:pPr>
        <w:ind w:left="1080" w:right="100" w:hanging="532"/>
        <w:spacing w:after="0" w:line="369" w:lineRule="auto"/>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80" w:type="dxa"/>
            <w:vAlign w:val="bottom"/>
          </w:tcPr>
          <w:p>
            <w:pPr>
              <w:ind w:left="1080"/>
              <w:spacing w:after="0"/>
              <w:rPr>
                <w:sz w:val="20"/>
                <w:szCs w:val="20"/>
                <w:color w:val="auto"/>
              </w:rPr>
            </w:pPr>
            <w:r>
              <w:rPr>
                <w:rFonts w:ascii="Arial" w:cs="Arial" w:eastAsia="Arial" w:hAnsi="Arial"/>
                <w:sz w:val="18"/>
                <w:szCs w:val="18"/>
                <w:color w:val="auto"/>
              </w:rPr>
              <w:t>â€¢</w:t>
            </w:r>
          </w:p>
        </w:tc>
        <w:tc>
          <w:tcPr>
            <w:tcW w:w="10080" w:type="dxa"/>
            <w:vAlign w:val="bottom"/>
          </w:tcPr>
          <w:p>
            <w:pPr>
              <w:ind w:left="140"/>
              <w:spacing w:after="0"/>
              <w:rPr>
                <w:sz w:val="20"/>
                <w:szCs w:val="20"/>
                <w:color w:val="auto"/>
              </w:rPr>
            </w:pPr>
            <w:r>
              <w:rPr>
                <w:rFonts w:ascii="Arial" w:cs="Arial" w:eastAsia="Arial" w:hAnsi="Arial"/>
                <w:sz w:val="18"/>
                <w:szCs w:val="18"/>
                <w:color w:val="auto"/>
                <w:w w:val="94"/>
              </w:rPr>
              <w:t>the adjustments of the minimum quarterly distribution, first target distribution, second target distribution and third target distribution in</w:t>
            </w:r>
          </w:p>
        </w:tc>
      </w:tr>
      <w:tr>
        <w:trPr>
          <w:trHeight w:val="222"/>
        </w:trPr>
        <w:tc>
          <w:tcPr>
            <w:tcW w:w="1480" w:type="dxa"/>
            <w:vAlign w:val="bottom"/>
          </w:tcPr>
          <w:p>
            <w:pPr>
              <w:spacing w:after="0"/>
              <w:rPr>
                <w:sz w:val="19"/>
                <w:szCs w:val="19"/>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connection with the reset of our incentive distribution rights;</w:t>
            </w:r>
          </w:p>
        </w:tc>
      </w:tr>
      <w:tr>
        <w:trPr>
          <w:trHeight w:val="432"/>
        </w:trPr>
        <w:tc>
          <w:tcPr>
            <w:tcW w:w="1480" w:type="dxa"/>
            <w:vAlign w:val="bottom"/>
          </w:tcPr>
          <w:p>
            <w:pPr>
              <w:spacing w:after="0"/>
              <w:rPr>
                <w:sz w:val="24"/>
                <w:szCs w:val="24"/>
                <w:color w:val="auto"/>
              </w:rPr>
            </w:pPr>
          </w:p>
        </w:tc>
        <w:tc>
          <w:tcPr>
            <w:tcW w:w="10080" w:type="dxa"/>
            <w:vAlign w:val="bottom"/>
          </w:tcPr>
          <w:p>
            <w:pPr>
              <w:ind w:left="4140"/>
              <w:spacing w:after="0"/>
              <w:rPr>
                <w:sz w:val="20"/>
                <w:szCs w:val="20"/>
                <w:color w:val="auto"/>
              </w:rPr>
            </w:pPr>
            <w:r>
              <w:rPr>
                <w:rFonts w:ascii="Arial" w:cs="Arial" w:eastAsia="Arial" w:hAnsi="Arial"/>
                <w:sz w:val="18"/>
                <w:szCs w:val="18"/>
                <w:color w:val="auto"/>
              </w:rPr>
              <w:t>S-31</w:t>
            </w:r>
          </w:p>
        </w:tc>
      </w:tr>
      <w:tr>
        <w:trPr>
          <w:trHeight w:val="228"/>
        </w:trPr>
        <w:tc>
          <w:tcPr>
            <w:tcW w:w="1480" w:type="dxa"/>
            <w:vAlign w:val="bottom"/>
            <w:tcBorders>
              <w:bottom w:val="single" w:sz="8" w:color="808080"/>
            </w:tcBorders>
          </w:tcPr>
          <w:p>
            <w:pPr>
              <w:spacing w:after="0"/>
              <w:rPr>
                <w:sz w:val="19"/>
                <w:szCs w:val="19"/>
                <w:color w:val="auto"/>
              </w:rPr>
            </w:pPr>
          </w:p>
        </w:tc>
        <w:tc>
          <w:tcPr>
            <w:tcW w:w="10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â€¢</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â€¢</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â€¢</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implementation of the provisions relating to GasLog's right to reset the incentive distribution rights in exchange for common units;</w:t>
      </w:r>
    </w:p>
    <w:p>
      <w:pPr>
        <w:spacing w:after="0" w:line="2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200" w:lineRule="exact"/>
        <w:rPr>
          <w:sz w:val="20"/>
          <w:szCs w:val="20"/>
          <w:color w:val="auto"/>
        </w:rPr>
      </w:pPr>
    </w:p>
    <w:p>
      <w:pPr>
        <w:sectPr>
          <w:pgSz w:w="11900" w:h="16838" w:orient="portrait"/>
          <w:cols w:equalWidth="0" w:num="2">
            <w:col w:w="1340" w:space="280"/>
            <w:col w:w="9940"/>
          </w:cols>
          <w:pgMar w:left="160" w:top="51" w:right="179" w:bottom="1440" w:gutter="0" w:footer="0" w:header="0"/>
        </w:sectPr>
      </w:pPr>
    </w:p>
    <w:p>
      <w:pPr>
        <w:spacing w:after="0" w:line="255"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the Partnership Agreement;</w:t>
      </w:r>
    </w:p>
    <w:p>
      <w:pPr>
        <w:spacing w:after="0" w:line="286" w:lineRule="exact"/>
        <w:rPr>
          <w:rFonts w:ascii="Arial" w:cs="Arial" w:eastAsia="Arial" w:hAnsi="Arial"/>
          <w:sz w:val="15"/>
          <w:szCs w:val="15"/>
          <w:color w:val="auto"/>
        </w:rPr>
      </w:pPr>
    </w:p>
    <w:p>
      <w:pPr>
        <w:ind w:left="1080" w:right="8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or our general partner (subject to the limited approval rights of the holders of the Series A Preference Units, the Series B Preference Units, the Series C Preference Units and the holders of other Parity Securities (if applicable)) if our board of directors determines that those amendments:</w:t>
      </w:r>
    </w:p>
    <w:p>
      <w:pPr>
        <w:spacing w:after="0" w:line="207"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 not adversely affect the rights of our limited partners (or any particular class of limited partners) or our general partner in any material respect;</w:t>
      </w:r>
    </w:p>
    <w:p>
      <w:pPr>
        <w:spacing w:after="0" w:line="275"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authority or statute;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212" w:lineRule="exact"/>
        <w:rPr>
          <w:rFonts w:ascii="Arial" w:cs="Arial" w:eastAsia="Arial" w:hAnsi="Arial"/>
          <w:sz w:val="18"/>
          <w:szCs w:val="18"/>
          <w:color w:val="auto"/>
        </w:rPr>
      </w:pPr>
    </w:p>
    <w:p>
      <w:pPr>
        <w:ind w:left="1080" w:right="9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Limited Partner Approval</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board of directors will not be required to obtain an opinion of counsel that an amendment will not result in a loss of limited liability to the limited partners if one of the amendments described above under "â€”Amendment of the Partnership Agreementâ€”No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290" w:lineRule="auto"/>
        <w:rPr>
          <w:sz w:val="20"/>
          <w:szCs w:val="20"/>
          <w:color w:val="auto"/>
        </w:rPr>
      </w:pPr>
      <w:r>
        <w:rPr>
          <w:rFonts w:ascii="Arial" w:cs="Arial" w:eastAsia="Arial" w:hAnsi="Arial"/>
          <w:sz w:val="16"/>
          <w:szCs w:val="16"/>
          <w:color w:val="auto"/>
        </w:rPr>
        <w:t xml:space="preserve">In addition to the above restrictions, any amendment that would have a material adverse effect on the rights or privileges of any type or class or series of outstanding limited partner interests (other than Series A Preference Units, Series B Preference Units or Series C Preference Units) in relation to other classes or series of limited partner interests will require the approval of at least a majority of the type or class or series of units so affected;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amendment that would have a material adverse effect on the existing terms of the Series A Preference Units, Series B Preference Units and Series C Preference Units will require the approval of at least two-thirds of the outstanding Series A Preference Units, Series B Preference Units or Series C Preference Units, as applicable.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Conversion or Other Disposition of Assets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and a Unit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17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election of our general partner and our board of directors to dissolve us, if approved by the holders of units representing a Unit Majority;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any time there are no limited partners, unless we continue without dissolution in accordance with the Marshall Islands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accordance with the Partnership Agreement or withdrawal or removal following approval and admission of a successor.</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liquidator may defer liquidation or distribution of our assets for a reasonable period or distribute assets to partners in kind if it determines that a sale would be impractical or would cause undue loss to our partners. In the event of any liquidation, dissolution or winding up of our affairs, whether voluntary or involuntary, holders of the Series A Preference Units, Series B Preference Units and Series C Preference Units will generally have the right to receive the liquidation preference of $25.00 per unit plus an amount equal to all accumulated and unpaid distributions thereon to the date of payment, whether or not declared, before any payments are made to holders of our common units or general partner units. A consolidation or merger of us with or into any other entity, individually or in a series of transactions, will not be deemed to be a liquidation, dissolution or winding up of our affairs.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 some instances to sell or otherwise transfer all of its general partner interest in us without the approval of the unitholders. See "â€”Transfer of General Partner Interest" and "â€”Transfer of Incentive Distribution Rights".</w:t>
      </w:r>
    </w:p>
    <w:p>
      <w:pPr>
        <w:spacing w:after="0" w:line="17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"â€”Termination and Dissolution".</w:t>
      </w:r>
    </w:p>
    <w:p>
      <w:pPr>
        <w:spacing w:after="0" w:line="202" w:lineRule="exact"/>
        <w:rPr>
          <w:sz w:val="20"/>
          <w:szCs w:val="20"/>
          <w:color w:val="auto"/>
        </w:rPr>
      </w:pPr>
    </w:p>
    <w:p>
      <w:pPr>
        <w:ind w:right="180" w:firstLine="351"/>
        <w:spacing w:after="0" w:line="255" w:lineRule="auto"/>
        <w:rPr>
          <w:sz w:val="20"/>
          <w:szCs w:val="20"/>
          <w:color w:val="auto"/>
        </w:rPr>
      </w:pPr>
      <w:r>
        <w:rPr>
          <w:rFonts w:ascii="Arial" w:cs="Arial" w:eastAsia="Arial" w:hAnsi="Arial"/>
          <w:sz w:val="15"/>
          <w:szCs w:val="15"/>
          <w:color w:val="auto"/>
        </w:rPr>
        <w:t>Our general partner may not be removed unless that removal is approved by the vote of the holders of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outstanding common units, including units held by our general partner and its affiliates, voting together as a single class, and we receive an opinion of counsel regarding limited liability. The</w:t>
      </w:r>
    </w:p>
    <w:p>
      <w:pPr>
        <w:spacing w:after="0" w:line="1"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ownership of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units by our general partner and its affiliates or the control of our board of directors by our general partner and its affiliates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would provide the practical ability to prevent our general partner's removal. Any removal of our general partner is also subject to the successor general partner being approved by the vote of the holders of a majority of the outstanding common units, voting as a single class.</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ectPr>
          <w:pgSz w:w="11900" w:h="16838" w:orient="portrait"/>
          <w:cols w:equalWidth="0" w:num="1">
            <w:col w:w="11540"/>
          </w:cols>
          <w:pgMar w:left="160" w:top="51" w:right="199" w:bottom="144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194" w:lineRule="exact"/>
        <w:rPr>
          <w:sz w:val="20"/>
          <w:szCs w:val="20"/>
          <w:color w:val="auto"/>
        </w:rPr>
      </w:pPr>
    </w:p>
    <w:p>
      <w:pPr>
        <w:sectPr>
          <w:pgSz w:w="11900" w:h="16838" w:orient="portrait"/>
          <w:cols w:equalWidth="0" w:num="2">
            <w:col w:w="800" w:space="280"/>
            <w:col w:w="10460"/>
          </w:cols>
          <w:pgMar w:left="160" w:top="51" w:right="199" w:bottom="1440" w:gutter="0" w:footer="0" w:header="0"/>
          <w:type w:val="continuous"/>
        </w:sectPr>
      </w:pPr>
    </w:p>
    <w:p>
      <w:pPr>
        <w:ind w:firstLine="351"/>
        <w:spacing w:after="0" w:line="288"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78" w:lineRule="exact"/>
        <w:rPr>
          <w:sz w:val="20"/>
          <w:szCs w:val="20"/>
          <w:color w:val="auto"/>
        </w:rPr>
      </w:pPr>
    </w:p>
    <w:p>
      <w:pPr>
        <w:ind w:right="240" w:firstLine="351"/>
        <w:spacing w:after="0" w:line="335" w:lineRule="auto"/>
        <w:rPr>
          <w:sz w:val="20"/>
          <w:szCs w:val="20"/>
          <w:color w:val="auto"/>
        </w:rPr>
      </w:pPr>
      <w:r>
        <w:rPr>
          <w:rFonts w:ascii="Arial" w:cs="Arial" w:eastAsia="Arial" w:hAnsi="Arial"/>
          <w:sz w:val="15"/>
          <w:szCs w:val="15"/>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14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for the transfer by our general partner of all, but not less than all, of its general partner interest in us to:</w:t>
      </w:r>
    </w:p>
    <w:p>
      <w:pPr>
        <w:sectPr>
          <w:pgSz w:w="11900" w:h="16838" w:orient="portrait"/>
          <w:cols w:equalWidth="0" w:num="1">
            <w:col w:w="11540"/>
          </w:cols>
          <w:pgMar w:left="160" w:top="51" w:right="199" w:bottom="1440" w:gutter="0" w:footer="0" w:header="0"/>
          <w:type w:val="continuous"/>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 affiliate of our general partner (other than an individual); or</w:t>
      </w:r>
    </w:p>
    <w:p>
      <w:pPr>
        <w:spacing w:after="0" w:line="23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another entity as part of the merger or consolidation of our general partner with or into another entity or the transfer by our general partner of all or substantially all of its assets to another entity, 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2">
            <w:col w:w="800" w:space="280"/>
            <w:col w:w="10460"/>
          </w:cols>
          <w:pgMar w:left="160" w:top="51" w:right="1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0"/>
        <w:spacing w:after="0" w:line="268" w:lineRule="auto"/>
        <w:rPr>
          <w:sz w:val="20"/>
          <w:szCs w:val="20"/>
          <w:color w:val="auto"/>
        </w:rPr>
      </w:pPr>
      <w:r>
        <w:rPr>
          <w:rFonts w:ascii="Arial" w:cs="Arial" w:eastAsia="Arial" w:hAnsi="Arial"/>
          <w:sz w:val="18"/>
          <w:szCs w:val="18"/>
          <w:color w:val="auto"/>
        </w:rPr>
        <w:t>the rights and duties of the general partner, agree to be bound by the provisions of the Partnership Agreement and furnish an opinion of counsel regarding limited liability.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 Series A Preference Units, Series B Preference Units or Series C Preference Units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By transfer of common units, Series A Preference Units, Series B Preference Units or Series C Preference Units in accordance with the Partnership Agreement, each transferee of common units, Series A Preference Units, Series B Preference Units or Series C Preference Units automatically is admitted as a limited partner with respect to the common units, Series A Preference Units, Series B Preference Units or Series C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20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represent that the transferee has the capacity, power and authority to become bound by the Partnership Agreement;</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agree to be bound by the terms and conditions of, and to have executed, the Partnership Agreement;</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grant power of attorney to officers of our general partner and any liquidator of us as specified in the Partnership Agreement; and</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give the consents and approvals contained in the Partnership Agreement.</w:t>
      </w:r>
    </w:p>
    <w:p>
      <w:pPr>
        <w:spacing w:after="0" w:line="2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entitled to treat the nominee holder of a common unit, Series A Preference Unit, Series B Preference Unit or Series C Preference Unit as the absolute owner. In that case, the beneficial holder's rights are limited solely to those that it has against the nominee holder as a result of any agreement between the beneficial owner and the nominee holder.</w:t>
      </w:r>
    </w:p>
    <w:p>
      <w:pPr>
        <w:spacing w:after="0" w:line="194"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Common units, Series A Preference Units, Series B Preference Units and Series C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19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Until a common unit, Series A Preference Unit, Series B Preference Unit or Series C Preference Unit has been transferred on our books, we and our transfer agent may treat the record holder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 as the absolute owner of such unit for all purposes, except as otherwise required by law or stock exchange regulations.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firstLine="348"/>
        <w:spacing w:after="0" w:line="317" w:lineRule="auto"/>
        <w:rPr>
          <w:sz w:val="20"/>
          <w:szCs w:val="20"/>
          <w:color w:val="auto"/>
        </w:rPr>
      </w:pPr>
      <w:r>
        <w:rPr>
          <w:rFonts w:ascii="Arial" w:cs="Arial" w:eastAsia="Arial" w:hAnsi="Arial"/>
          <w:sz w:val="15"/>
          <w:szCs w:val="15"/>
          <w:color w:val="auto"/>
        </w:rPr>
        <w:t>The Partnership Agreement contains specific provisions that are intended to discourage a person or group from attempting to remove GasLog 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 Series B Preference Units or Series C Preference Units.</w:t>
      </w:r>
    </w:p>
    <w:p>
      <w:pPr>
        <w:spacing w:after="0" w:line="15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186"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any existing arrearages in payment of the minimum quarterly distribution on the common units will be extinguished; and</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our general partner will have the right to convert its general partner interest into common units or to receive cash in exchange for that interest.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If at any time our general partner and its affiliates hold more than 80% of the then-issued and outstanding partnership interests of any class or series, except for the Series A Preference Units, Series B Preference Units and Series C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common units to be repurchased by it upon the exercise of this limited call right and has no fiduciary duty in determining whether to exercise this limited call right.</w:t>
      </w:r>
    </w:p>
    <w:p>
      <w:pPr>
        <w:spacing w:after="0" w:line="178"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a result of the general partner's right to purchase outstanding partnership interests, a holder of partnership interests may have the holder's partnership interests (except for the Series A Preference Units, Series B Preference Units and Series C Preference Units) purchased at an undesirable time or price. The tax consequences to a unitholder of the exercise of this call right are the same as a sale by that unitholder of common units in the market. See "Material U.S. Federal Income Tax Considerationsâ€”U.S. Federal Income Taxation of U.S. Holdersâ€”Sale, Exchange or Other Disposition of Common Units" and "Material U.S. Federal Income Tax Considerationsâ€”U.S. Federal Income Taxation of Non-U.S. Holdersâ€”Disposition of Units".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Under our Partnership Agreement, our general partner has delegated to our board of directors the authority to oversee and direct our operations, policies and management on an exclusive basis,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such delegation will be binding on any successor general partner of the partnership. As of February 26, 2019, our board of directors is comprised of seven persons.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169"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certain limited circumstances, holders of our Series A Preference Units, Series B Preference Units and Series C Preference Units (voting together as a class with any other Parity Securities)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 Series B Preference Units and Series C Preference Units (and any other Parity Securities).</w:t>
      </w:r>
    </w:p>
    <w:p>
      <w:pPr>
        <w:spacing w:after="0" w:line="16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ectPr>
          <w:pgSz w:w="11900" w:h="16838" w:orient="portrait"/>
          <w:cols w:equalWidth="0" w:num="1">
            <w:col w:w="11440"/>
          </w:cols>
          <w:pgMar w:left="160" w:top="51" w:right="299" w:bottom="1440" w:gutter="0" w:footer="0" w:header="0"/>
        </w:sectPr>
      </w:pP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limited partner or limited partners making the nomination or nominations;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common units beneficially owned by the limited partner or limited partners;</w:t>
      </w:r>
    </w:p>
    <w:p>
      <w:pPr>
        <w:spacing w:after="0" w:line="239" w:lineRule="exact"/>
        <w:rPr>
          <w:sz w:val="20"/>
          <w:szCs w:val="20"/>
          <w:color w:val="auto"/>
        </w:rPr>
      </w:pPr>
    </w:p>
    <w:p>
      <w:pPr>
        <w:ind w:right="560"/>
        <w:spacing w:after="0" w:line="331" w:lineRule="auto"/>
        <w:rPr>
          <w:sz w:val="20"/>
          <w:szCs w:val="20"/>
          <w:color w:val="auto"/>
        </w:rPr>
      </w:pPr>
      <w:r>
        <w:rPr>
          <w:rFonts w:ascii="Arial" w:cs="Arial" w:eastAsia="Arial" w:hAnsi="Arial"/>
          <w:sz w:val="16"/>
          <w:szCs w:val="16"/>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written consent of the nominee(s) to serve as a member of our board of directors if so elected; 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certification that the nominee(s) qualify as elected board members.</w:t>
      </w:r>
    </w:p>
    <w:p>
      <w:pPr>
        <w:spacing w:after="0" w:line="200" w:lineRule="exact"/>
        <w:rPr>
          <w:sz w:val="20"/>
          <w:szCs w:val="20"/>
          <w:color w:val="auto"/>
        </w:rPr>
      </w:pPr>
    </w:p>
    <w:p>
      <w:pPr>
        <w:sectPr>
          <w:pgSz w:w="11900" w:h="16838" w:orient="portrait"/>
          <w:cols w:equalWidth="0" w:num="2">
            <w:col w:w="800" w:space="280"/>
            <w:col w:w="10360"/>
          </w:cols>
          <w:pgMar w:left="160" w:top="51" w:right="299" w:bottom="1440" w:gutter="0" w:footer="0" w:header="0"/>
          <w:type w:val="continuous"/>
        </w:sectPr>
      </w:pPr>
    </w:p>
    <w:p>
      <w:pPr>
        <w:spacing w:after="0" w:line="25"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holders entitled to vote on such matter, although additional limited partner interests having special voting rights could be issued. Holders of the Series A Preference Units, Series B Preference Units and Series C Preference Units generally have no voting rights. However, holders of the Series A Preference Units, Series B Preference Units and Series C Preference Units have limited voting rights as described under "â€”Voting Rights".</w:t>
      </w:r>
    </w:p>
    <w:p>
      <w:pPr>
        <w:spacing w:after="0" w:line="16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194" w:lineRule="exact"/>
        <w:rPr>
          <w:sz w:val="20"/>
          <w:szCs w:val="20"/>
          <w:color w:val="auto"/>
        </w:rPr>
      </w:pPr>
    </w:p>
    <w:p>
      <w:pPr>
        <w:ind w:right="60" w:firstLine="348"/>
        <w:spacing w:after="0" w:line="302" w:lineRule="auto"/>
        <w:rPr>
          <w:sz w:val="20"/>
          <w:szCs w:val="20"/>
          <w:color w:val="auto"/>
        </w:rPr>
      </w:pPr>
      <w:r>
        <w:rPr>
          <w:rFonts w:ascii="Arial" w:cs="Arial" w:eastAsia="Arial" w:hAnsi="Arial"/>
          <w:sz w:val="15"/>
          <w:szCs w:val="15"/>
          <w:color w:val="auto"/>
        </w:rPr>
        <w:t>We hold a meeting of the limited partners every year to elect one or more members of our board of directors and to vote on any other matters that are properly brought before the meeting. Any action 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 person or</w:t>
      </w:r>
    </w:p>
    <w:p>
      <w:pPr>
        <w:spacing w:after="0" w:line="1" w:lineRule="exact"/>
        <w:rPr>
          <w:sz w:val="20"/>
          <w:szCs w:val="20"/>
          <w:color w:val="auto"/>
        </w:rPr>
      </w:pPr>
    </w:p>
    <w:p>
      <w:pPr>
        <w:ind w:right="360"/>
        <w:spacing w:after="0" w:line="221" w:lineRule="auto"/>
        <w:rPr>
          <w:sz w:val="20"/>
          <w:szCs w:val="20"/>
          <w:color w:val="auto"/>
        </w:rPr>
      </w:pPr>
      <w:r>
        <w:rPr>
          <w:rFonts w:ascii="Arial" w:cs="Arial" w:eastAsia="Arial" w:hAnsi="Arial"/>
          <w:sz w:val="18"/>
          <w:szCs w:val="18"/>
          <w:color w:val="auto"/>
        </w:rPr>
        <w:t>by proxy at meetings. The holders of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210"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Each record holder of a unit may vote according to the holder's percentage interest in us, although additional limited partner interests having special voting rights could be issued. See "â€”Issuance of Additional Interests". However, if at any time, any person or group owns beneficially more than 4.9% of any class of units then outstanding, except for Series A Preference Units, Series B Preference Units and Series C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169"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common units, Series A Preference Units, Series B Preference Units or Series 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Preference Units under the Partnership Agreement will be delivered to the record holder by us or by the transfer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jc w:val="both"/>
        <w:ind w:right="300" w:firstLine="351"/>
        <w:spacing w:after="0" w:line="298" w:lineRule="auto"/>
        <w:rPr>
          <w:sz w:val="20"/>
          <w:szCs w:val="20"/>
          <w:color w:val="auto"/>
        </w:rPr>
      </w:pPr>
      <w:r>
        <w:rPr>
          <w:rFonts w:ascii="Arial" w:cs="Arial" w:eastAsia="Arial" w:hAnsi="Arial"/>
          <w:sz w:val="16"/>
          <w:szCs w:val="16"/>
          <w:color w:val="auto"/>
        </w:rPr>
        <w:t>Except as described above under "â€”Limited Liability", the common units, Series A Preference Units, Series B Preference Units and Series C Preference Units will be fully paid, and unitholders will not be required to make additional contributions. By transfer of common units, Series A Preference Units, Series B Preference Units or Series C Preference Units in accordance with our Partnership Agreement, each transferee of units will be admitted as a limited partner with respect to the units transferred when such transfer and admission is reflected in our books and records.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person who is or was an officer, director, member, fiduciary or trustee of any entity described in (1), (2) or (3) above;</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fiduciary or trustee of another person at the request of our board of directors, our general partner or any departing general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firstLine="341"/>
        <w:spacing w:after="0" w:line="331" w:lineRule="auto"/>
        <w:rPr>
          <w:sz w:val="20"/>
          <w:szCs w:val="20"/>
          <w:color w:val="auto"/>
        </w:rPr>
      </w:pPr>
      <w:r>
        <w:rPr>
          <w:rFonts w:ascii="Arial" w:cs="Arial" w:eastAsia="Arial" w:hAnsi="Arial"/>
          <w:sz w:val="16"/>
          <w:szCs w:val="16"/>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220" w:firstLine="351"/>
        <w:spacing w:after="0" w:line="331" w:lineRule="auto"/>
        <w:rPr>
          <w:sz w:val="20"/>
          <w:szCs w:val="20"/>
          <w:color w:val="auto"/>
        </w:rPr>
      </w:pPr>
      <w:r>
        <w:rPr>
          <w:rFonts w:ascii="Arial" w:cs="Arial" w:eastAsia="Arial" w:hAnsi="Arial"/>
          <w:sz w:val="16"/>
          <w:szCs w:val="16"/>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280" w:firstLine="348"/>
        <w:spacing w:after="0" w:line="331" w:lineRule="auto"/>
        <w:rPr>
          <w:sz w:val="20"/>
          <w:szCs w:val="20"/>
          <w:color w:val="auto"/>
        </w:rPr>
      </w:pPr>
      <w:r>
        <w:rPr>
          <w:rFonts w:ascii="Arial" w:cs="Arial" w:eastAsia="Arial" w:hAnsi="Arial"/>
          <w:sz w:val="16"/>
          <w:szCs w:val="16"/>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154"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and related amendments;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120" w:firstLine="351"/>
        <w:spacing w:after="0" w:line="331"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 See "Units Eligible for Future Sale".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CASH DISTRIBUTION POLICY AND RESTRICTIONS ON DISTRIBUTIONS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cash distribution policy and restrictions on distributions are described in page 36 of the accompanying base prospectus. We hereby supplement that disclosure with the below. This supplemental disclosure is not complete and is qualified in its entirety by reference to the actual text of our partnership agreement,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Incentive Distribution Rights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On November 27, 2018, we entered into an agreement among GasLog and our general partner to modify the partnership agreement with respect to the general partner's incentive distribution rights. The modification reduced distributions of cash upon liquidation and the general partner's incentive distribution rights on quarterly distributions above $0.5625 per unit, each from 48% to 23%. GasLog further agreed to waive incentive distribution right payments resulting from any asset or business acquired by us from a third party (a "Non-GasLog Acquisition"). In exchange for these modifications, we paid $25.0 million to GasLog, sourced from available cash.</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reflects a summary of our available cash distribution policy following this transaction.</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Marginal Percentage</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6"/>
              </w:rPr>
              <w:t>Interest in</w:t>
            </w: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3"/>
              </w:rPr>
              <w:t>Holders of</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4"/>
              </w:rPr>
              <w:t>Distributions</w:t>
            </w: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Total Quarterly</w:t>
            </w: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2"/>
              </w:rPr>
              <w:t>Incentive</w:t>
            </w:r>
          </w:p>
        </w:tc>
        <w:tc>
          <w:tcPr>
            <w:tcW w:w="0" w:type="dxa"/>
            <w:vAlign w:val="bottom"/>
          </w:tcPr>
          <w:p>
            <w:pPr>
              <w:spacing w:after="0"/>
              <w:rPr>
                <w:sz w:val="1"/>
                <w:szCs w:val="1"/>
                <w:color w:val="auto"/>
              </w:rPr>
            </w:pPr>
          </w:p>
        </w:tc>
      </w:tr>
      <w:tr>
        <w:trPr>
          <w:trHeight w:val="115"/>
        </w:trPr>
        <w:tc>
          <w:tcPr>
            <w:tcW w:w="2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8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Distribution</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General</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Distribution</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Target Amount</w:t>
            </w:r>
          </w:p>
        </w:tc>
        <w:tc>
          <w:tcPr>
            <w:tcW w:w="160" w:type="dxa"/>
            <w:vAlign w:val="bottom"/>
          </w:tcPr>
          <w:p>
            <w:pPr>
              <w:spacing w:after="0"/>
              <w:rPr>
                <w:sz w:val="15"/>
                <w:szCs w:val="15"/>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Unitholders</w:t>
            </w:r>
          </w:p>
        </w:tc>
        <w:tc>
          <w:tcPr>
            <w:tcW w:w="160" w:type="dxa"/>
            <w:vAlign w:val="bottom"/>
          </w:tcPr>
          <w:p>
            <w:pPr>
              <w:spacing w:after="0"/>
              <w:rPr>
                <w:sz w:val="15"/>
                <w:szCs w:val="15"/>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Partner</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Rights</w:t>
            </w:r>
            <w:r>
              <w:rPr>
                <w:rFonts w:ascii="Arial" w:cs="Arial" w:eastAsia="Arial" w:hAnsi="Arial"/>
                <w:sz w:val="20"/>
                <w:szCs w:val="20"/>
                <w:b w:val="1"/>
                <w:bCs w:val="1"/>
                <w:color w:val="auto"/>
                <w:w w:val="96"/>
                <w:vertAlign w:val="superscript"/>
              </w:rPr>
              <w:t>(1)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w w:val="97"/>
              </w:rPr>
              <w:t>Minimum Quarterly Distribution</w:t>
            </w:r>
          </w:p>
        </w:tc>
        <w:tc>
          <w:tcPr>
            <w:tcW w:w="3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$0.375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3960" w:type="dxa"/>
            <w:vAlign w:val="bottom"/>
            <w:gridSpan w:val="3"/>
          </w:tcPr>
          <w:p>
            <w:pPr>
              <w:ind w:left="480"/>
              <w:spacing w:after="0"/>
              <w:rPr>
                <w:sz w:val="20"/>
                <w:szCs w:val="20"/>
                <w:color w:val="auto"/>
              </w:rPr>
            </w:pPr>
            <w:r>
              <w:rPr>
                <w:rFonts w:ascii="Arial" w:cs="Arial" w:eastAsia="Arial" w:hAnsi="Arial"/>
                <w:sz w:val="18"/>
                <w:szCs w:val="18"/>
                <w:color w:val="auto"/>
              </w:rPr>
              <w:t>&gt; $0.3750 to, and including, $0.43125</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98.0%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39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&gt; $0.43125 to, and including, $0.46875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Thereafter</w:t>
            </w:r>
          </w:p>
        </w:tc>
        <w:tc>
          <w:tcPr>
            <w:tcW w:w="3960" w:type="dxa"/>
            <w:vAlign w:val="bottom"/>
            <w:gridSpan w:val="3"/>
          </w:tcPr>
          <w:p>
            <w:pPr>
              <w:ind w:left="480"/>
              <w:spacing w:after="0"/>
              <w:rPr>
                <w:sz w:val="20"/>
                <w:szCs w:val="20"/>
                <w:color w:val="auto"/>
              </w:rPr>
            </w:pPr>
            <w:r>
              <w:rPr>
                <w:rFonts w:ascii="Arial" w:cs="Arial" w:eastAsia="Arial" w:hAnsi="Arial"/>
                <w:sz w:val="18"/>
                <w:szCs w:val="18"/>
                <w:color w:val="auto"/>
              </w:rPr>
              <w:t>above $0.46875</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02"/>
        </w:trPr>
        <w:tc>
          <w:tcPr>
            <w:tcW w:w="24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right="60" w:hanging="536"/>
        <w:spacing w:after="0" w:line="256" w:lineRule="auto"/>
        <w:tabs>
          <w:tab w:leader="none" w:pos="1700" w:val="left"/>
        </w:tabs>
        <w:numPr>
          <w:ilvl w:val="0"/>
          <w:numId w:val="19"/>
        </w:numPr>
        <w:rPr>
          <w:rFonts w:ascii="Arial" w:cs="Arial" w:eastAsia="Arial" w:hAnsi="Arial"/>
          <w:sz w:val="11"/>
          <w:szCs w:val="11"/>
          <w:color w:val="auto"/>
        </w:rPr>
      </w:pPr>
      <w:r>
        <w:rPr>
          <w:rFonts w:ascii="Arial" w:cs="Arial" w:eastAsia="Arial" w:hAnsi="Arial"/>
          <w:sz w:val="13"/>
          <w:szCs w:val="13"/>
          <w:color w:val="auto"/>
        </w:rPr>
        <w:t>The amount of available cash generated and deriving from any Non-GasLog Acquisition will not be included in the calculation of available cash for purposes of determining the amount distributed to holders of the incentive distribution rights, but will instead be redistributed pro rata to the other unitholders. As of the date of this prospectus supplement, there are no Non-GasLog Acquisitions.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 of Preference Units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issued 4,600,000 of our Series B Preference Units on January 17, 2018. The Series B Preference Units are senior to all classes of our common units and general partner units. From and including January 17, 2018 to, but excluding, March 15, 2023, the distribution rate for the Series B Preference Units will be 8.200% per annum per $25.00 of liquidation preference per unit (equal to $2.05 per annum per unit). From, and including, March 15, 2023, the distribution rate will be a floating rate equal to three-month LIBOR plus a spread of 5.839% per annum per $25.00 of liquidation preference per unit. Distributions on Series B Preference Units are cumulative from January 17, 2018, and are payable on the 15th of March, June, September and December of each year (the initial distribution having been paid on March 15, 2018), when, as and if declared by our board of directors out of legally available funds for such purpose. No distribution may be declared or paid or set apart for payment on any common units or general partner units unless full cumulative distributions have been or contemporaneously are being paid or provided for on all outstanding Series B Preference Units through the most recent distribution payment date. Holders of the Series B Preference Units will not be entitled to any distribution, whether payable in cash, property or units, in excess of full cumulative distributions.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We issued 4,000,000 of our Series C Preference Units on November 15, 2018. The Series C Preference Units are senior to all classes of our common units and general partner units. From and including November 15, 2018 to, but excluding, March 15, 2024, the distribution rate for the Series C Preference Units will be</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8.500% per annum per $25.00 of liquidation preference per unit (equal to $2.125 per annum per unit). From, and including, March 15, 2024, the distribution rate will be a floating rate equal to three-month LIBOR plus a spread of 5.317% per annum per $25.00 of liquidation preference per unit. Distributions on Series C Preference Units are cumulative from November 15, 2018, and are payable on the 15th of March, June, September and December of each year (the initial distribution to be paid on March 15, 2019), when, as and if declared by our board of directors out of legally available funds for such purpose. No distribution may be declared or paid or set apart for payment on any common units or general partner units unless full cumulative distributions have been or contemporaneously are being paid or provided for on all outstanding Series C Preference Units through the most recent distribution payment date. Holders of the Series C Preference Units will not be entitled to any distribution, whether payable in cash, property or units, in excess of full cumulative distributions.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is a discussion of the material U.S. federal income tax considerations that may be relevant to prospective unitholders and, unless otherwise noted in the following discussion, is the opinion of Cravath, Swaine &amp; Moore LLP, our U.S. counsel, insofar as it contains legal conclusions with respect to matters of U.S. federal income tax law. The opinion of our counsel is dependent on the accuracy of factual representations made by us to them, including descriptions of our operations contained herein.</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This discussion is based upon provisions of the Code, the Treasury Regulations promulgated thereunder and current administrative rulings and court decisions, all as in effect or existence on the date of this prospectus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197"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following discussion applies only to beneficial owners of common units that own the common units as "capital assets" within the meaning of Section 1221 of the Code (</w:t>
      </w:r>
      <w:r>
        <w:rPr>
          <w:rFonts w:ascii="Arial" w:cs="Arial" w:eastAsia="Arial" w:hAnsi="Arial"/>
          <w:sz w:val="16"/>
          <w:szCs w:val="16"/>
          <w:i w:val="1"/>
          <w:iCs w:val="1"/>
          <w:color w:val="auto"/>
        </w:rPr>
        <w:t>i.e.</w:t>
      </w:r>
      <w:r>
        <w:rPr>
          <w:rFonts w:ascii="Arial" w:cs="Arial" w:eastAsia="Arial" w:hAnsi="Arial"/>
          <w:sz w:val="16"/>
          <w:szCs w:val="16"/>
          <w:color w:val="auto"/>
        </w:rPr>
        <w:t>, generally, for investment purposes) and is not intended to be applicable to all categories of investors, such as unitholders subject to special tax rules (</w:t>
      </w:r>
      <w:r>
        <w:rPr>
          <w:rFonts w:ascii="Arial" w:cs="Arial" w:eastAsia="Arial" w:hAnsi="Arial"/>
          <w:sz w:val="16"/>
          <w:szCs w:val="16"/>
          <w:i w:val="1"/>
          <w:iCs w:val="1"/>
          <w:color w:val="auto"/>
        </w:rPr>
        <w:t>e.g.</w:t>
      </w:r>
      <w:r>
        <w:rPr>
          <w:rFonts w:ascii="Arial" w:cs="Arial" w:eastAsia="Arial" w:hAnsi="Arial"/>
          <w:sz w:val="16"/>
          <w:szCs w:val="16"/>
          <w:color w:val="auto"/>
        </w:rPr>
        <w:t>,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persons subject to special tax accounting rules as a result of any item of gross income with respect to our common units being taken into account in an applicable financial statement or persons that have a functional currency other than the U.S. dollar, each of whom may be subject to tax rules that differ significantly from those summarized below. If a partnership or other entity classified as a partnership for U.S. federal income tax purposes holds our common units, the tax treatment of its partners generally will depend upon the status of the partner and the activities of the partnership. If you are a partner in a partnership holding our common units, you are encouraged to consult your own tax advisor regarding the tax consequences to you of the partnership's ownership of our common units.</w:t>
      </w:r>
    </w:p>
    <w:p>
      <w:pPr>
        <w:spacing w:after="0" w:line="176" w:lineRule="exact"/>
        <w:rPr>
          <w:sz w:val="20"/>
          <w:szCs w:val="20"/>
          <w:color w:val="auto"/>
        </w:rPr>
      </w:pPr>
    </w:p>
    <w:p>
      <w:pPr>
        <w:ind w:firstLine="351"/>
        <w:spacing w:after="0" w:line="317" w:lineRule="auto"/>
        <w:rPr>
          <w:sz w:val="20"/>
          <w:szCs w:val="20"/>
          <w:color w:val="auto"/>
        </w:rPr>
      </w:pPr>
      <w:r>
        <w:rPr>
          <w:rFonts w:ascii="Arial" w:cs="Arial" w:eastAsia="Arial" w:hAnsi="Arial"/>
          <w:sz w:val="15"/>
          <w:szCs w:val="15"/>
          <w:color w:val="auto"/>
        </w:rPr>
        <w:t>No ruling has been or will be requested from the IRS regarding any matter affecting us or prospective unitholders. The opinions and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common units. This discussion does not comment on all aspects of U.S. federal income taxation that may be important to particular unitholders in light of their individual circumstances, and each prospective unitholder is encouraged to consult its own tax advisor regarding the U.S. federal, state, local and other tax consequences of the ownership or disposition of common units.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Corporation</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have elected to be treated as a corporation for U.S. federal income tax purposes. As a result, except as provided below, we will be subject to U.S. federal income tax on our income to the extent such income is from U.S. sources or is otherwise effectively connected with the conduct of a trade or business in the United States. In addition, U.S. Holders (as defined below) will not be directly subject to U.S. federal income tax on our income, but rather will be subject to U.S. federal income tax on distributions received from us and dispositions of units as described below.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Our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Our Subsidiaries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subsidiaries have elected to be treated as disregarded entities for U.S. federal income tax purposes. As a result, for purposes of the discussion below, our subsidiaries are treated as branches rather than as separate corporations.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Shipping Income</w:t>
      </w:r>
    </w:p>
    <w:p>
      <w:pPr>
        <w:spacing w:after="0" w:line="225" w:lineRule="exact"/>
        <w:rPr>
          <w:sz w:val="20"/>
          <w:szCs w:val="20"/>
          <w:color w:val="auto"/>
        </w:rPr>
      </w:pPr>
    </w:p>
    <w:p>
      <w:pPr>
        <w:ind w:right="120" w:firstLine="348"/>
        <w:spacing w:after="0" w:line="317" w:lineRule="auto"/>
        <w:rPr>
          <w:sz w:val="20"/>
          <w:szCs w:val="20"/>
          <w:color w:val="auto"/>
        </w:rPr>
      </w:pPr>
      <w:r>
        <w:rPr>
          <w:rFonts w:ascii="Arial" w:cs="Arial" w:eastAsia="Arial" w:hAnsi="Arial"/>
          <w:sz w:val="15"/>
          <w:szCs w:val="15"/>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5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580" w:firstLine="348"/>
        <w:spacing w:after="0" w:line="331" w:lineRule="auto"/>
        <w:rPr>
          <w:sz w:val="20"/>
          <w:szCs w:val="20"/>
          <w:color w:val="auto"/>
        </w:rPr>
      </w:pPr>
      <w:r>
        <w:rPr>
          <w:rFonts w:ascii="Arial" w:cs="Arial" w:eastAsia="Arial" w:hAnsi="Arial"/>
          <w:sz w:val="16"/>
          <w:szCs w:val="16"/>
          <w:color w:val="auto"/>
        </w:rPr>
        <w:t>We do not expect to qualify for an exemption from such U.S. federal income tax under a tax treaty nor do we expect to qualify for the exemption under Section 883 of the Code during the 2019 tax year, unless our general partner exercises the "GasLog option" (defined below).</w:t>
      </w:r>
    </w:p>
    <w:p>
      <w:pPr>
        <w:spacing w:after="0" w:line="141" w:lineRule="exact"/>
        <w:rPr>
          <w:sz w:val="20"/>
          <w:szCs w:val="20"/>
          <w:color w:val="auto"/>
        </w:rPr>
      </w:pPr>
    </w:p>
    <w:p>
      <w:pPr>
        <w:jc w:val="both"/>
        <w:ind w:right="40" w:firstLine="351"/>
        <w:spacing w:after="0" w:line="294" w:lineRule="auto"/>
        <w:rPr>
          <w:sz w:val="20"/>
          <w:szCs w:val="20"/>
          <w:color w:val="auto"/>
        </w:rPr>
      </w:pPr>
      <w:r>
        <w:rPr>
          <w:rFonts w:ascii="Arial" w:cs="Arial" w:eastAsia="Arial" w:hAnsi="Arial"/>
          <w:sz w:val="16"/>
          <w:szCs w:val="16"/>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were exercised, we might qualify for an exemption from U.S. federal income tax on U.S. Source International Transportation Income under Section 883 of the Code. There is no assurance, however, that GasLog will exercise the GasLog option, which is necessary for us to qualify for such exemption, nor can we assure you that GasLog's exercise of the GasLog option would be sufficient for us to qualify for the exemption for our current or any future tax year.</w:t>
      </w:r>
    </w:p>
    <w:p>
      <w:pPr>
        <w:spacing w:after="0" w:line="16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2018, our U.S. source gross transportation tax was $0.6 million.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addition, our U.S. Source International Transportation Income that is considered to be "effectively connected" with the conduct of a U.S. trade or business is subject to the U.S. corporate income tax currently imposed a rate of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International Transportation Income would be considered "effectively connected" with the conduct of a U.S. trade or business only if:</w:t>
      </w:r>
    </w:p>
    <w:p>
      <w:pPr>
        <w:spacing w:after="0" w:line="262" w:lineRule="exact"/>
        <w:rPr>
          <w:sz w:val="20"/>
          <w:szCs w:val="20"/>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21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Gain on Sale of Shipping Assets</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231"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used herein, the term "U.S. Holder" means a beneficial owner of our common units that owns (actually or constructively) less than 10.0% of our equity and that is:</w:t>
      </w:r>
    </w:p>
    <w:p>
      <w:pPr>
        <w:sectPr>
          <w:pgSz w:w="11900" w:h="16838" w:orient="portrait"/>
          <w:cols w:equalWidth="0" w:num="1">
            <w:col w:w="11560"/>
          </w:cols>
          <w:pgMar w:left="160" w:top="51" w:right="179" w:bottom="144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an individual U.S. citizen or resident (as determined for U.S. federal income tax purposes),</w:t>
      </w:r>
    </w:p>
    <w:p>
      <w:pPr>
        <w:spacing w:after="0" w:line="23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corporation (or other entity that is classified as a corporation for U.S. federal income tax purposes) organized under the laws of the United States, any state thereof or the District of Columbia,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an estate the income of which is subject to U.S. federal income taxation regardless of its source, or</w:t>
      </w:r>
    </w:p>
    <w:p>
      <w:pPr>
        <w:spacing w:after="0" w:line="2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94"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0" w:firstLine="351"/>
        <w:spacing w:after="0" w:line="331" w:lineRule="auto"/>
        <w:rPr>
          <w:sz w:val="20"/>
          <w:szCs w:val="20"/>
          <w:color w:val="auto"/>
        </w:rPr>
      </w:pPr>
      <w:r>
        <w:rPr>
          <w:rFonts w:ascii="Arial" w:cs="Arial" w:eastAsia="Arial" w:hAnsi="Arial"/>
          <w:sz w:val="16"/>
          <w:szCs w:val="16"/>
          <w:color w:val="auto"/>
        </w:rPr>
        <w:t>Subject to the discussion below of the rules applicable to PFICs, any distributions to a U.S. Holder made by us with respect to our common units generally will constitute dividends to the extent of our current or accumulated earnings and profits, as determined under U.S. federal income tax principles.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Distributions in excess of our earnings and profits will be treated first as a nontaxable return of capital to the extent of the U.S. Holder's tax basis in its common units and thereafter as capital gain. U.S. Holders that are corporations generally will not be entitled to claim a dividend received deduction with respect to distributions they receive from us . Dividends received with respect to our common units generally will be treated as foreign source "passive category income" for purposes of computing allowable foreign tax credits for U.S. federal income tax purposes.</w:t>
      </w:r>
    </w:p>
    <w:p>
      <w:pPr>
        <w:spacing w:after="0" w:line="166"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Dividends received with respect to our common units by a U.S. Holder that is an individual, trust or estate, or a "U.S. Individual Holder", generally will be treated as "qualified dividend income", which is taxable to such U.S. Individual Holder at preferential tax rates provided that: (i) our common units are readily tradable on an established securities market in the United States (such as the NYSE on which our common units are currently traded); (ii) we are not a PFIC for the taxable year during which the dividend is paid or the immediately preceding taxable year (which we do not believe we are, have been or will be, as discussed below under "â€”PFIC Status and Significant Tax Consequences"); (iii) the U.S. Individual Holder has owned the common units for more than 60 days during the 121-day period beginning 60 days before the date on which the common units become ex-dividend (and has not entered into certain risk limiting transactions with respect to such common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at ordinary income rates to a U.S. Individual Holder.</w:t>
      </w:r>
    </w:p>
    <w:p>
      <w:pPr>
        <w:spacing w:after="0" w:line="17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Special rules may apply to any amounts received in respect of our common units that are treated as "extraordinary dividends". In general, an extraordinary dividend is a dividend with respect to a common unit that is equal to or in excess of 10.0% of a unitholder's adjusted tax basis (or fair market value upon the unitholder's election) in such common unit. In addition, extraordinary dividends include dividends received within a one-year period that, in the aggregate, equal or exceed 20.0% of a unitholder's adjusted tax basis (or fair market value). If we pay an "extraordinary dividend" on our common units that is treated as "qualified dividend income", then any loss recognized by a U.S. Individual Holder from the sale or exchange of such common units will be treated as long-term capital loss to the extent of the amount of such dividend.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Common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the discussion of PFIC status below, a U.S. Holder generally will recognize capital gain or loss upon a sale, exchange or other disposition of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units in an amount equal to the difference between the amount realized by the U.S. Holder from such sale, exchange or other disposition and the U.S. 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adjusted tax basis in such units. The U.S. Holder's initial tax basis in its units generally will be the U.S. Holder's purchase price for the units and that tax basis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reduced (but not below zero) by the amount of any distributions on the units that are treated as non-taxable returns of capital (as discussed above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"â€”Distributions"). Such gain or loss will be treated as long-term capital gain or loss if the U.S. Holder's holding period is greater than one year at the time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exchange or other disposition. Certain U.S. Holders (including individuals) may be eligible for preferential rates of U.S. federal income tax in respect of long-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capital gains. A U.S. Holder's ability to deduct capital losses is subject to limitations. Such capital gain or loss generally will be treated as U.S. source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loss, as applicable, for U.S. foreign tax credit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 on Net Investment Income</w:t>
      </w:r>
    </w:p>
    <w:p>
      <w:pPr>
        <w:spacing w:after="0" w:line="225"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Unitholders are encouraged to consult their tax advisors regarding the implications of the additional Medicare tax resulting from their ownership and disposition of our common 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225" w:lineRule="exact"/>
        <w:rPr>
          <w:sz w:val="20"/>
          <w:szCs w:val="20"/>
          <w:color w:val="auto"/>
        </w:rPr>
      </w:pPr>
    </w:p>
    <w:p>
      <w:pPr>
        <w:ind w:right="60" w:firstLine="341"/>
        <w:spacing w:after="0" w:line="369" w:lineRule="auto"/>
        <w:rPr>
          <w:sz w:val="20"/>
          <w:szCs w:val="20"/>
          <w:color w:val="auto"/>
        </w:rPr>
      </w:pPr>
      <w:r>
        <w:rPr>
          <w:rFonts w:ascii="Arial" w:cs="Arial" w:eastAsia="Arial" w:hAnsi="Arial"/>
          <w:sz w:val="15"/>
          <w:szCs w:val="15"/>
          <w:color w:val="auto"/>
        </w:rPr>
        <w:t>Adverse U.S. federal income tax rules apply to a U.S. Holder that owns an equity interest in a non-U.S. corporation that is classified as a PFIC for U.S. federal income tax purposes. In general, we will be treated as a PFIC with respect to a U.S. Holder if, for any taxable year in which the holder held our units, either:</w:t>
      </w:r>
    </w:p>
    <w:p>
      <w:pPr>
        <w:sectPr>
          <w:pgSz w:w="11900" w:h="16838" w:orient="portrait"/>
          <w:cols w:equalWidth="0" w:num="1">
            <w:col w:w="11560"/>
          </w:cols>
          <w:pgMar w:left="160" w:top="51" w:right="179" w:bottom="1440" w:gutter="0" w:footer="0" w:header="0"/>
        </w:sectPr>
      </w:pP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least 75.0% of our gross income (including the gross income of our vessel-owning subsidiaries) for such taxable year consists of passive income (</w:t>
      </w:r>
      <w:r>
        <w:rPr>
          <w:rFonts w:ascii="Arial" w:cs="Arial" w:eastAsia="Arial" w:hAnsi="Arial"/>
          <w:sz w:val="18"/>
          <w:szCs w:val="18"/>
          <w:i w:val="1"/>
          <w:iCs w:val="1"/>
          <w:color w:val="auto"/>
        </w:rPr>
        <w:t>e.g.</w:t>
      </w:r>
      <w:r>
        <w:rPr>
          <w:rFonts w:ascii="Arial" w:cs="Arial" w:eastAsia="Arial" w:hAnsi="Arial"/>
          <w:sz w:val="18"/>
          <w:szCs w:val="18"/>
          <w:color w:val="auto"/>
        </w:rPr>
        <w:t>, dividends, interest, capital gains from the sale or exchange of investment property and rents derived other than in the active conduct of a rental business); or</w:t>
      </w:r>
    </w:p>
    <w:p>
      <w:pPr>
        <w:spacing w:after="0" w:line="194"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least 50.0% of the average value of the assets held by us (including the assets of our vessel-owning subsidiaries) during such taxable year produce, or are held for the production of, passive income.</w:t>
      </w:r>
    </w:p>
    <w:p>
      <w:pPr>
        <w:spacing w:after="0" w:line="186"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right="120" w:firstLine="351"/>
        <w:spacing w:after="0" w:line="259" w:lineRule="auto"/>
        <w:rPr>
          <w:sz w:val="20"/>
          <w:szCs w:val="20"/>
          <w:color w:val="auto"/>
        </w:rPr>
      </w:pPr>
      <w:r>
        <w:rPr>
          <w:rFonts w:ascii="Arial" w:cs="Arial" w:eastAsia="Arial" w:hAnsi="Arial"/>
          <w:sz w:val="18"/>
          <w:szCs w:val="18"/>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Based on our past, current and projected methods of operation, and an opinion of counsel, we do not believe that we were, are or will be a PFIC for any of previous taxable years or for our current or any future taxable year. We have received opinions of our U.S. counsel, Cravath, Swaine &amp; Moore LLP,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taxable years arose and that we expect that more than 25.0% of our gross income for our current and each future taxable year will arise from such time-chartering activities, and more than 50.0% of the average value of our assets for each such year was or will be held for the production of such nonpassive income. Assuming the composition of our income and assets is consistent with these representations, and assuming the accuracy of other representations we have made to our U.S. counsel for purposes of their opinion, our U.S. counsel is of the opinion that we should not be a PFIC any of our previous taxable years or for our current or any future taxable year.</w:t>
      </w:r>
    </w:p>
    <w:p>
      <w:pPr>
        <w:spacing w:after="0" w:line="173"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Our counsel has indicated to us that the conclusions described above are not free from doubt. While there is legal authority supporting our conclusions, including IRS pronouncements concerning the characterization of income derived from time charters as services income, the United States Court of Appeals for the Fifth Circuit (or the Fifth Circuit) held in </w:t>
      </w:r>
      <w:r>
        <w:rPr>
          <w:rFonts w:ascii="Arial" w:cs="Arial" w:eastAsia="Arial" w:hAnsi="Arial"/>
          <w:sz w:val="16"/>
          <w:szCs w:val="16"/>
          <w:i w:val="1"/>
          <w:iCs w:val="1"/>
          <w:color w:val="auto"/>
        </w:rPr>
        <w:t>Tidewater Inc. v. United States</w:t>
      </w:r>
      <w:r>
        <w:rPr>
          <w:rFonts w:ascii="Arial" w:cs="Arial" w:eastAsia="Arial" w:hAnsi="Arial"/>
          <w:sz w:val="16"/>
          <w:szCs w:val="16"/>
          <w:color w:val="auto"/>
        </w:rPr>
        <w:t>, 565 F.3d 299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Tidewater case and, at the same time, announced the position of the IRS that the marine time charter agreements at issue in that case should be treated as service contracts.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taxable year, we cannot assure unitholders that the nature of our operations will not change in the future and that we will not become a PFIC in any future taxable year.</w:t>
      </w:r>
    </w:p>
    <w:p>
      <w:pPr>
        <w:spacing w:after="0" w:line="172"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discussed more fully below, if we were to be treated as a PFIC for any taxable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common units, as discussed below. In addition, if a U.S. Holder owns our common units during any taxable year that we are a PFIC, such units owned by such holder will be treated as PFIC units even if we are not a PFIC in a subsequent year and, if the total value of all PFIC stock that such holder directly or indirectly owns exceeds certain thresholds, such holder must file IRS Form 8621 with your U.S. federal income tax return to report your ownership of our common units..</w:t>
      </w:r>
    </w:p>
    <w:p>
      <w:pPr>
        <w:spacing w:after="0" w:line="174"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we were to be treated as a PFIC for any taxable year, and a U.S. Holder makes a timely QEF election, such holder hereinafter an "Electing Holder", then, for U.S. federal income tax purposes, that holder must report as income for its taxable year its pro rata share of our ordinary earnings and net capital gain, if any, for our taxable years that end with or within the taxable year for which that holder is reporting, regardless of whether or not the Electing Holder received distributions from us in that year. The Electing Holder's adjusted tax basis in the common units will be increased to reflect taxed but undistributed earnings and profits. Distributions of earnings and profits that were previously taxed will result in a corresponding reduction in the Electing Holder's adjusted tax basis in common units and will not be taxed again once distributed. An Electing Holder generally will recognize capital gain or loss on the sale, exchange or other disposition of our common units. A U.S. Holder makes a QEF election with respect to any year that we are a PFIC by filing IRS Form 8621 with its U.S. federal income tax return. If, contrary to our expectations, we determine that we are treated as a PFIC for any taxable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were to be treated as a PFIC for any taxable year and, as we anticipate, our units were treated as "marketable stock", then, as an alternative to making a QEF election,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U.S. Holder's common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units at the end of the taxable year over the holder's adjusted tax basis in the common units. The U.S. Holder also would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its common units would be adjusted to reflect any such income or loss recognized. Gain recognized on the sale, exchange or other disposition of our common units would be treated as ordinary income, and any loss recognized on the sale, exchange or other disposition of the common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we were to be treated as a PFIC for any taxable year, a U.S. Holder that does not make either a QEF election or a "mark-to-market" election for that year, such holder hereinafter a "Non-Electing Holder", would be subject to special rules resulting in increased tax liability with respect to (1) any excess distribution (</w:t>
      </w:r>
      <w:r>
        <w:rPr>
          <w:rFonts w:ascii="Arial" w:cs="Arial" w:eastAsia="Arial" w:hAnsi="Arial"/>
          <w:sz w:val="16"/>
          <w:szCs w:val="16"/>
          <w:i w:val="1"/>
          <w:iCs w:val="1"/>
          <w:color w:val="auto"/>
        </w:rPr>
        <w:t>i.e.</w:t>
      </w:r>
      <w:r>
        <w:rPr>
          <w:rFonts w:ascii="Arial" w:cs="Arial" w:eastAsia="Arial" w:hAnsi="Arial"/>
          <w:sz w:val="16"/>
          <w:szCs w:val="16"/>
          <w:color w:val="auto"/>
        </w:rPr>
        <w:t>, the portion of any distributions received by the Non-Electing Holder on our common units in a taxable year in excess of 125.0% of the average annual distributions received by the Non-Electing Holder in the three preceding taxable years, or, if shorter, the portion of the Non-Electing Holder's holding period for the common units before the taxable year) and (2) any gain realized on the sale, exchange or other disposition of the units. Under these special rules:</w:t>
      </w:r>
    </w:p>
    <w:p>
      <w:pPr>
        <w:sectPr>
          <w:pgSz w:w="11900" w:h="16838" w:orient="portrait"/>
          <w:cols w:equalWidth="0" w:num="1">
            <w:col w:w="11560"/>
          </w:cols>
          <w:pgMar w:left="160" w:top="51" w:right="179" w:bottom="1440" w:gutter="0" w:footer="0" w:header="0"/>
        </w:sectPr>
      </w:pPr>
    </w:p>
    <w:p>
      <w:pPr>
        <w:spacing w:after="0" w:line="16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excess distribution or gain would be allocated ratably over the Non-Electing Holder's aggregate holding period for the common units;</w:t>
      </w:r>
    </w:p>
    <w:p>
      <w:pPr>
        <w:spacing w:after="0" w:line="27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amount allocated to the current taxable year and any taxable year prior to the taxable year we were first treated as a PFIC with respect to the Non-Electing Holder would be taxed as ordinary income; and</w:t>
      </w:r>
    </w:p>
    <w:p>
      <w:pPr>
        <w:spacing w:after="0" w:line="19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taxpayers for that year, and an interest charge for the deemed deferral benefit would be imposed with respect to the resulting tax attributable to each such other taxable year.</w:t>
      </w:r>
    </w:p>
    <w:p>
      <w:pPr>
        <w:spacing w:after="0" w:line="194"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right="40" w:firstLine="348"/>
        <w:spacing w:after="0" w:line="298" w:lineRule="auto"/>
        <w:rPr>
          <w:sz w:val="20"/>
          <w:szCs w:val="20"/>
          <w:color w:val="auto"/>
        </w:rPr>
      </w:pPr>
      <w:r>
        <w:rPr>
          <w:rFonts w:ascii="Arial" w:cs="Arial" w:eastAsia="Arial" w:hAnsi="Arial"/>
          <w:sz w:val="16"/>
          <w:szCs w:val="16"/>
          <w:color w:val="auto"/>
        </w:rPr>
        <w:t>These penalties would not apply to a qualified pension, profit sharing or other retirement trust or other tax-exempt organization that did not borrow money or otherwise utilize leverage in 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 A Non-Electing Holder may be required to report its ownership of our common units by filing IRS Form 8621 with its U.S. federal income tax return.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ind w:right="280" w:firstLine="341"/>
        <w:spacing w:after="0" w:line="256" w:lineRule="auto"/>
        <w:rPr>
          <w:sz w:val="20"/>
          <w:szCs w:val="20"/>
          <w:color w:val="auto"/>
        </w:rPr>
      </w:pPr>
      <w:r>
        <w:rPr>
          <w:rFonts w:ascii="Arial" w:cs="Arial" w:eastAsia="Arial" w:hAnsi="Arial"/>
          <w:sz w:val="18"/>
          <w:szCs w:val="18"/>
          <w:color w:val="auto"/>
        </w:rPr>
        <w:t>A beneficial owner of our common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common units, you are encouraged to consult your own tax advisor regarding the tax consequences to you of the partnership's ownership of our common units.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and, if required by such income tax treaty, the income arising from the distribution is not attributable to a U.S. permanent establishment maintained by the Non-U.S. Holder.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general, a Non-U.S. Holder is not subject to U.S. federal income tax or withholding tax on any gain resulting from the disposition of our common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(and required by such income tax treaty) such gain also is attributable to a U.S. permanent establishment). However, even if not engaged in a U.S. trade or business, individual Non-U.S. Holders may be subject to tax on gain resulting from the disposition of our common units if they are present in the United States for 183 days or more during the taxable year in which those units are disposed and meet certain other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general, payments to a U.S. Individual Holder of distributions or the proceeds of a disposition of common units will be subject to information reporting.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payments to a U.S. Individual Holder also may be subject to backup withholding if the U.S. Individual Holder:</w:t>
      </w:r>
    </w:p>
    <w:p>
      <w:pPr>
        <w:spacing w:after="0" w:line="21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fails to provide an accurate taxpayer identification number;</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is notified by the IRS that it has failed to report all interest or corporate distributions required to be reported on its U.S. federal income tax returns; or</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in certain circumstances, fails to comply with applicable certification requirements.</w:t>
      </w:r>
    </w:p>
    <w:p>
      <w:pPr>
        <w:spacing w:after="0" w:line="23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by certifying their status on IRS Form W-8BEN, W-8BEN-E, W-8ECI or W-8IMY, as applicable.</w:t>
      </w:r>
    </w:p>
    <w:p>
      <w:pPr>
        <w:spacing w:after="0" w:line="186"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14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U.S. Holders purchasing more than $100,000 of our common units in this offering may be required to file IRS Form 926 reporting such payment. For purposes of determining the total dollar value of common units purchased by a U.S. Holder in this offering, units purchased by certain related parties (including family members) are included. Substantial penalties may be imposed upon a U.S. Holder that fails to comply with this reporting obligation. Each U.S. Holder is encouraged to consult its own tax advisor as to the possible obligation to file IRS Form 926.</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individual citizens or residents of the United States holding certain "foreign financial assets" (which generally includes stock and other securities issued by a foreign person unless held in 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account maintained by a financial institution) that exceed certain thresholds (the lowest being holding foreign financial assets with an aggregate value in excess of:</w:t>
      </w:r>
    </w:p>
    <w:p>
      <w:pPr>
        <w:spacing w:after="0" w:line="50" w:lineRule="exact"/>
        <w:rPr>
          <w:sz w:val="20"/>
          <w:szCs w:val="20"/>
          <w:color w:val="auto"/>
        </w:rPr>
      </w:pPr>
    </w:p>
    <w:p>
      <w:pPr>
        <w:ind w:right="360" w:firstLine="8"/>
        <w:spacing w:after="0" w:line="302"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$50,000 on the last day of the tax year or (2) $75,000 at any time during the tax year) are required to report information relating to such assets. Significant penalties may apply for failure to satisfy the reporting obligations described above. Unitholders are encouraged to consult their tax advisors regarding their reporting obligations, if any, that would result from their purchase, ownership or disposition of our units.</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the context otherwise requires, references in this section to "we", "our" or "us" are references to GasLog Partners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 Consequences</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following discussion is based upon the opinion of Cozen O'Connor, our counsel as to matters of the laws of the Republic of the Marshall Islands, and the current laws of the Republic of the Marshall Islands applicable to persons who do not reside in, maintain offices in or engage in business in the Republic of the Marshall Islands.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Because we and our subsidiaries do not and do not expect to conduct business or operations in the Republic of the Marshall Islands, and because all documentation related to this offering will be executed outside of the Republic of the Marshall Islands, under current Marshall Islands law you will not be subject to Marshall Islands taxation or withholding on distributions, including upon distribution treated as a return of capital, we make to you as a unitholder (so long as you are not a citizen or resident of the Marshall Islands). In addition, you will not be subject to Marshall Islands stamp, capital gains or other taxes on the purchase, ownership or disposition of common units, and you will not be required by the Republic of the Marshall Islands to file a tax return relating to your ownership of common units (so long as you are not a citizen or resident of the Marshall Islands).</w:t>
      </w:r>
    </w:p>
    <w:p>
      <w:pPr>
        <w:spacing w:after="0" w:line="17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EACH PROSPECTIVE UNITHOLDER IS ENCOURAGED TO CONSULT ITS OWN TAX COUNSEL OR OTHER ADVISOR WITH REGARD TO THE LEGAL AND TAX CONSEQUENCES OF UNIT OWNERSHIP UNDER ITS PARTICULAR CIRCUMSTANCES.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We have entered into the Third Amended and Restated Equity Distribution Agreement with Citigroup Global Markets Inc., Merrill Lynch, Pierce, Fenner &amp; Smith Incorporated, Credit Suisse Securities (USA) LLC, Morgan Stanley &amp; Co. LLC and UBS Securities LLC, or the "Agents", under which we may offer and sell common units representing limited partner interests in GasLog Partners LP having an aggregate offering price of up to $250.0 million from time to time through the Agents, as our sales agents. As of the date of this prospectus supplement, we have issued and sold common units having an aggregate offering price of</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$123.4 million which means that we may sell common units having an aggregate offering price of up to $126.6 million. We have filed the Third Amended and Restated Equity Distribution Agreement as an exhibit to a Report on Form 6-K, which is incorporated by reference in this prospectus supplement. The sales, if any, of common units made under the Third Amended and Restated Equity Distribution Agreement will be made by means of ordinary brokers' transactions on the NYSE at market prices, in block transactions, or as otherwise agreed upon by the Agents and us. As sales agents, the Agents will not engage in any transactions that stabilize the price of our common units.</w:t>
      </w:r>
    </w:p>
    <w:p>
      <w:pPr>
        <w:spacing w:after="0" w:line="199"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Under the terms of the Third Amended and Restated Equity Distribution Agreement, we also may sell common units to the Agents as principals for their own account at a price agreed upon at the time of sale. If we sell common units to the Agents as principals, we will enter into a separate agreement with the Agents, and we will describe this agreement in a separate prospectus supplement or pricing supplement.</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will designate the maximum amount of common units to be sold through the Agents on a daily basis or otherwise as we and the Agents agree and the minimum price per unit at which such common units may be sold. Subject to the terms and conditions of the Third Amended and Restated Equity Distribution Agreement, the Agents will use their reasonable efforts to sell on our behalf all of the designated common units. We may instruct the Agents not to sell any common units if the sales cannot be effected at or above the price designated by us in any such instruction. We or the Agents may suspend the offering of common units at any time and from time to time by notifying the other party.</w:t>
      </w:r>
    </w:p>
    <w:p>
      <w:pPr>
        <w:spacing w:after="0" w:line="20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Agents will provide to us written confirmation following the close of trading on the NYSE each day on which common units are sold under the Third Amended and Restated Equity Distribution Agreement. Each confirmation will include the number of common units sold on that day, the gross sales proceeds, the net proceeds to us (after regulatory transaction fees, if any, but before other expenses) and the compensation payable by us to the Agents. We will report at least quarterly the number of common units sold through the Agents under the Third Amended and Restated Equity Distribution Agreement, the net proceeds to us (before expenses) and the compensation paid by us to the Agents in connection with the sales of common units.</w:t>
      </w:r>
    </w:p>
    <w:p>
      <w:pPr>
        <w:spacing w:after="0" w:line="169"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will pay the Agents a commission of up to 2.0% of the gross sales price per common units sold through it as our agents under the Third Amended and Restated Equity Distribution Agreement. We have agreed to reimburse the Agents for certain of their expenses in an amount up to (1) $120,000 in any consecutive four quarter period starting from the date of this prospectus supplement and (2) $270,000 over the duration of the Third Amended and Restated Equity Distribution Agreement.</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Settlement for sales of common units will occur on the second business day following the date on which such sales are made in return for payment of the net proceeds to us. There is no arrangement for funds to be received in an escrow, trust or similar arrangement.</w:t>
      </w:r>
    </w:p>
    <w:p>
      <w:pPr>
        <w:spacing w:after="0" w:line="186"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If we or the Agents have reason to believe that our common units are no longer an "actively-traded security" as defined under Rule 101(c)(l) of Regulation M under the U.S. Securities Exchange Act of 1934, as amended, such party will promptly notify the other and sales of common units pursuant to the Third Amended and Restated Equity Distribution Agreement or any terms agreement will be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suspended until, in our collective judgment, Rule 101(c)(1) or another exemptive provision has been satisfied.</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offering of common units pursuant to the Third Amended and Restated Equity Distribution Agreement will terminate upon the earlier of (1) the sale of all common units subject to the Third Amended and Restated Equity Distribution Agreement and (2) the termination of the Third Amended and Restated Equity Distribution Agreement by us or by the Agents.</w:t>
      </w:r>
    </w:p>
    <w:p>
      <w:pPr>
        <w:spacing w:after="0" w:line="19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connection with the sale of the common units on our behalf, each of the Agents may be deemed to be an "underwriter" within the meaning of the Securities Act of 1933, as amended (the "Securities Act"), and the compensation paid to the Agents may be deemed to be underwriting commissions or discounts. We have agreed to provide indemnification and contribution to the Agents against certain liabilities, including liabilities under the Securities Act.</w:t>
      </w:r>
    </w:p>
    <w:p>
      <w:pPr>
        <w:spacing w:after="0" w:line="16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Agents and their affiliates have, from time to time, performed, and may in the future perform, various financial advisory and commercial and investment banking services for us and our affiliates, for which they have received and in the future will receive customary compensation and expense reimbursement. Affiliates of the Agents are lenders under certain of our and our affiliates' credit facilities. To the extent we use proceeds from this offering to repay indebtedness under our credit facilities, affiliates of the Agents may receive a portion of the proceeds from this offering. In addition, in the ordinary course of their various business activities, the Agents and their affiliates may make or hold a broad array of investments and actively trade debt and equity securities (or related derivative securities) and financial instruments for their own account and for the accounts of their customers and may at any time hold long and short positions in such securities and instruments. Such investment and securities activities may involve our securities and instruments. The Agents and their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common units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 Certain matters with respect to this offering will be passed upon for the underwriter by Latham &amp; Watkins LLP.</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consolidated financial statements incorporated in this prospectus supplement by reference from the Company's Annual Report on Form 20-F for the year ended December 31, 2018, and the effectiveness of GasLog Partners LP's internal control over financial reporting have been audited by Deloitte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1 New Street Square, London, EC4A 3HQ, United Kingdom.</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EXPENSES RELATED TO THIS OFFERING</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the main costs and expenses, other than the underwriting discounts and commissions, in connection with this offering, which we will be required to pay.</w:t>
      </w:r>
    </w:p>
    <w:p>
      <w:pPr>
        <w:spacing w:after="0" w:line="194"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30,300</w:t>
            </w:r>
          </w:p>
        </w:tc>
        <w:tc>
          <w:tcPr>
            <w:tcW w:w="0" w:type="dxa"/>
            <w:vAlign w:val="bottom"/>
          </w:tcPr>
          <w:p>
            <w:pPr>
              <w:spacing w:after="0"/>
              <w:rPr>
                <w:sz w:val="1"/>
                <w:szCs w:val="1"/>
                <w:color w:val="auto"/>
              </w:rPr>
            </w:pPr>
          </w:p>
        </w:tc>
      </w:tr>
      <w:tr>
        <w:trPr>
          <w:trHeight w:val="216"/>
        </w:trPr>
        <w:tc>
          <w:tcPr>
            <w:tcW w:w="5300" w:type="dxa"/>
            <w:vAlign w:val="bottom"/>
            <w:gridSpan w:val="3"/>
          </w:tcPr>
          <w:p>
            <w:pPr>
              <w:spacing w:after="0"/>
              <w:rPr>
                <w:sz w:val="20"/>
                <w:szCs w:val="20"/>
                <w:color w:val="auto"/>
              </w:rPr>
            </w:pPr>
            <w:r>
              <w:rPr>
                <w:rFonts w:ascii="Arial" w:cs="Arial" w:eastAsia="Arial" w:hAnsi="Arial"/>
                <w:sz w:val="18"/>
                <w:szCs w:val="18"/>
                <w:color w:val="auto"/>
              </w:rPr>
              <w:t>The NYSE listing fee</w:t>
            </w:r>
          </w:p>
        </w:tc>
        <w:tc>
          <w:tcPr>
            <w:tcW w:w="1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530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1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costs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5300" w:type="dxa"/>
            <w:vAlign w:val="bottom"/>
            <w:gridSpan w:val="3"/>
          </w:tcPr>
          <w:p>
            <w:pPr>
              <w:spacing w:after="0"/>
              <w:rPr>
                <w:sz w:val="20"/>
                <w:szCs w:val="20"/>
                <w:color w:val="auto"/>
              </w:rPr>
            </w:pPr>
            <w:r>
              <w:rPr>
                <w:rFonts w:ascii="Arial" w:cs="Arial" w:eastAsia="Arial" w:hAnsi="Arial"/>
                <w:sz w:val="18"/>
                <w:szCs w:val="18"/>
                <w:color w:val="auto"/>
              </w:rPr>
              <w:t>Transfer agent fees and other</w:t>
            </w:r>
          </w:p>
        </w:tc>
        <w:tc>
          <w:tcPr>
            <w:tcW w:w="1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5300" w:type="dxa"/>
            <w:vAlign w:val="bottom"/>
            <w:gridSpan w:val="3"/>
          </w:tcPr>
          <w:p>
            <w:pPr>
              <w:spacing w:after="0" w:line="203" w:lineRule="exact"/>
              <w:rPr>
                <w:sz w:val="20"/>
                <w:szCs w:val="20"/>
                <w:color w:val="auto"/>
              </w:rPr>
            </w:pPr>
            <w:r>
              <w:rPr>
                <w:rFonts w:ascii="Arial" w:cs="Arial" w:eastAsia="Arial" w:hAnsi="Arial"/>
                <w:sz w:val="18"/>
                <w:szCs w:val="18"/>
                <w:color w:val="auto"/>
              </w:rPr>
              <w:t>Miscellaneous</w:t>
            </w:r>
          </w:p>
        </w:tc>
        <w:tc>
          <w:tcPr>
            <w:tcW w:w="1260" w:type="dxa"/>
            <w:vAlign w:val="bottom"/>
          </w:tcPr>
          <w:p>
            <w:pPr>
              <w:spacing w:after="0"/>
              <w:rPr>
                <w:sz w:val="17"/>
                <w:szCs w:val="17"/>
                <w:color w:val="auto"/>
              </w:rPr>
            </w:pPr>
          </w:p>
        </w:tc>
        <w:tc>
          <w:tcPr>
            <w:tcW w:w="140" w:type="dxa"/>
            <w:vAlign w:val="bottom"/>
          </w:tcPr>
          <w:p>
            <w:pPr>
              <w:spacing w:after="0" w:line="203" w:lineRule="exact"/>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ind w:right="93"/>
              <w:spacing w:after="0" w:line="203" w:lineRule="exact"/>
              <w:rPr>
                <w:sz w:val="20"/>
                <w:szCs w:val="20"/>
                <w:color w:val="auto"/>
              </w:rPr>
            </w:pPr>
            <w:r>
              <w:rPr>
                <w:rFonts w:ascii="Arial" w:cs="Arial" w:eastAsia="Arial" w:hAnsi="Arial"/>
                <w:sz w:val="18"/>
                <w:szCs w:val="18"/>
                <w:u w:val="single" w:color="auto"/>
                <w:color w:val="auto"/>
              </w:rPr>
              <w:t>13,700</w:t>
            </w:r>
          </w:p>
        </w:tc>
        <w:tc>
          <w:tcPr>
            <w:tcW w:w="0" w:type="dxa"/>
            <w:vAlign w:val="bottom"/>
          </w:tcPr>
          <w:p>
            <w:pPr>
              <w:spacing w:after="0"/>
              <w:rPr>
                <w:sz w:val="1"/>
                <w:szCs w:val="1"/>
                <w:color w:val="auto"/>
              </w:rPr>
            </w:pPr>
          </w:p>
        </w:tc>
      </w:tr>
      <w:tr>
        <w:trPr>
          <w:trHeight w:val="33"/>
        </w:trPr>
        <w:tc>
          <w:tcPr>
            <w:tcW w:w="440" w:type="dxa"/>
            <w:vAlign w:val="bottom"/>
          </w:tcPr>
          <w:p>
            <w:pPr>
              <w:spacing w:after="0" w:line="33" w:lineRule="exact"/>
              <w:rPr>
                <w:sz w:val="20"/>
                <w:szCs w:val="20"/>
                <w:color w:val="auto"/>
              </w:rPr>
            </w:pPr>
            <w:r>
              <w:rPr>
                <w:rFonts w:ascii="Arial" w:cs="Arial" w:eastAsia="Arial" w:hAnsi="Arial"/>
                <w:sz w:val="3"/>
                <w:szCs w:val="3"/>
                <w:color w:val="auto"/>
              </w:rPr>
              <w:t>â€‹</w:t>
            </w:r>
          </w:p>
        </w:tc>
        <w:tc>
          <w:tcPr>
            <w:tcW w:w="1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60" w:type="dxa"/>
            <w:vAlign w:val="bottom"/>
          </w:tcPr>
          <w:p>
            <w:pPr>
              <w:ind w:left="1100"/>
              <w:spacing w:after="0" w:line="33" w:lineRule="exact"/>
              <w:rPr>
                <w:sz w:val="20"/>
                <w:szCs w:val="20"/>
                <w:color w:val="auto"/>
              </w:rPr>
            </w:pPr>
            <w:r>
              <w:rPr>
                <w:rFonts w:ascii="Arial" w:cs="Arial" w:eastAsia="Arial" w:hAnsi="Arial"/>
                <w:sz w:val="3"/>
                <w:szCs w:val="3"/>
                <w:color w:val="auto"/>
              </w:rPr>
              <w:t>â€‹</w:t>
            </w:r>
          </w:p>
        </w:tc>
        <w:tc>
          <w:tcPr>
            <w:tcW w:w="14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800" w:type="dxa"/>
            <w:vAlign w:val="bottom"/>
          </w:tcPr>
          <w:p>
            <w:pPr>
              <w:jc w:val="right"/>
              <w:ind w:right="53"/>
              <w:spacing w:after="0" w:line="33"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0" w:type="dxa"/>
            <w:vAlign w:val="bottom"/>
          </w:tcPr>
          <w:p>
            <w:pPr>
              <w:spacing w:after="0" w:line="20" w:lineRule="exact"/>
              <w:rPr>
                <w:sz w:val="1"/>
                <w:szCs w:val="1"/>
                <w:color w:val="auto"/>
              </w:rPr>
            </w:pPr>
          </w:p>
        </w:tc>
      </w:tr>
      <w:tr>
        <w:trPr>
          <w:trHeight w:val="197"/>
        </w:trPr>
        <w:tc>
          <w:tcPr>
            <w:tcW w:w="440" w:type="dxa"/>
            <w:vAlign w:val="bottom"/>
          </w:tcPr>
          <w:p>
            <w:pPr>
              <w:spacing w:after="0" w:line="197" w:lineRule="exact"/>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line="197" w:lineRule="exact"/>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ind w:right="93"/>
              <w:spacing w:after="0" w:line="197" w:lineRule="exact"/>
              <w:rPr>
                <w:sz w:val="20"/>
                <w:szCs w:val="20"/>
                <w:color w:val="auto"/>
              </w:rPr>
            </w:pPr>
            <w:r>
              <w:rPr>
                <w:rFonts w:ascii="Arial" w:cs="Arial" w:eastAsia="Arial" w:hAnsi="Arial"/>
                <w:sz w:val="18"/>
                <w:szCs w:val="18"/>
                <w:u w:val="single" w:color="auto"/>
                <w:color w:val="auto"/>
                <w:w w:val="95"/>
              </w:rPr>
              <w:t>394,000</w:t>
            </w:r>
          </w:p>
        </w:tc>
        <w:tc>
          <w:tcPr>
            <w:tcW w:w="0" w:type="dxa"/>
            <w:vAlign w:val="bottom"/>
          </w:tcPr>
          <w:p>
            <w:pPr>
              <w:spacing w:after="0"/>
              <w:rPr>
                <w:sz w:val="1"/>
                <w:szCs w:val="1"/>
                <w:color w:val="auto"/>
              </w:rPr>
            </w:pPr>
          </w:p>
        </w:tc>
      </w:tr>
      <w:tr>
        <w:trPr>
          <w:trHeight w:val="33"/>
        </w:trPr>
        <w:tc>
          <w:tcPr>
            <w:tcW w:w="440" w:type="dxa"/>
            <w:vAlign w:val="bottom"/>
          </w:tcPr>
          <w:p>
            <w:pPr>
              <w:spacing w:after="0" w:line="34" w:lineRule="exact"/>
              <w:rPr>
                <w:sz w:val="20"/>
                <w:szCs w:val="20"/>
                <w:color w:val="auto"/>
              </w:rPr>
            </w:pPr>
            <w:r>
              <w:rPr>
                <w:rFonts w:ascii="Arial" w:cs="Arial" w:eastAsia="Arial" w:hAnsi="Arial"/>
                <w:sz w:val="3"/>
                <w:szCs w:val="3"/>
                <w:color w:val="auto"/>
              </w:rPr>
              <w:t>â€‹</w:t>
            </w:r>
          </w:p>
        </w:tc>
        <w:tc>
          <w:tcPr>
            <w:tcW w:w="1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60" w:type="dxa"/>
            <w:vAlign w:val="bottom"/>
          </w:tcPr>
          <w:p>
            <w:pPr>
              <w:ind w:left="1100"/>
              <w:spacing w:after="0" w:line="34" w:lineRule="exact"/>
              <w:rPr>
                <w:sz w:val="20"/>
                <w:szCs w:val="20"/>
                <w:color w:val="auto"/>
              </w:rPr>
            </w:pPr>
            <w:r>
              <w:rPr>
                <w:rFonts w:ascii="Arial" w:cs="Arial" w:eastAsia="Arial" w:hAnsi="Arial"/>
                <w:sz w:val="3"/>
                <w:szCs w:val="3"/>
                <w:color w:val="auto"/>
              </w:rPr>
              <w:t>â€‹</w:t>
            </w:r>
          </w:p>
        </w:tc>
        <w:tc>
          <w:tcPr>
            <w:tcW w:w="14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800" w:type="dxa"/>
            <w:vAlign w:val="bottom"/>
          </w:tcPr>
          <w:p>
            <w:pPr>
              <w:jc w:val="right"/>
              <w:ind w:right="53"/>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0" w:type="dxa"/>
            <w:vAlign w:val="bottom"/>
          </w:tcPr>
          <w:p>
            <w:pPr>
              <w:spacing w:after="0" w:line="20" w:lineRule="exact"/>
              <w:rPr>
                <w:sz w:val="1"/>
                <w:szCs w:val="1"/>
                <w:color w:val="auto"/>
              </w:rPr>
            </w:pPr>
          </w:p>
        </w:tc>
      </w:tr>
      <w:tr>
        <w:trPr>
          <w:trHeight w:val="28"/>
        </w:trPr>
        <w:tc>
          <w:tcPr>
            <w:tcW w:w="440" w:type="dxa"/>
            <w:vAlign w:val="bottom"/>
            <w:vMerge w:val="restart"/>
          </w:tcPr>
          <w:p>
            <w:pPr>
              <w:spacing w:after="0"/>
              <w:rPr>
                <w:sz w:val="20"/>
                <w:szCs w:val="20"/>
                <w:color w:val="auto"/>
              </w:rPr>
            </w:pPr>
            <w:r>
              <w:rPr>
                <w:rFonts w:ascii="Arial" w:cs="Arial" w:eastAsia="Arial" w:hAnsi="Arial"/>
                <w:sz w:val="3"/>
                <w:szCs w:val="3"/>
                <w:color w:val="auto"/>
              </w:rPr>
              <w:t>â€‹</w:t>
            </w:r>
          </w:p>
        </w:tc>
        <w:tc>
          <w:tcPr>
            <w:tcW w:w="1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60" w:type="dxa"/>
            <w:vAlign w:val="bottom"/>
            <w:vMerge w:val="restart"/>
          </w:tcPr>
          <w:p>
            <w:pPr>
              <w:ind w:left="1100"/>
              <w:spacing w:after="0"/>
              <w:rPr>
                <w:sz w:val="20"/>
                <w:szCs w:val="20"/>
                <w:color w:val="auto"/>
              </w:rPr>
            </w:pPr>
            <w:r>
              <w:rPr>
                <w:rFonts w:ascii="Arial" w:cs="Arial" w:eastAsia="Arial" w:hAnsi="Arial"/>
                <w:sz w:val="3"/>
                <w:szCs w:val="3"/>
                <w:color w:val="auto"/>
              </w:rPr>
              <w:t>â€‹</w:t>
            </w:r>
          </w:p>
        </w:tc>
        <w:tc>
          <w:tcPr>
            <w:tcW w:w="140" w:type="dxa"/>
            <w:vAlign w:val="bottom"/>
          </w:tcPr>
          <w:p>
            <w:pPr>
              <w:spacing w:after="0" w:line="28" w:lineRule="exact"/>
              <w:rPr>
                <w:sz w:val="20"/>
                <w:szCs w:val="20"/>
                <w:color w:val="auto"/>
              </w:rPr>
            </w:pPr>
            <w:r>
              <w:rPr>
                <w:rFonts w:ascii="Arial" w:cs="Arial" w:eastAsia="Arial" w:hAnsi="Arial"/>
                <w:sz w:val="3"/>
                <w:szCs w:val="3"/>
                <w:color w:val="auto"/>
              </w:rPr>
              <w:t>â€‹</w:t>
            </w:r>
          </w:p>
        </w:tc>
        <w:tc>
          <w:tcPr>
            <w:tcW w:w="800" w:type="dxa"/>
            <w:vAlign w:val="bottom"/>
            <w:vMerge w:val="restart"/>
          </w:tcPr>
          <w:p>
            <w:pPr>
              <w:jc w:val="right"/>
              <w:ind w:right="53"/>
              <w:spacing w:after="0"/>
              <w:rPr>
                <w:sz w:val="20"/>
                <w:szCs w:val="20"/>
                <w:color w:val="auto"/>
              </w:rPr>
            </w:pPr>
            <w:r>
              <w:rPr>
                <w:rFonts w:ascii="Arial" w:cs="Arial" w:eastAsia="Arial" w:hAnsi="Arial"/>
                <w:sz w:val="5"/>
                <w:szCs w:val="5"/>
                <w:color w:val="auto"/>
                <w:vertAlign w:val="superscript"/>
              </w:rPr>
              <w:t>â€‹</w:t>
            </w:r>
            <w:r>
              <w:rPr>
                <w:rFonts w:ascii="Arial" w:cs="Arial" w:eastAsia="Arial" w:hAnsi="Arial"/>
                <w:sz w:val="3"/>
                <w:szCs w:val="3"/>
                <w:color w:val="auto"/>
              </w:rPr>
              <w:t>â€‹</w:t>
            </w:r>
          </w:p>
        </w:tc>
        <w:tc>
          <w:tcPr>
            <w:tcW w:w="0" w:type="dxa"/>
            <w:vAlign w:val="bottom"/>
          </w:tcPr>
          <w:p>
            <w:pPr>
              <w:spacing w:after="0" w:line="20" w:lineRule="exact"/>
              <w:rPr>
                <w:sz w:val="1"/>
                <w:szCs w:val="1"/>
                <w:color w:val="auto"/>
              </w:rPr>
            </w:pPr>
          </w:p>
        </w:tc>
      </w:tr>
      <w:tr>
        <w:trPr>
          <w:trHeight w:val="49"/>
        </w:trPr>
        <w:tc>
          <w:tcPr>
            <w:tcW w:w="44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4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3"/>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100"/>
              <w:spacing w:after="0"/>
              <w:rPr>
                <w:sz w:val="20"/>
                <w:szCs w:val="20"/>
                <w:color w:val="auto"/>
              </w:rPr>
            </w:pPr>
            <w:r>
              <w:rPr>
                <w:rFonts w:ascii="Arial" w:cs="Arial" w:eastAsia="Arial" w:hAnsi="Arial"/>
                <w:sz w:val="13"/>
                <w:szCs w:val="13"/>
                <w:color w:val="auto"/>
              </w:rPr>
              <w:t>Previously paid.</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-658495</wp:posOffset>
            </wp:positionV>
            <wp:extent cx="476631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66310" cy="13716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-358140</wp:posOffset>
            </wp:positionV>
            <wp:extent cx="4972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SEC maintains a website at http://www.sec.gov that contains reports, proxy and information statements and other information regarding registrants that file electronically with the SEC. For further information pertaining to the securities offered by this prospectus supplement and GasLog Partners, reference is made to the registration statement.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supplement, and information that we file later with the SEC will also be considered to be part of this prospectus supplement and will automatically update and supersede previously filed information, including information contained in this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supplement incorporates by reference certain documents, to the extent noted therein, including the following:</w:t>
      </w:r>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our Annual Report on Form 20-F for the year ended December 31, 2018, filed with the SEC on February 26, 2019.</w:t>
      </w:r>
    </w:p>
    <w:p>
      <w:pPr>
        <w:spacing w:after="0" w:line="239"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our common units made by this prospectus supplement has been terminated. In all cases, you should rely on the later information over different information included in this prospectus supplement.</w:t>
      </w:r>
    </w:p>
    <w:p>
      <w:pPr>
        <w:spacing w:after="0" w:line="166"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will provide, free of charge upon written or oral request, to each person to whom this prospectus supplement is delivered, including any beneficial owner of our common units, a copy of any or all of the information that has been incorporated by reference into this prospectus supplement, but which has not been delivered with the prospectus supplement. Copies of these documents also may be obtained on the "Investor Relations" section of our website at www.gaslogmlp.com. Requests for such information should be made to us at the following address: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Nicola Lloyd, General Counsel</w:t>
      </w:r>
    </w:p>
    <w:p>
      <w:pPr>
        <w:spacing w:after="0" w:line="219" w:lineRule="exact"/>
        <w:rPr>
          <w:sz w:val="20"/>
          <w:szCs w:val="20"/>
          <w:color w:val="auto"/>
        </w:rPr>
      </w:pPr>
    </w:p>
    <w:p>
      <w:pPr>
        <w:ind w:right="100" w:firstLine="344"/>
        <w:spacing w:after="0" w:line="259" w:lineRule="auto"/>
        <w:rPr>
          <w:sz w:val="20"/>
          <w:szCs w:val="20"/>
          <w:color w:val="auto"/>
        </w:rPr>
      </w:pPr>
      <w:r>
        <w:rPr>
          <w:rFonts w:ascii="Arial" w:cs="Arial" w:eastAsia="Arial" w:hAnsi="Arial"/>
          <w:sz w:val="18"/>
          <w:szCs w:val="18"/>
          <w:color w:val="auto"/>
        </w:rPr>
        <w:t>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$750,000,000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Common Units Representing Limited Partner Interests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8.625% Series A Cumulative Redeemable Perpetual Fixed to Floating</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Rate Preference Units Representing Limited Partner Interests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Other Classes of Units Representing Limited Partner Interests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Rights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Combination Units</w:t>
      </w:r>
    </w:p>
    <w:p>
      <w:pPr>
        <w:spacing w:after="0" w:line="21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Through this prospectus, we may offer common units representing limited partner interests (the "Common Units"), 8.625% Series A Cumulative Redeemable Perpetual Fixed to Floating Rate Preference Units representing limited partner interests (the "Series A Preference Units") and other classes of units representing limited partner interests (the "Other Units"), debt securities, warrants to purchase Common Units, Series A Preference Units, Other Units or other rights (the "Warrants"), rights to purchase Common Units, Series A Preference Units and Other Units (the "Rights"), and units consisting of any combination of the Common Units, Series A Preference Units, Other Units, debt securities, Warrants and Rights (the "Combination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172" w:lineRule="exact"/>
        <w:rPr>
          <w:sz w:val="20"/>
          <w:szCs w:val="20"/>
          <w:color w:val="auto"/>
        </w:rPr>
      </w:pPr>
    </w:p>
    <w:p>
      <w:pPr>
        <w:ind w:firstLine="348"/>
        <w:spacing w:after="0" w:line="369" w:lineRule="auto"/>
        <w:rPr>
          <w:sz w:val="20"/>
          <w:szCs w:val="20"/>
          <w:color w:val="auto"/>
        </w:rPr>
      </w:pPr>
      <w:r>
        <w:rPr>
          <w:rFonts w:ascii="Arial" w:cs="Arial" w:eastAsia="Arial" w:hAnsi="Arial"/>
          <w:sz w:val="15"/>
          <w:szCs w:val="15"/>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118"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traded on the New York Stock Exchange under the symbol "GLOP".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A Preference Units are traded on the New York Stock Exchange under the symbol "GLOP PR A".</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principal executive offices are located at Gildo Pastor Center, 7 Rue du Gabian, MC 98000, Monaco. Our telephone number at such address is +377 97 97 51 15.</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22"/>
          <w:szCs w:val="22"/>
          <w:b w:val="1"/>
          <w:bCs w:val="1"/>
          <w:color w:val="auto"/>
        </w:rPr>
        <w:t>Investing in our securities involves risks. Before buying any securities you should carefully read the section entitled "Risk Factors" on page 5 of this prospectus.</w:t>
      </w:r>
    </w:p>
    <w:p>
      <w:pPr>
        <w:spacing w:after="0" w:line="175" w:lineRule="exact"/>
        <w:rPr>
          <w:sz w:val="20"/>
          <w:szCs w:val="20"/>
          <w:color w:val="auto"/>
        </w:rPr>
      </w:pPr>
    </w:p>
    <w:p>
      <w:pPr>
        <w:ind w:right="36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7980" w:type="dxa"/>
            <w:vAlign w:val="bottom"/>
            <w:gridSpan w:val="2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Table of Contents</w:t>
              </w:r>
            </w:hyperlink>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67"/>
        </w:trPr>
        <w:tc>
          <w:tcPr>
            <w:tcW w:w="1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80" w:type="dxa"/>
            <w:vAlign w:val="bottom"/>
            <w:gridSpan w:val="9"/>
          </w:tcPr>
          <w:p>
            <w:pPr>
              <w:jc w:val="center"/>
              <w:ind w:right="1260"/>
              <w:spacing w:after="0"/>
              <w:rPr>
                <w:sz w:val="20"/>
                <w:szCs w:val="20"/>
                <w:color w:val="auto"/>
              </w:rPr>
            </w:pPr>
            <w:r>
              <w:rPr>
                <w:rFonts w:ascii="Arial" w:cs="Arial" w:eastAsia="Arial" w:hAnsi="Arial"/>
                <w:sz w:val="18"/>
                <w:szCs w:val="18"/>
                <w:b w:val="1"/>
                <w:bCs w:val="1"/>
                <w:color w:val="auto"/>
                <w:w w:val="96"/>
              </w:rPr>
              <w:t>TABLE OF CONTENTS</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3"/>
        </w:trPr>
        <w:tc>
          <w:tcPr>
            <w:tcW w:w="1160" w:type="dxa"/>
            <w:vAlign w:val="bottom"/>
          </w:tcPr>
          <w:p>
            <w:pPr>
              <w:spacing w:after="0"/>
              <w:rPr>
                <w:sz w:val="24"/>
                <w:szCs w:val="24"/>
                <w:color w:val="auto"/>
              </w:rPr>
            </w:pPr>
          </w:p>
        </w:tc>
        <w:tc>
          <w:tcPr>
            <w:tcW w:w="6820" w:type="dxa"/>
            <w:vAlign w:val="bottom"/>
            <w:gridSpan w:val="2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FORWARD-LOOKING STATEMENTS</w:t>
              </w:r>
            </w:hyperlink>
          </w:p>
        </w:tc>
        <w:tc>
          <w:tcPr>
            <w:tcW w:w="3580" w:type="dxa"/>
            <w:vAlign w:val="bottom"/>
            <w:gridSpan w:val="4"/>
          </w:tcPr>
          <w:p>
            <w:pPr>
              <w:jc w:val="right"/>
              <w:ind w:right="1320"/>
              <w:spacing w:after="0"/>
              <w:rPr>
                <w:rFonts w:ascii="Arial" w:cs="Arial" w:eastAsia="Arial" w:hAnsi="Arial"/>
                <w:sz w:val="18"/>
                <w:szCs w:val="18"/>
                <w:color w:val="0000EE"/>
              </w:rPr>
            </w:pPr>
            <w:hyperlink w:anchor="page64">
              <w:r>
                <w:rPr>
                  <w:rFonts w:ascii="Arial" w:cs="Arial" w:eastAsia="Arial" w:hAnsi="Arial"/>
                  <w:sz w:val="18"/>
                  <w:szCs w:val="18"/>
                  <w:color w:val="0000EE"/>
                </w:rPr>
                <w:t>1</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20" w:type="dxa"/>
            <w:vAlign w:val="bottom"/>
            <w:gridSpan w:val="4"/>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THE COMPANY</w:t>
              </w:r>
            </w:hyperlink>
          </w:p>
        </w:tc>
        <w:tc>
          <w:tcPr>
            <w:tcW w:w="1620" w:type="dxa"/>
            <w:vAlign w:val="bottom"/>
            <w:gridSpan w:val="7"/>
          </w:tcPr>
          <w:p>
            <w:pPr>
              <w:spacing w:after="0"/>
              <w:rPr>
                <w:sz w:val="24"/>
                <w:szCs w:val="24"/>
                <w:color w:val="auto"/>
              </w:rPr>
            </w:pPr>
          </w:p>
        </w:tc>
        <w:tc>
          <w:tcPr>
            <w:tcW w:w="3980" w:type="dxa"/>
            <w:vAlign w:val="bottom"/>
            <w:gridSpan w:val="12"/>
          </w:tcPr>
          <w:p>
            <w:pPr>
              <w:spacing w:after="0"/>
              <w:rPr>
                <w:sz w:val="24"/>
                <w:szCs w:val="24"/>
                <w:color w:val="auto"/>
              </w:rPr>
            </w:pPr>
          </w:p>
        </w:tc>
        <w:tc>
          <w:tcPr>
            <w:tcW w:w="3580" w:type="dxa"/>
            <w:vAlign w:val="bottom"/>
            <w:gridSpan w:val="4"/>
          </w:tcPr>
          <w:p>
            <w:pPr>
              <w:jc w:val="right"/>
              <w:ind w:right="1320"/>
              <w:spacing w:after="0"/>
              <w:rPr>
                <w:rFonts w:ascii="Arial" w:cs="Arial" w:eastAsia="Arial" w:hAnsi="Arial"/>
                <w:sz w:val="18"/>
                <w:szCs w:val="18"/>
                <w:color w:val="0000EE"/>
              </w:rPr>
            </w:pPr>
            <w:hyperlink w:anchor="page66">
              <w:r>
                <w:rPr>
                  <w:rFonts w:ascii="Arial" w:cs="Arial" w:eastAsia="Arial" w:hAnsi="Arial"/>
                  <w:sz w:val="18"/>
                  <w:szCs w:val="18"/>
                  <w:color w:val="0000EE"/>
                </w:rPr>
                <w:t>3</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20" w:type="dxa"/>
            <w:vAlign w:val="bottom"/>
            <w:gridSpan w:val="4"/>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RISK FACTORS</w:t>
              </w:r>
            </w:hyperlink>
          </w:p>
        </w:tc>
        <w:tc>
          <w:tcPr>
            <w:tcW w:w="5600" w:type="dxa"/>
            <w:vAlign w:val="bottom"/>
            <w:gridSpan w:val="19"/>
          </w:tcPr>
          <w:p>
            <w:pPr>
              <w:spacing w:after="0"/>
              <w:rPr>
                <w:sz w:val="24"/>
                <w:szCs w:val="24"/>
                <w:color w:val="auto"/>
              </w:rPr>
            </w:pPr>
          </w:p>
        </w:tc>
        <w:tc>
          <w:tcPr>
            <w:tcW w:w="3580" w:type="dxa"/>
            <w:vAlign w:val="bottom"/>
            <w:gridSpan w:val="4"/>
          </w:tcPr>
          <w:p>
            <w:pPr>
              <w:jc w:val="right"/>
              <w:ind w:right="1320"/>
              <w:spacing w:after="0"/>
              <w:rPr>
                <w:rFonts w:ascii="Arial" w:cs="Arial" w:eastAsia="Arial" w:hAnsi="Arial"/>
                <w:sz w:val="18"/>
                <w:szCs w:val="18"/>
                <w:color w:val="0000EE"/>
              </w:rPr>
            </w:pPr>
            <w:hyperlink w:anchor="page68">
              <w:r>
                <w:rPr>
                  <w:rFonts w:ascii="Arial" w:cs="Arial" w:eastAsia="Arial" w:hAnsi="Arial"/>
                  <w:sz w:val="18"/>
                  <w:szCs w:val="18"/>
                  <w:color w:val="0000EE"/>
                </w:rPr>
                <w:t>5</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4880" w:type="dxa"/>
            <w:vAlign w:val="bottom"/>
            <w:gridSpan w:val="20"/>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SERVICE OF PROCESS AND ENFORCEMENT OF LIABILITIES</w:t>
              </w:r>
            </w:hyperlink>
          </w:p>
        </w:tc>
        <w:tc>
          <w:tcPr>
            <w:tcW w:w="1940" w:type="dxa"/>
            <w:vAlign w:val="bottom"/>
            <w:gridSpan w:val="3"/>
          </w:tcPr>
          <w:p>
            <w:pPr>
              <w:spacing w:after="0"/>
              <w:rPr>
                <w:sz w:val="24"/>
                <w:szCs w:val="24"/>
                <w:color w:val="auto"/>
              </w:rPr>
            </w:pPr>
          </w:p>
        </w:tc>
        <w:tc>
          <w:tcPr>
            <w:tcW w:w="3580" w:type="dxa"/>
            <w:vAlign w:val="bottom"/>
            <w:gridSpan w:val="4"/>
          </w:tcPr>
          <w:p>
            <w:pPr>
              <w:jc w:val="right"/>
              <w:ind w:right="1320"/>
              <w:spacing w:after="0"/>
              <w:rPr>
                <w:rFonts w:ascii="Arial" w:cs="Arial" w:eastAsia="Arial" w:hAnsi="Arial"/>
                <w:sz w:val="18"/>
                <w:szCs w:val="18"/>
                <w:color w:val="0000EE"/>
              </w:rPr>
            </w:pPr>
            <w:hyperlink w:anchor="page69">
              <w:r>
                <w:rPr>
                  <w:rFonts w:ascii="Arial" w:cs="Arial" w:eastAsia="Arial" w:hAnsi="Arial"/>
                  <w:sz w:val="18"/>
                  <w:szCs w:val="18"/>
                  <w:color w:val="0000EE"/>
                </w:rPr>
                <w:t>6</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4880" w:type="dxa"/>
            <w:vAlign w:val="bottom"/>
            <w:gridSpan w:val="2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ABOUT THIS PROSPECTUS</w:t>
              </w:r>
            </w:hyperlink>
          </w:p>
        </w:tc>
        <w:tc>
          <w:tcPr>
            <w:tcW w:w="1940" w:type="dxa"/>
            <w:vAlign w:val="bottom"/>
            <w:gridSpan w:val="3"/>
          </w:tcPr>
          <w:p>
            <w:pPr>
              <w:spacing w:after="0"/>
              <w:rPr>
                <w:sz w:val="24"/>
                <w:szCs w:val="24"/>
                <w:color w:val="auto"/>
              </w:rPr>
            </w:pPr>
          </w:p>
        </w:tc>
        <w:tc>
          <w:tcPr>
            <w:tcW w:w="3580" w:type="dxa"/>
            <w:vAlign w:val="bottom"/>
            <w:gridSpan w:val="4"/>
          </w:tcPr>
          <w:p>
            <w:pPr>
              <w:jc w:val="right"/>
              <w:ind w:right="1320"/>
              <w:spacing w:after="0"/>
              <w:rPr>
                <w:rFonts w:ascii="Arial" w:cs="Arial" w:eastAsia="Arial" w:hAnsi="Arial"/>
                <w:sz w:val="18"/>
                <w:szCs w:val="18"/>
                <w:color w:val="0000EE"/>
              </w:rPr>
            </w:pPr>
            <w:hyperlink w:anchor="page70">
              <w:r>
                <w:rPr>
                  <w:rFonts w:ascii="Arial" w:cs="Arial" w:eastAsia="Arial" w:hAnsi="Arial"/>
                  <w:sz w:val="18"/>
                  <w:szCs w:val="18"/>
                  <w:color w:val="0000EE"/>
                </w:rPr>
                <w:t>7</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4320" w:type="dxa"/>
            <w:vAlign w:val="bottom"/>
            <w:gridSpan w:val="18"/>
          </w:tcPr>
          <w:p>
            <w:pPr>
              <w:spacing w:after="0"/>
              <w:rPr>
                <w:rFonts w:ascii="Arial" w:cs="Arial" w:eastAsia="Arial" w:hAnsi="Arial"/>
                <w:sz w:val="18"/>
                <w:szCs w:val="18"/>
                <w:color w:val="0000EE"/>
                <w:w w:val="96"/>
              </w:rPr>
            </w:pPr>
            <w:hyperlink w:anchor="page70">
              <w:r>
                <w:rPr>
                  <w:rFonts w:ascii="Arial" w:cs="Arial" w:eastAsia="Arial" w:hAnsi="Arial"/>
                  <w:sz w:val="18"/>
                  <w:szCs w:val="18"/>
                  <w:color w:val="0000EE"/>
                  <w:w w:val="96"/>
                </w:rPr>
                <w:t>WHERE YOU CAN FIND ADDITIONAL INFORMATION</w:t>
              </w:r>
            </w:hyperlink>
          </w:p>
        </w:tc>
        <w:tc>
          <w:tcPr>
            <w:tcW w:w="2500" w:type="dxa"/>
            <w:vAlign w:val="bottom"/>
            <w:gridSpan w:val="5"/>
          </w:tcPr>
          <w:p>
            <w:pPr>
              <w:spacing w:after="0"/>
              <w:rPr>
                <w:sz w:val="24"/>
                <w:szCs w:val="24"/>
                <w:color w:val="auto"/>
              </w:rPr>
            </w:pPr>
          </w:p>
        </w:tc>
        <w:tc>
          <w:tcPr>
            <w:tcW w:w="3580" w:type="dxa"/>
            <w:vAlign w:val="bottom"/>
            <w:gridSpan w:val="4"/>
          </w:tcPr>
          <w:p>
            <w:pPr>
              <w:jc w:val="right"/>
              <w:ind w:right="1320"/>
              <w:spacing w:after="0"/>
              <w:rPr>
                <w:rFonts w:ascii="Arial" w:cs="Arial" w:eastAsia="Arial" w:hAnsi="Arial"/>
                <w:sz w:val="18"/>
                <w:szCs w:val="18"/>
                <w:color w:val="0000EE"/>
              </w:rPr>
            </w:pPr>
            <w:hyperlink w:anchor="page70">
              <w:r>
                <w:rPr>
                  <w:rFonts w:ascii="Arial" w:cs="Arial" w:eastAsia="Arial" w:hAnsi="Arial"/>
                  <w:sz w:val="18"/>
                  <w:szCs w:val="18"/>
                  <w:color w:val="0000EE"/>
                </w:rPr>
                <w:t>7</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5060" w:type="dxa"/>
            <w:vAlign w:val="bottom"/>
            <w:gridSpan w:val="21"/>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INCORPORATION OF CERTAIN INFORMATION BY REFERENCE</w:t>
              </w:r>
            </w:hyperlink>
          </w:p>
        </w:tc>
        <w:tc>
          <w:tcPr>
            <w:tcW w:w="1760" w:type="dxa"/>
            <w:vAlign w:val="bottom"/>
            <w:gridSpan w:val="2"/>
          </w:tcPr>
          <w:p>
            <w:pPr>
              <w:spacing w:after="0"/>
              <w:rPr>
                <w:sz w:val="24"/>
                <w:szCs w:val="24"/>
                <w:color w:val="auto"/>
              </w:rPr>
            </w:pPr>
          </w:p>
        </w:tc>
        <w:tc>
          <w:tcPr>
            <w:tcW w:w="3580" w:type="dxa"/>
            <w:vAlign w:val="bottom"/>
            <w:gridSpan w:val="4"/>
          </w:tcPr>
          <w:p>
            <w:pPr>
              <w:jc w:val="right"/>
              <w:ind w:right="1320"/>
              <w:spacing w:after="0"/>
              <w:rPr>
                <w:rFonts w:ascii="Arial" w:cs="Arial" w:eastAsia="Arial" w:hAnsi="Arial"/>
                <w:sz w:val="18"/>
                <w:szCs w:val="18"/>
                <w:color w:val="0000EE"/>
              </w:rPr>
            </w:pPr>
            <w:hyperlink w:anchor="page71">
              <w:r>
                <w:rPr>
                  <w:rFonts w:ascii="Arial" w:cs="Arial" w:eastAsia="Arial" w:hAnsi="Arial"/>
                  <w:sz w:val="18"/>
                  <w:szCs w:val="18"/>
                  <w:color w:val="0000EE"/>
                </w:rPr>
                <w:t>8</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6820" w:type="dxa"/>
            <w:vAlign w:val="bottom"/>
            <w:gridSpan w:val="23"/>
          </w:tcPr>
          <w:p>
            <w:pPr>
              <w:spacing w:after="0"/>
              <w:rPr>
                <w:rFonts w:ascii="Arial" w:cs="Arial" w:eastAsia="Arial" w:hAnsi="Arial"/>
                <w:sz w:val="18"/>
                <w:szCs w:val="18"/>
                <w:color w:val="0000EE"/>
                <w:w w:val="93"/>
              </w:rPr>
            </w:pPr>
            <w:hyperlink w:anchor="page72">
              <w:r>
                <w:rPr>
                  <w:rFonts w:ascii="Arial" w:cs="Arial" w:eastAsia="Arial" w:hAnsi="Arial"/>
                  <w:sz w:val="18"/>
                  <w:szCs w:val="18"/>
                  <w:color w:val="0000EE"/>
                  <w:w w:val="93"/>
                </w:rPr>
                <w:t>RATIO OF EARNINGS TO FIXED CHARGES AND PREFERENCE UNIT DISTRIBUTIONS</w:t>
              </w:r>
            </w:hyperlink>
          </w:p>
        </w:tc>
        <w:tc>
          <w:tcPr>
            <w:tcW w:w="3580" w:type="dxa"/>
            <w:vAlign w:val="bottom"/>
            <w:gridSpan w:val="4"/>
          </w:tcPr>
          <w:p>
            <w:pPr>
              <w:jc w:val="right"/>
              <w:ind w:right="1320"/>
              <w:spacing w:after="0"/>
              <w:rPr>
                <w:rFonts w:ascii="Arial" w:cs="Arial" w:eastAsia="Arial" w:hAnsi="Arial"/>
                <w:sz w:val="18"/>
                <w:szCs w:val="18"/>
                <w:color w:val="0000EE"/>
              </w:rPr>
            </w:pPr>
            <w:hyperlink w:anchor="page72">
              <w:r>
                <w:rPr>
                  <w:rFonts w:ascii="Arial" w:cs="Arial" w:eastAsia="Arial" w:hAnsi="Arial"/>
                  <w:sz w:val="18"/>
                  <w:szCs w:val="18"/>
                  <w:color w:val="0000EE"/>
                </w:rPr>
                <w:t>9</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6820" w:type="dxa"/>
            <w:vAlign w:val="bottom"/>
            <w:gridSpan w:val="2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USE OF PROCEEDS</w:t>
              </w:r>
            </w:hyperlink>
          </w:p>
        </w:tc>
        <w:tc>
          <w:tcPr>
            <w:tcW w:w="3580" w:type="dxa"/>
            <w:vAlign w:val="bottom"/>
            <w:gridSpan w:val="4"/>
          </w:tcPr>
          <w:p>
            <w:pPr>
              <w:jc w:val="right"/>
              <w:ind w:right="1320"/>
              <w:spacing w:after="0"/>
              <w:rPr>
                <w:rFonts w:ascii="Arial" w:cs="Arial" w:eastAsia="Arial" w:hAnsi="Arial"/>
                <w:sz w:val="18"/>
                <w:szCs w:val="18"/>
                <w:color w:val="0000EE"/>
              </w:rPr>
            </w:pPr>
            <w:hyperlink w:anchor="page73">
              <w:r>
                <w:rPr>
                  <w:rFonts w:ascii="Arial" w:cs="Arial" w:eastAsia="Arial" w:hAnsi="Arial"/>
                  <w:sz w:val="18"/>
                  <w:szCs w:val="18"/>
                  <w:color w:val="0000EE"/>
                </w:rPr>
                <w:t>10</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6820" w:type="dxa"/>
            <w:vAlign w:val="bottom"/>
            <w:gridSpan w:val="2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CAPITALIZATION AND INDEBTEDNESS</w:t>
              </w:r>
            </w:hyperlink>
          </w:p>
        </w:tc>
        <w:tc>
          <w:tcPr>
            <w:tcW w:w="3580" w:type="dxa"/>
            <w:vAlign w:val="bottom"/>
            <w:gridSpan w:val="4"/>
          </w:tcPr>
          <w:p>
            <w:pPr>
              <w:jc w:val="right"/>
              <w:ind w:right="1320"/>
              <w:spacing w:after="0"/>
              <w:rPr>
                <w:rFonts w:ascii="Arial" w:cs="Arial" w:eastAsia="Arial" w:hAnsi="Arial"/>
                <w:sz w:val="18"/>
                <w:szCs w:val="18"/>
                <w:color w:val="0000EE"/>
              </w:rPr>
            </w:pPr>
            <w:hyperlink w:anchor="page73">
              <w:r>
                <w:rPr>
                  <w:rFonts w:ascii="Arial" w:cs="Arial" w:eastAsia="Arial" w:hAnsi="Arial"/>
                  <w:sz w:val="18"/>
                  <w:szCs w:val="18"/>
                  <w:color w:val="0000EE"/>
                </w:rPr>
                <w:t>10</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2840" w:type="dxa"/>
            <w:vAlign w:val="bottom"/>
            <w:gridSpan w:val="11"/>
          </w:tcPr>
          <w:p>
            <w:pPr>
              <w:spacing w:after="0"/>
              <w:rPr>
                <w:rFonts w:ascii="Arial" w:cs="Arial" w:eastAsia="Arial" w:hAnsi="Arial"/>
                <w:sz w:val="18"/>
                <w:szCs w:val="18"/>
                <w:color w:val="0000EE"/>
                <w:w w:val="93"/>
              </w:rPr>
            </w:pPr>
            <w:hyperlink w:anchor="page73">
              <w:r>
                <w:rPr>
                  <w:rFonts w:ascii="Arial" w:cs="Arial" w:eastAsia="Arial" w:hAnsi="Arial"/>
                  <w:sz w:val="18"/>
                  <w:szCs w:val="18"/>
                  <w:color w:val="0000EE"/>
                  <w:w w:val="93"/>
                </w:rPr>
                <w:t>DESCRIPTION OF COMMON UNITS</w:t>
              </w:r>
            </w:hyperlink>
          </w:p>
        </w:tc>
        <w:tc>
          <w:tcPr>
            <w:tcW w:w="360" w:type="dxa"/>
            <w:vAlign w:val="bottom"/>
            <w:gridSpan w:val="2"/>
          </w:tcPr>
          <w:p>
            <w:pPr>
              <w:spacing w:after="0"/>
              <w:rPr>
                <w:sz w:val="24"/>
                <w:szCs w:val="24"/>
                <w:color w:val="auto"/>
              </w:rPr>
            </w:pPr>
          </w:p>
        </w:tc>
        <w:tc>
          <w:tcPr>
            <w:tcW w:w="3620" w:type="dxa"/>
            <w:vAlign w:val="bottom"/>
            <w:gridSpan w:val="10"/>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320"/>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10</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3920" w:type="dxa"/>
            <w:vAlign w:val="bottom"/>
            <w:gridSpan w:val="16"/>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DESCRIPTION OF SERIES A PREFERENCE UNITS</w:t>
              </w:r>
            </w:hyperlink>
          </w:p>
        </w:tc>
        <w:tc>
          <w:tcPr>
            <w:tcW w:w="2900" w:type="dxa"/>
            <w:vAlign w:val="bottom"/>
            <w:gridSpan w:val="7"/>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320"/>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10</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4060" w:type="dxa"/>
            <w:vAlign w:val="bottom"/>
            <w:gridSpan w:val="17"/>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DESCRIPTION OF THE OTHER CLASSES OF UNITS</w:t>
              </w:r>
            </w:hyperlink>
          </w:p>
        </w:tc>
        <w:tc>
          <w:tcPr>
            <w:tcW w:w="2760" w:type="dxa"/>
            <w:vAlign w:val="bottom"/>
            <w:gridSpan w:val="6"/>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320"/>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10</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2960" w:type="dxa"/>
            <w:vAlign w:val="bottom"/>
            <w:gridSpan w:val="12"/>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DESCRIPTION OF DEBT SECURITIES</w:t>
              </w:r>
            </w:hyperlink>
          </w:p>
        </w:tc>
        <w:tc>
          <w:tcPr>
            <w:tcW w:w="1100" w:type="dxa"/>
            <w:vAlign w:val="bottom"/>
            <w:gridSpan w:val="5"/>
          </w:tcPr>
          <w:p>
            <w:pPr>
              <w:spacing w:after="0"/>
              <w:rPr>
                <w:sz w:val="24"/>
                <w:szCs w:val="24"/>
                <w:color w:val="auto"/>
              </w:rPr>
            </w:pPr>
          </w:p>
        </w:tc>
        <w:tc>
          <w:tcPr>
            <w:tcW w:w="2760" w:type="dxa"/>
            <w:vAlign w:val="bottom"/>
            <w:gridSpan w:val="6"/>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320"/>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12</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2960" w:type="dxa"/>
            <w:vAlign w:val="bottom"/>
            <w:gridSpan w:val="1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DESCRIPTION OF WARRANTS</w:t>
              </w:r>
            </w:hyperlink>
          </w:p>
        </w:tc>
        <w:tc>
          <w:tcPr>
            <w:tcW w:w="3860" w:type="dxa"/>
            <w:vAlign w:val="bottom"/>
            <w:gridSpan w:val="11"/>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320"/>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19</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2100" w:type="dxa"/>
            <w:vAlign w:val="bottom"/>
            <w:gridSpan w:val="8"/>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DESCRIPTION OF RIGHTS</w:t>
              </w:r>
            </w:hyperlink>
          </w:p>
        </w:tc>
        <w:tc>
          <w:tcPr>
            <w:tcW w:w="320" w:type="dxa"/>
            <w:vAlign w:val="bottom"/>
            <w:gridSpan w:val="2"/>
          </w:tcPr>
          <w:p>
            <w:pPr>
              <w:spacing w:after="0"/>
              <w:rPr>
                <w:sz w:val="24"/>
                <w:szCs w:val="24"/>
                <w:color w:val="auto"/>
              </w:rPr>
            </w:pPr>
          </w:p>
        </w:tc>
        <w:tc>
          <w:tcPr>
            <w:tcW w:w="4400" w:type="dxa"/>
            <w:vAlign w:val="bottom"/>
            <w:gridSpan w:val="13"/>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320"/>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20</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3640" w:type="dxa"/>
            <w:vAlign w:val="bottom"/>
            <w:gridSpan w:val="14"/>
          </w:tcPr>
          <w:p>
            <w:pPr>
              <w:spacing w:after="0"/>
              <w:rPr>
                <w:rFonts w:ascii="Arial" w:cs="Arial" w:eastAsia="Arial" w:hAnsi="Arial"/>
                <w:sz w:val="18"/>
                <w:szCs w:val="18"/>
                <w:color w:val="0000EE"/>
                <w:w w:val="94"/>
              </w:rPr>
            </w:pPr>
            <w:hyperlink w:anchor="page83">
              <w:r>
                <w:rPr>
                  <w:rFonts w:ascii="Arial" w:cs="Arial" w:eastAsia="Arial" w:hAnsi="Arial"/>
                  <w:sz w:val="18"/>
                  <w:szCs w:val="18"/>
                  <w:color w:val="0000EE"/>
                  <w:w w:val="94"/>
                </w:rPr>
                <w:t>DESCRIPTION OF THE COMBINATION UNITS</w:t>
              </w:r>
            </w:hyperlink>
          </w:p>
        </w:tc>
        <w:tc>
          <w:tcPr>
            <w:tcW w:w="3180" w:type="dxa"/>
            <w:vAlign w:val="bottom"/>
            <w:gridSpan w:val="9"/>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320"/>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20</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3920" w:type="dxa"/>
            <w:vAlign w:val="bottom"/>
            <w:gridSpan w:val="16"/>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SUMMARY OF OUR PARTNERSHIP AGREEMENT</w:t>
              </w:r>
            </w:hyperlink>
          </w:p>
        </w:tc>
        <w:tc>
          <w:tcPr>
            <w:tcW w:w="2900" w:type="dxa"/>
            <w:vAlign w:val="bottom"/>
            <w:gridSpan w:val="7"/>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320"/>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21</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6220" w:type="dxa"/>
            <w:vAlign w:val="bottom"/>
            <w:gridSpan w:val="22"/>
          </w:tcPr>
          <w:p>
            <w:pPr>
              <w:spacing w:after="0"/>
              <w:rPr>
                <w:rFonts w:ascii="Arial" w:cs="Arial" w:eastAsia="Arial" w:hAnsi="Arial"/>
                <w:sz w:val="18"/>
                <w:szCs w:val="18"/>
                <w:color w:val="0000EE"/>
                <w:w w:val="94"/>
              </w:rPr>
            </w:pPr>
            <w:hyperlink w:anchor="page99">
              <w:r>
                <w:rPr>
                  <w:rFonts w:ascii="Arial" w:cs="Arial" w:eastAsia="Arial" w:hAnsi="Arial"/>
                  <w:sz w:val="18"/>
                  <w:szCs w:val="18"/>
                  <w:color w:val="0000EE"/>
                  <w:w w:val="94"/>
                </w:rPr>
                <w:t>OUR CASH DISTRIBUTION POLICY AND RESTRICTIONS ON DISTRIBUTIONS</w:t>
              </w:r>
            </w:hyperlink>
          </w:p>
        </w:tc>
        <w:tc>
          <w:tcPr>
            <w:tcW w:w="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320"/>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36</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4760" w:type="dxa"/>
            <w:vAlign w:val="bottom"/>
            <w:gridSpan w:val="19"/>
          </w:tcPr>
          <w:p>
            <w:pPr>
              <w:spacing w:after="0"/>
              <w:rPr>
                <w:rFonts w:ascii="Arial" w:cs="Arial" w:eastAsia="Arial" w:hAnsi="Arial"/>
                <w:sz w:val="18"/>
                <w:szCs w:val="18"/>
                <w:color w:val="0000EE"/>
                <w:w w:val="94"/>
              </w:rPr>
            </w:pPr>
            <w:hyperlink w:anchor="page111">
              <w:r>
                <w:rPr>
                  <w:rFonts w:ascii="Arial" w:cs="Arial" w:eastAsia="Arial" w:hAnsi="Arial"/>
                  <w:sz w:val="18"/>
                  <w:szCs w:val="18"/>
                  <w:color w:val="0000EE"/>
                  <w:w w:val="94"/>
                </w:rPr>
                <w:t>MATERIAL U.S. FEDERAL INCOME TAX CONSIDERATIONS</w:t>
              </w:r>
            </w:hyperlink>
          </w:p>
        </w:tc>
        <w:tc>
          <w:tcPr>
            <w:tcW w:w="14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320"/>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48</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3700" w:type="dxa"/>
            <w:vAlign w:val="bottom"/>
            <w:gridSpan w:val="15"/>
          </w:tcPr>
          <w:p>
            <w:pPr>
              <w:spacing w:after="0"/>
              <w:rPr>
                <w:rFonts w:ascii="Arial" w:cs="Arial" w:eastAsia="Arial" w:hAnsi="Arial"/>
                <w:sz w:val="18"/>
                <w:szCs w:val="18"/>
                <w:color w:val="0000EE"/>
                <w:w w:val="93"/>
              </w:rPr>
            </w:pPr>
            <w:hyperlink w:anchor="page111">
              <w:r>
                <w:rPr>
                  <w:rFonts w:ascii="Arial" w:cs="Arial" w:eastAsia="Arial" w:hAnsi="Arial"/>
                  <w:sz w:val="18"/>
                  <w:szCs w:val="18"/>
                  <w:color w:val="0000EE"/>
                  <w:w w:val="93"/>
                </w:rPr>
                <w:t>NON-UNITED STATES TAX CONSIDERATIONS</w:t>
              </w:r>
            </w:hyperlink>
          </w:p>
        </w:tc>
        <w:tc>
          <w:tcPr>
            <w:tcW w:w="1060" w:type="dxa"/>
            <w:vAlign w:val="bottom"/>
            <w:gridSpan w:val="4"/>
          </w:tcPr>
          <w:p>
            <w:pPr>
              <w:spacing w:after="0"/>
              <w:rPr>
                <w:sz w:val="24"/>
                <w:szCs w:val="24"/>
                <w:color w:val="auto"/>
              </w:rPr>
            </w:pPr>
          </w:p>
        </w:tc>
        <w:tc>
          <w:tcPr>
            <w:tcW w:w="2060" w:type="dxa"/>
            <w:vAlign w:val="bottom"/>
            <w:gridSpan w:val="4"/>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320"/>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48</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3700" w:type="dxa"/>
            <w:vAlign w:val="bottom"/>
            <w:gridSpan w:val="15"/>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PLAN OF DISTRIBUTION</w:t>
              </w:r>
            </w:hyperlink>
          </w:p>
        </w:tc>
        <w:tc>
          <w:tcPr>
            <w:tcW w:w="3120" w:type="dxa"/>
            <w:vAlign w:val="bottom"/>
            <w:gridSpan w:val="8"/>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320"/>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48</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20" w:type="dxa"/>
            <w:vAlign w:val="bottom"/>
            <w:gridSpan w:val="1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w w:val="88"/>
              </w:rPr>
            </w:pPr>
            <w:hyperlink w:anchor="page113">
              <w:r>
                <w:rPr>
                  <w:rFonts w:ascii="Arial" w:cs="Arial" w:eastAsia="Arial" w:hAnsi="Arial"/>
                  <w:sz w:val="18"/>
                  <w:szCs w:val="18"/>
                  <w:color w:val="0000EE"/>
                  <w:w w:val="88"/>
                </w:rPr>
                <w:t>EXPENSES</w:t>
              </w:r>
            </w:hyperlink>
          </w:p>
        </w:tc>
        <w:tc>
          <w:tcPr>
            <w:tcW w:w="1120" w:type="dxa"/>
            <w:vAlign w:val="bottom"/>
            <w:gridSpan w:val="4"/>
          </w:tcPr>
          <w:p>
            <w:pPr>
              <w:spacing w:after="0"/>
              <w:rPr>
                <w:sz w:val="24"/>
                <w:szCs w:val="24"/>
                <w:color w:val="auto"/>
              </w:rPr>
            </w:pPr>
          </w:p>
        </w:tc>
        <w:tc>
          <w:tcPr>
            <w:tcW w:w="4820" w:type="dxa"/>
            <w:vAlign w:val="bottom"/>
            <w:gridSpan w:val="16"/>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320"/>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50</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0" w:type="dxa"/>
            <w:vAlign w:val="bottom"/>
            <w:gridSpan w:val="18"/>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6820" w:type="dxa"/>
            <w:vAlign w:val="bottom"/>
            <w:gridSpan w:val="23"/>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LEGAL MATTERS</w:t>
              </w:r>
            </w:hyperlink>
          </w:p>
        </w:tc>
        <w:tc>
          <w:tcPr>
            <w:tcW w:w="3580" w:type="dxa"/>
            <w:vAlign w:val="bottom"/>
            <w:gridSpan w:val="4"/>
          </w:tcPr>
          <w:p>
            <w:pPr>
              <w:jc w:val="right"/>
              <w:ind w:right="1320"/>
              <w:spacing w:after="0"/>
              <w:rPr>
                <w:rFonts w:ascii="Arial" w:cs="Arial" w:eastAsia="Arial" w:hAnsi="Arial"/>
                <w:sz w:val="18"/>
                <w:szCs w:val="18"/>
                <w:color w:val="0000EE"/>
              </w:rPr>
            </w:pPr>
            <w:hyperlink w:anchor="page113">
              <w:r>
                <w:rPr>
                  <w:rFonts w:ascii="Arial" w:cs="Arial" w:eastAsia="Arial" w:hAnsi="Arial"/>
                  <w:sz w:val="18"/>
                  <w:szCs w:val="18"/>
                  <w:color w:val="0000EE"/>
                </w:rPr>
                <w:t>50</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400" w:type="dxa"/>
            <w:vAlign w:val="bottom"/>
            <w:gridSpan w:val="18"/>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420" w:type="dxa"/>
            <w:vAlign w:val="bottom"/>
            <w:gridSpan w:val="5"/>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EXPERTS</w:t>
              </w:r>
            </w:hyperlink>
          </w:p>
        </w:tc>
        <w:tc>
          <w:tcPr>
            <w:tcW w:w="5400" w:type="dxa"/>
            <w:vAlign w:val="bottom"/>
            <w:gridSpan w:val="18"/>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320"/>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50</w:t>
              </w:r>
            </w:hyperlink>
          </w:p>
        </w:tc>
      </w:tr>
      <w:tr>
        <w:trPr>
          <w:trHeight w:val="450"/>
        </w:trPr>
        <w:tc>
          <w:tcPr>
            <w:tcW w:w="1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5"/>
          </w:tcPr>
          <w:p>
            <w:pPr>
              <w:jc w:val="center"/>
              <w:ind w:right="1880"/>
              <w:spacing w:after="0"/>
              <w:rPr>
                <w:sz w:val="20"/>
                <w:szCs w:val="20"/>
                <w:color w:val="auto"/>
              </w:rPr>
            </w:pPr>
            <w:r>
              <w:rPr>
                <w:rFonts w:ascii="Arial" w:cs="Arial" w:eastAsia="Arial" w:hAnsi="Arial"/>
                <w:sz w:val="18"/>
                <w:szCs w:val="18"/>
                <w:color w:val="auto"/>
              </w:rPr>
              <w:t>i</w:t>
            </w:r>
          </w:p>
        </w:tc>
        <w:tc>
          <w:tcPr>
            <w:tcW w:w="20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28" w:right="1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that are not statements of historical fact are "forward-looking statements" within the meaning of the United States Private Securities Litigation Reform Act of 1995. The disclosure and analysis set forth in this prospectus includes assumptions, expectations, projections, intentions and beliefs about future events in a number of places, particularly in relation to our operations, cash flows, financial position, liquidity and cash available for dividends or distributions, plans, strategies, business prospects and changes and trends in our business and the markets in which we operate. These statements are intended as "forward-looking statements". In some cases, predictive, future-tense or forward-looking words such as "believe", "intend", "anticipate", "estimate", "project", "forecast", "plan", "potential", "may", "should", "could" and "expect" and similar expressions are intended to identify forward- 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1080" w:right="560" w:hanging="539"/>
        <w:spacing w:after="0" w:line="259"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8"/>
          <w:szCs w:val="18"/>
          <w:color w:val="auto"/>
        </w:rPr>
        <w:t>general liquefied natural gas ("LNG") shipping market conditions and trends, including spot and long-term charter rates, ship values, factors affecting supply and demand of LNG and LNG shipping, technological advancements and opportunities for the profitable operations of LNG carriers;</w:t>
      </w:r>
    </w:p>
    <w:p>
      <w:pPr>
        <w:sectPr>
          <w:pgSz w:w="11900" w:h="16838" w:orient="portrait"/>
          <w:cols w:equalWidth="0" w:num="1">
            <w:col w:w="11560"/>
          </w:cols>
          <w:pgMar w:left="160" w:top="51" w:right="179" w:bottom="1440" w:gutter="0" w:footer="0" w:header="0"/>
        </w:sect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continued low prices for crude oil and petroleum products and volatility in gas prices;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leverage GasLog Ltd.'s relationships and reputation in the shipping industry;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enter into time charters with new and existing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ownership of our charterers;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customers' performance of their obligations under our time charters and other contracts;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purchase vessels from GasLog Ltd. in the future;</w:t>
      </w:r>
    </w:p>
    <w:p>
      <w:pPr>
        <w:spacing w:after="0" w:line="23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Ltd. of the revolving credit facility with GasLog Ltd. entered into on April 3, 2017 and our ability to meet our restrictive covenants and other obligations under our credit facilities;</w:t>
      </w:r>
    </w:p>
    <w:p>
      <w:pPr>
        <w:spacing w:after="0" w:line="20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number of off-hire days, dry-docking requirements and insurance costs;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fluctuations in currencies and interest rates;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maintain long-term relationships with major energy companies;</w:t>
      </w:r>
    </w:p>
    <w:p>
      <w:pPr>
        <w:spacing w:after="0" w:line="23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18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2">
            <w:col w:w="800" w:space="280"/>
            <w:col w:w="10480"/>
          </w:cols>
          <w:pgMar w:left="160" w:top="51" w:right="179" w:bottom="1440" w:gutter="0" w:footer="0" w:header="0"/>
          <w:type w:val="continuous"/>
        </w:sectPr>
      </w:pPr>
    </w:p>
    <w:bookmarkStart w:id="64" w:name="page65"/>
    <w:bookmarkEnd w:id="64"/>
    <w:p>
      <w:pPr>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Table of Contents</w:t>
        </w:r>
      </w:hyperlink>
    </w:p>
    <w:p>
      <w:pPr>
        <w:sectPr>
          <w:pgSz w:w="11900" w:h="16838" w:orient="portrait"/>
          <w:cols w:equalWidth="0" w:num="1">
            <w:col w:w="11500"/>
          </w:cols>
          <w:pgMar w:left="160" w:top="51" w:right="23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252" w:lineRule="exact"/>
        <w:rPr>
          <w:sz w:val="20"/>
          <w:szCs w:val="20"/>
          <w:color w:val="auto"/>
        </w:rPr>
      </w:pPr>
    </w:p>
    <w:p>
      <w:pPr>
        <w:ind w:right="240"/>
        <w:spacing w:after="0" w:line="331" w:lineRule="auto"/>
        <w:rPr>
          <w:sz w:val="20"/>
          <w:szCs w:val="20"/>
          <w:color w:val="auto"/>
        </w:rPr>
      </w:pPr>
      <w:r>
        <w:rPr>
          <w:rFonts w:ascii="Arial" w:cs="Arial" w:eastAsia="Arial" w:hAnsi="Arial"/>
          <w:sz w:val="16"/>
          <w:szCs w:val="16"/>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risks inherent in ship operation, including the discharge of pollutants;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GasLog Ltd.'s ability to retain key employees and provide services to us, and the availability of skilled labor, ship crews and management;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potential liability from future litigation;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business strategy and other plans and objectives for future operations;</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other risks and uncertainties described in the Company's Annual Report on Form 20-F filed with the SEC on February 13, 2017, available at http://www.sec.gov.</w:t>
      </w:r>
    </w:p>
    <w:p>
      <w:pPr>
        <w:spacing w:after="0" w:line="186" w:lineRule="exact"/>
        <w:rPr>
          <w:sz w:val="20"/>
          <w:szCs w:val="20"/>
          <w:color w:val="auto"/>
        </w:rPr>
      </w:pPr>
    </w:p>
    <w:p>
      <w:pPr>
        <w:sectPr>
          <w:pgSz w:w="11900" w:h="16838" w:orient="portrait"/>
          <w:cols w:equalWidth="0" w:num="2">
            <w:col w:w="800" w:space="280"/>
            <w:col w:w="10420"/>
          </w:cols>
          <w:pgMar w:left="160" w:top="51" w:right="239" w:bottom="1440" w:gutter="0" w:footer="0" w:header="0"/>
          <w:type w:val="continuous"/>
        </w:sectPr>
      </w:pPr>
    </w:p>
    <w:p>
      <w:pPr>
        <w:ind w:right="40" w:firstLine="348"/>
        <w:spacing w:after="0" w:line="291" w:lineRule="auto"/>
        <w:rPr>
          <w:sz w:val="20"/>
          <w:szCs w:val="20"/>
          <w:color w:val="auto"/>
        </w:rPr>
      </w:pPr>
      <w:r>
        <w:rPr>
          <w:rFonts w:ascii="Arial" w:cs="Arial" w:eastAsia="Arial" w:hAnsi="Arial"/>
          <w:sz w:val="16"/>
          <w:szCs w:val="16"/>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those anticipated in the forward-looking statements. Accordingly, you should not unduly rely on any forward-looking statements.</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COMPANY</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references in this prospectus to:</w:t>
      </w:r>
    </w:p>
    <w:p>
      <w:pPr>
        <w:sectPr>
          <w:pgSz w:w="11900" w:h="16838" w:orient="portrait"/>
          <w:cols w:equalWidth="0" w:num="1">
            <w:col w:w="11560"/>
          </w:cols>
          <w:pgMar w:left="160" w:top="51" w:right="17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"GasLog Partners", the "Partnership", "we", "our", "us" or similar terms refer to GasLog Partners LP or any one or more of its subsidiaries, or to all such entities unless the context otherwise indicates;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"GasLog", depending on the context, refers to GasLog Ltd. and to any one or more of its direct and indirect subsidiaries, other than GasLog Partners;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"our general partner" refer to GasLog Partners GP LLC, the general partner of GasLog Partners and a wholly owned subsidiary of GasLog;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"GasLog LNG Services" refer to GasLog LNG Services Ltd., a wholly owned subsidiary of GasLog;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"Shell" refers to Royal Dutch Shell plc, or any one or more of its subsidiaries;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"BG Group" refers to BG Group plc. BG Group was acquired by Shell on February 15, 2016;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"Total" refers to Total Gas &amp; Power Chartering Limited, a wholly owned subsidiary of Total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"Centrica" refers to Pioneer Shipping Limited, a wholly owned subsidiary of Centrica plc;</w:t>
      </w:r>
    </w:p>
    <w:p>
      <w:pPr>
        <w:spacing w:after="0" w:line="23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"Omnibus agreement" refers to the Omnibus Agreement dated May 12, 2014 by and among the Partnership, GasLog, our general partner and GasLog Partners Holdings LLC, as amended;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"dollars" and "$" refer to, and amounts are presented in, U.S. dollars; 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"cbm" refer to cubic meters.</w:t>
      </w:r>
    </w:p>
    <w:p>
      <w:pPr>
        <w:spacing w:after="0" w:line="20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line="25" w:lineRule="exact"/>
        <w:rPr>
          <w:sz w:val="20"/>
          <w:szCs w:val="20"/>
          <w:color w:val="auto"/>
        </w:rPr>
      </w:pPr>
    </w:p>
    <w:p>
      <w:pPr>
        <w:jc w:val="center"/>
        <w:ind w:right="160"/>
        <w:spacing w:after="0" w:line="306" w:lineRule="auto"/>
        <w:rPr>
          <w:sz w:val="20"/>
          <w:szCs w:val="20"/>
          <w:color w:val="auto"/>
        </w:rPr>
      </w:pPr>
      <w:r>
        <w:rPr>
          <w:rFonts w:ascii="Arial" w:cs="Arial" w:eastAsia="Arial" w:hAnsi="Arial"/>
          <w:sz w:val="16"/>
          <w:szCs w:val="16"/>
          <w:color w:val="auto"/>
        </w:rPr>
        <w:t>We are a growth-oriented limited partnership focused on owning, operating and acquiring LNG carriers engaged in LNG transportation under long-term charters, which we define as charters of five full years or more. Our fleet of eleven LNG carriers, which have fixed charter terms expiring between 2018 and 2026 that can be extended at the charterers' option, were contributed to us by, or acquired from, GasLog, which controls us through its ownership of our general partner.</w:t>
      </w:r>
    </w:p>
    <w:p>
      <w:pPr>
        <w:spacing w:after="0" w:line="160"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 xml:space="preserve">As of September 29, 2017, our fleet consisted of eleven LNG carriers, including six vessels with modern tri-fuel diesel electric ("TFDE") propulsion technology and five modern steam-powered ("Steam") vessels that all operate under long-term charters with subsidiaries of Shell. At that date, we also had options and other certain acquisition rights under which we may acquire additional LNG carriers from GasLog. Under the omnibus agreement entered into with GasLog in connection with our IPO (defined below), we have the option to purchase up to five LNG carriers from GasLog within 36 months after each such vessel's acceptance by its charterer (or, in the case of certain vessels, within 36 months after the completion of their acquisition by GasLog on March 31, 2015), in each case at fair market value as determined pursuant to the omnibus agreement. In addition, we previously had options to acquire the </w:t>
      </w:r>
      <w:r>
        <w:rPr>
          <w:rFonts w:ascii="Arial" w:cs="Arial" w:eastAsia="Arial" w:hAnsi="Arial"/>
          <w:sz w:val="16"/>
          <w:szCs w:val="16"/>
          <w:i w:val="1"/>
          <w:iCs w:val="1"/>
          <w:color w:val="auto"/>
        </w:rPr>
        <w:t>Methane Jane Elizabeth, Methane Rita</w:t>
      </w:r>
      <w:r>
        <w:rPr>
          <w:rFonts w:ascii="Arial" w:cs="Arial" w:eastAsia="Arial" w:hAnsi="Arial"/>
          <w:sz w:val="16"/>
          <w:szCs w:val="16"/>
          <w:color w:val="auto"/>
        </w:rPr>
        <w:t xml:space="preserve"> </w:t>
      </w:r>
      <w:r>
        <w:rPr>
          <w:rFonts w:ascii="Arial" w:cs="Arial" w:eastAsia="Arial" w:hAnsi="Arial"/>
          <w:sz w:val="16"/>
          <w:szCs w:val="16"/>
          <w:i w:val="1"/>
          <w:iCs w:val="1"/>
          <w:color w:val="auto"/>
        </w:rPr>
        <w:t>Andrea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Shirley Elisabeth</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w:t>
      </w:r>
      <w:r>
        <w:rPr>
          <w:rFonts w:ascii="Arial" w:cs="Arial" w:eastAsia="Arial" w:hAnsi="Arial"/>
          <w:sz w:val="16"/>
          <w:szCs w:val="16"/>
          <w:i w:val="1"/>
          <w:iCs w:val="1"/>
          <w:color w:val="auto"/>
        </w:rPr>
        <w:t xml:space="preserve"> GasLog Seattle</w:t>
      </w:r>
      <w:r>
        <w:rPr>
          <w:rFonts w:ascii="Arial" w:cs="Arial" w:eastAsia="Arial" w:hAnsi="Arial"/>
          <w:sz w:val="16"/>
          <w:szCs w:val="16"/>
          <w:color w:val="auto"/>
        </w:rPr>
        <w:t>,</w:t>
      </w:r>
      <w:r>
        <w:rPr>
          <w:rFonts w:ascii="Arial" w:cs="Arial" w:eastAsia="Arial" w:hAnsi="Arial"/>
          <w:sz w:val="16"/>
          <w:szCs w:val="16"/>
          <w:i w:val="1"/>
          <w:iCs w:val="1"/>
          <w:color w:val="auto"/>
        </w:rPr>
        <w:t xml:space="preserve"> GasLog Greece </w:t>
      </w:r>
      <w:r>
        <w:rPr>
          <w:rFonts w:ascii="Arial" w:cs="Arial" w:eastAsia="Arial" w:hAnsi="Arial"/>
          <w:sz w:val="16"/>
          <w:szCs w:val="16"/>
          <w:color w:val="auto"/>
        </w:rPr>
        <w:t>and</w:t>
      </w:r>
      <w:r>
        <w:rPr>
          <w:rFonts w:ascii="Arial" w:cs="Arial" w:eastAsia="Arial" w:hAnsi="Arial"/>
          <w:sz w:val="16"/>
          <w:szCs w:val="16"/>
          <w:i w:val="1"/>
          <w:iCs w:val="1"/>
          <w:color w:val="auto"/>
        </w:rPr>
        <w:t xml:space="preserve"> GasLog Geneva</w:t>
      </w:r>
      <w:r>
        <w:rPr>
          <w:rFonts w:ascii="Arial" w:cs="Arial" w:eastAsia="Arial" w:hAnsi="Arial"/>
          <w:sz w:val="16"/>
          <w:szCs w:val="16"/>
          <w:color w:val="auto"/>
        </w:rPr>
        <w:t>, which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exercised, and these eight vessels are now part of our owned fleet. We also previously had the option to acquire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which option expired in May 2017.</w:t>
      </w:r>
    </w:p>
    <w:p>
      <w:pPr>
        <w:spacing w:after="0" w:line="3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Pursuant to the omnibus agreement, we also have a right of first offer from GasLog to purchase any other LNG carriers with cargo capacities greater than 75,000 cbm engaged in ongoing LNG transportation under charters of five full years or more that GasLog owns or acquires (the "Five-Year Vessels") either at their acquisition cost plus certain break up costs (in the case of a newly acquired Five-Year Vessel) or at their fair market value (in the case of a previously owned vessel that becomes a Five-Year Vessel). Generally, we must exercise this right of first offer within 30 days following the notice from GasLog that the vessel has been acquired or has become a Five- Year Vessel. The five newbuildings that will be chartered to Shell, Total and Centrica in 2018 and 2019 will each qualify as a Five-Year Vessel upon commencement of each respective charter, and GasLog will be required to offer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to us an opportunity to purchase each vessel at fair market value within 30 days of the commencement of its charter. Following completion of the acquisition by GasLog of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from a subsidiary of BG Group, GasLog granted us the option, exercisable at any time within 36 months after March 31, 2015â€”the date that GasLog completed the acquisition to purchase both of the aforementioned vessels at their fair market value as determined under the omnibus agreementâ€”under the same terms that apply to the three other vessels over which we hold options granted by GasLog. This agreement supersedes the provision under the omnibus agreement that would otherwise have required GasLog to offer us, within 30 days of the completion of the vessels acquisition, an opportunity to purchase such vessels at the acquisition price paid plus certain administrative costs, and would have allowed us 30 days to respond to such offer.</w:t>
      </w:r>
    </w:p>
    <w:p>
      <w:pPr>
        <w:spacing w:after="0" w:line="20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options, with the addition of the five future firm charters agreed with Shell, Total and Centrica, brings the current pipeline of vessels that we have, or may have, the right to acquire from GasLog to 10 LNG carriers. We believe that such options and acquisition rights provide us with significant built-in growth opportunities. We may also acquire vessels from shipyards or other owners.</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operate all of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financing.</w:t>
      </w:r>
    </w:p>
    <w:p>
      <w:pPr>
        <w:spacing w:after="0" w:line="197"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We are not obligated to purchase any of the vessels from GasLog described above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September 29, 2017,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with regards to transactions covered by that agreement. We cannot assure you that in any particular case that the necessary consent will be obtained.</w:t>
      </w:r>
    </w:p>
    <w:p>
      <w:pPr>
        <w:spacing w:after="0" w:line="15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 May 12, 2014, we completed an initial public offering of our Common Units (the "IPO"). We completed follow-on public offerings of our Common Units on September 29, 2014, June 26, 2015, August 5, 2016 and January 27, 2017. Our Common Units are listed on the New York Stock Exchange (the "NYSE") under the ticker symbol "GLOP". If any securities are to be listed or quoted on any other securities exchange or quotation system, the applicable prospectus supplement will so state.</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 May 15, 2017, we completed a public offering of our Series A Preference Units, liquidation preference $25.00 per unit. The Series A Preference Units are listed on the NYSE under the ticker symbol "GLOP PR A."</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May 16, 2017, we commenced an "at-the-market" offering program under which we may offer and sell Common Units having an aggregate offering price of up to $100 million from time to time through our sales agents.</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 We have been organized under the laws of the Republic of the Marshall Islands.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197"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6"/>
          <w:szCs w:val="16"/>
          <w:color w:val="auto"/>
        </w:rPr>
        <w:t>Any of the risk factors referred to above could significantly and negatively affect our business, results of operations or financial condition, which may reduce our ability to make cash distributions and lower the trading price of our securities. The risks referred to above are not the only ones that may exist. Additional risks not currently known by us or that we deem immaterial may also impair our business operations. You may lose all or a part of your investment.</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19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our general partner or our subsidiaries or to realize against us or them judgments obtained in United States courts, including judgments predicated upon the civil liability provisions of the securities laws of the United States or any state in the United States.</w:t>
      </w:r>
    </w:p>
    <w:p>
      <w:pPr>
        <w:spacing w:after="0" w:line="201"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Cozen O'Connor, our counsel as to Marshall Islands law, has advised us that there is uncertainty as to whether the courts of the Marshall Islands would</w:t>
      </w:r>
    </w:p>
    <w:p>
      <w:pPr>
        <w:spacing w:after="0" w:line="38" w:lineRule="exact"/>
        <w:rPr>
          <w:sz w:val="20"/>
          <w:szCs w:val="20"/>
          <w:color w:val="auto"/>
        </w:rPr>
      </w:pPr>
    </w:p>
    <w:p>
      <w:pPr>
        <w:ind w:firstLine="8"/>
        <w:spacing w:after="0" w:line="255"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recognize or enforce against us, our general partner or our directors or officers judgments of courts of the United States based on civil liability provisions of applicable U.S. federal and state securities laws or (2) impose liabilities against us, our general partner or our directors and officers in original actions brought in the Marshall Islands, based on these laws.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80" w:firstLine="348"/>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SEC using a shelf registration process. Under this shelf registration process, we may, from time to time, sell up to an aggregate public offering price of $750,000,000 of any combination of the securities described in this prospectus.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"Where You Can Find Additional Information".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securities offered by this prospectus and GasLog Partners, reference is made to the registration statement.</w:t>
      </w:r>
    </w:p>
    <w:p>
      <w:pPr>
        <w:spacing w:after="0" w:line="17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incorporates by reference the following documents:</w:t>
      </w:r>
    </w:p>
    <w:p>
      <w:pPr>
        <w:sectPr>
          <w:pgSz w:w="11900" w:h="16838" w:orient="portrait"/>
          <w:cols w:equalWidth="0" w:num="1">
            <w:col w:w="11520"/>
          </w:cols>
          <w:pgMar w:left="160" w:top="51" w:right="21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Reports on Form 6-K, filed with the SEC on March 23, 2017, May 3, 2017, May 10, 2017, May 15, 2017, May 16, 2017, June 1, 2017, July 5, 2017, July 27, 2017, August 21, 2017, September 15, 2017 and September 29, 2017;</w:t>
      </w:r>
    </w:p>
    <w:p>
      <w:pPr>
        <w:spacing w:after="0" w:line="2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Annual Report on Form 20-F for the year ended December 31, 2016, filed with the SEC on February 13, 2017 (Items 3A, 5, 18 of this Form 20-F have been updated by the Current Report on Form 6-K filed with the SEC on September 29, 2017);</w:t>
      </w:r>
    </w:p>
    <w:p>
      <w:pPr>
        <w:spacing w:after="0" w:line="1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description of our Common Units which is contained in our registration statement on Form 8-A (File No. 001-36433), filed with the SEC on April 30, 2014, including any amendment or report filed for the purpose of updating such description; and</w:t>
      </w:r>
    </w:p>
    <w:p>
      <w:pPr>
        <w:spacing w:after="0" w:line="199" w:lineRule="exact"/>
        <w:rPr>
          <w:sz w:val="20"/>
          <w:szCs w:val="20"/>
          <w:color w:val="auto"/>
        </w:rPr>
      </w:pPr>
    </w:p>
    <w:p>
      <w:pPr>
        <w:ind w:right="120"/>
        <w:spacing w:after="0" w:line="331" w:lineRule="auto"/>
        <w:rPr>
          <w:sz w:val="20"/>
          <w:szCs w:val="20"/>
          <w:color w:val="auto"/>
        </w:rPr>
      </w:pPr>
      <w:r>
        <w:rPr>
          <w:rFonts w:ascii="Arial" w:cs="Arial" w:eastAsia="Arial" w:hAnsi="Arial"/>
          <w:sz w:val="16"/>
          <w:szCs w:val="16"/>
          <w:color w:val="auto"/>
        </w:rPr>
        <w:t>the description of our Series A Preference Units which is contained in our registration statement on Form 8-A (File No. 001- 36433), filed with the SEC on May 15, 2017, including any amendment or report filed for the purpose of updating such description.</w:t>
      </w:r>
    </w:p>
    <w:p>
      <w:pPr>
        <w:spacing w:after="0" w:line="141" w:lineRule="exact"/>
        <w:rPr>
          <w:sz w:val="20"/>
          <w:szCs w:val="20"/>
          <w:color w:val="auto"/>
        </w:rPr>
      </w:pPr>
    </w:p>
    <w:p>
      <w:pPr>
        <w:sectPr>
          <w:pgSz w:w="11900" w:h="16838" w:orient="portrait"/>
          <w:cols w:equalWidth="0" w:num="2">
            <w:col w:w="800" w:space="280"/>
            <w:col w:w="10440"/>
          </w:cols>
          <w:pgMar w:left="160" w:top="51" w:right="219" w:bottom="1440" w:gutter="0" w:footer="0" w:header="0"/>
          <w:type w:val="continuous"/>
        </w:sectPr>
      </w:pPr>
    </w:p>
    <w:p>
      <w:pPr>
        <w:ind w:right="120" w:firstLine="348"/>
        <w:spacing w:after="0" w:line="256"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6"/>
          <w:szCs w:val="16"/>
          <w:i w:val="1"/>
          <w:iCs w:val="1"/>
          <w:color w:val="auto"/>
        </w:rPr>
        <w:t>www.gaslogmlp.com.</w:t>
      </w:r>
      <w:r>
        <w:rPr>
          <w:rFonts w:ascii="Arial" w:cs="Arial" w:eastAsia="Arial" w:hAnsi="Arial"/>
          <w:sz w:val="16"/>
          <w:szCs w:val="16"/>
          <w:color w:val="auto"/>
        </w:rPr>
        <w:t xml:space="preserve"> The information contained on or connected to our website is not a part of this prospectus. Requests for such information should be made to us at the following address: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right="120" w:firstLine="344"/>
        <w:spacing w:after="0" w:line="259" w:lineRule="auto"/>
        <w:rPr>
          <w:sz w:val="20"/>
          <w:szCs w:val="20"/>
          <w:color w:val="auto"/>
        </w:rPr>
      </w:pPr>
      <w:r>
        <w:rPr>
          <w:rFonts w:ascii="Arial" w:cs="Arial" w:eastAsia="Arial" w:hAnsi="Arial"/>
          <w:sz w:val="18"/>
          <w:szCs w:val="18"/>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RATIO OF EARNINGS TO FIXED CHARGES AND PREFERENCE UNIT DISTRIBUTIONS</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following table sets forth our ratio of earnings to fixed charges for the periods indicated, computed using amounts derived from our financial statements for the years ended December 31, 2014, 2015 and 2016 included in the Form 6-K filed on September 29, 2017 and incorporated herein by reference. The amounts as of December 31, 2012 and 2013 and for each of the years ended December 31, 2012 and 2013 are a summary of and are derived from our audited consolidated financial statements after retroactive restatement for the transfer of vessels from GasLog to the Partnership, which are not incorporated by reference in this registration statement. Our financial statements are prepared in accordance with International Financial Reporting Standards as issued by the International Accounting Standards Board.</w:t>
      </w:r>
    </w:p>
    <w:p>
      <w:pPr>
        <w:spacing w:after="0" w:line="345" w:lineRule="exact"/>
        <w:rPr>
          <w:sz w:val="20"/>
          <w:szCs w:val="20"/>
          <w:color w:val="auto"/>
        </w:rPr>
      </w:pPr>
    </w:p>
    <w:tbl>
      <w:tblPr>
        <w:tblLayout w:type="fixed"/>
        <w:tblInd w:w="1160" w:type="dxa"/>
        <w:tblCellMar>
          <w:top w:w="0" w:type="dxa"/>
          <w:left w:w="0" w:type="dxa"/>
          <w:bottom w:w="0" w:type="dxa"/>
          <w:right w:w="0" w:type="dxa"/>
        </w:tblCellMar>
      </w:tblPr>
      <w:tr>
        <w:trPr>
          <w:trHeight w:val="253"/>
        </w:trPr>
        <w:tc>
          <w:tcPr>
            <w:tcW w:w="20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80" w:type="dxa"/>
            <w:vAlign w:val="bottom"/>
            <w:gridSpan w:val="10"/>
          </w:tcPr>
          <w:p>
            <w:pPr>
              <w:ind w:left="300"/>
              <w:spacing w:after="0"/>
              <w:rPr>
                <w:sz w:val="20"/>
                <w:szCs w:val="20"/>
                <w:color w:val="auto"/>
              </w:rPr>
            </w:pPr>
            <w:r>
              <w:rPr>
                <w:rFonts w:ascii="Arial" w:cs="Arial" w:eastAsia="Arial" w:hAnsi="Arial"/>
                <w:sz w:val="13"/>
                <w:szCs w:val="13"/>
                <w:b w:val="1"/>
                <w:bCs w:val="1"/>
                <w:color w:val="auto"/>
              </w:rPr>
              <w:t>Year ended December 31,</w:t>
            </w:r>
            <w:r>
              <w:rPr>
                <w:rFonts w:ascii="Arial" w:cs="Arial" w:eastAsia="Arial" w:hAnsi="Arial"/>
                <w:sz w:val="22"/>
                <w:szCs w:val="22"/>
                <w:b w:val="1"/>
                <w:bCs w:val="1"/>
                <w:color w:val="auto"/>
                <w:vertAlign w:val="superscript"/>
              </w:rPr>
              <w:t>(1)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Six months</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2"/>
            <w:vMerge w:val="restart"/>
          </w:tcPr>
          <w:p>
            <w:pPr>
              <w:jc w:val="center"/>
              <w:ind w:right="240"/>
              <w:spacing w:after="0" w:line="109" w:lineRule="exact"/>
              <w:rPr>
                <w:sz w:val="20"/>
                <w:szCs w:val="20"/>
                <w:color w:val="auto"/>
              </w:rPr>
            </w:pPr>
            <w:r>
              <w:rPr>
                <w:rFonts w:ascii="Arial" w:cs="Arial" w:eastAsia="Arial" w:hAnsi="Arial"/>
                <w:sz w:val="12"/>
                <w:szCs w:val="12"/>
                <w:b w:val="1"/>
                <w:bCs w:val="1"/>
                <w:color w:val="auto"/>
                <w:w w:val="99"/>
              </w:rPr>
              <w:t>ended June 30,</w:t>
            </w:r>
          </w:p>
        </w:tc>
        <w:tc>
          <w:tcPr>
            <w:tcW w:w="0" w:type="dxa"/>
            <w:vAlign w:val="bottom"/>
          </w:tcPr>
          <w:p>
            <w:pPr>
              <w:spacing w:after="0"/>
              <w:rPr>
                <w:sz w:val="1"/>
                <w:szCs w:val="1"/>
                <w:color w:val="auto"/>
              </w:rPr>
            </w:pPr>
          </w:p>
        </w:tc>
      </w:tr>
      <w:tr>
        <w:trPr>
          <w:trHeight w:val="62"/>
        </w:trPr>
        <w:tc>
          <w:tcPr>
            <w:tcW w:w="20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14"/>
          </w:tcPr>
          <w:p>
            <w:pPr>
              <w:ind w:left="460"/>
              <w:spacing w:after="0" w:line="142" w:lineRule="exact"/>
              <w:rPr>
                <w:sz w:val="20"/>
                <w:szCs w:val="20"/>
                <w:color w:val="auto"/>
              </w:rPr>
            </w:pPr>
            <w:r>
              <w:rPr>
                <w:rFonts w:ascii="Arial" w:cs="Arial" w:eastAsia="Arial" w:hAnsi="Arial"/>
                <w:sz w:val="13"/>
                <w:szCs w:val="13"/>
                <w:b w:val="1"/>
                <w:bCs w:val="1"/>
                <w:color w:val="auto"/>
                <w:w w:val="99"/>
              </w:rPr>
              <w:t>(in thousands of U.S. dollars, except ratios)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Pre-tax (loss)/income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87"/>
              <w:spacing w:after="0"/>
              <w:rPr>
                <w:sz w:val="20"/>
                <w:szCs w:val="20"/>
                <w:color w:val="auto"/>
              </w:rPr>
            </w:pPr>
            <w:r>
              <w:rPr>
                <w:rFonts w:ascii="Arial" w:cs="Arial" w:eastAsia="Arial" w:hAnsi="Arial"/>
                <w:sz w:val="18"/>
                <w:szCs w:val="18"/>
                <w:color w:val="auto"/>
                <w:w w:val="98"/>
              </w:rPr>
              <w:t>(1,715)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31,011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49,035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77,629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87,633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44,906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3" w:lineRule="exact"/>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â€”</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4"/>
              </w:rPr>
              <w:t>12,389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4"/>
              </w:rPr>
              <w:t>36,206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30,974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39,356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20,494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840" w:type="dxa"/>
            <w:vAlign w:val="bottom"/>
            <w:gridSpan w:val="2"/>
          </w:tcPr>
          <w:p>
            <w:pPr>
              <w:spacing w:after="0"/>
              <w:rPr>
                <w:sz w:val="20"/>
                <w:szCs w:val="20"/>
                <w:color w:val="auto"/>
              </w:rPr>
            </w:pPr>
            <w:r>
              <w:rPr>
                <w:rFonts w:ascii="Arial" w:cs="Arial" w:eastAsia="Arial" w:hAnsi="Arial"/>
                <w:sz w:val="3"/>
                <w:szCs w:val="3"/>
                <w:color w:val="auto"/>
              </w:rPr>
              <w:t>â€‹</w:t>
            </w:r>
          </w:p>
        </w:tc>
        <w:tc>
          <w:tcPr>
            <w:tcW w:w="140" w:type="dxa"/>
            <w:vAlign w:val="bottom"/>
          </w:tcPr>
          <w:p>
            <w:pPr>
              <w:ind w:left="40"/>
              <w:spacing w:after="0"/>
              <w:rPr>
                <w:sz w:val="20"/>
                <w:szCs w:val="20"/>
                <w:color w:val="auto"/>
              </w:rPr>
            </w:pPr>
            <w:r>
              <w:rPr>
                <w:rFonts w:ascii="Arial" w:cs="Arial" w:eastAsia="Arial" w:hAnsi="Arial"/>
                <w:sz w:val="3"/>
                <w:szCs w:val="3"/>
                <w:color w:val="auto"/>
              </w:rPr>
              <w:t>â€‹</w:t>
            </w:r>
          </w:p>
        </w:tc>
        <w:tc>
          <w:tcPr>
            <w:tcW w:w="140" w:type="dxa"/>
            <w:vAlign w:val="bottom"/>
            <w:gridSpan w:val="2"/>
          </w:tcPr>
          <w:p>
            <w:pPr>
              <w:ind w:left="60"/>
              <w:spacing w:after="0"/>
              <w:rPr>
                <w:sz w:val="20"/>
                <w:szCs w:val="20"/>
                <w:color w:val="auto"/>
              </w:rPr>
            </w:pPr>
            <w:r>
              <w:rPr>
                <w:rFonts w:ascii="Arial" w:cs="Arial" w:eastAsia="Arial" w:hAnsi="Arial"/>
                <w:sz w:val="3"/>
                <w:szCs w:val="3"/>
                <w:color w:val="auto"/>
              </w:rPr>
              <w:t>â€‹</w:t>
            </w:r>
          </w:p>
        </w:tc>
        <w:tc>
          <w:tcPr>
            <w:tcW w:w="620" w:type="dxa"/>
            <w:vAlign w:val="bottom"/>
            <w:gridSpan w:val="2"/>
          </w:tcPr>
          <w:p>
            <w:pPr>
              <w:jc w:val="right"/>
              <w:ind w:right="80"/>
              <w:spacing w:after="0" w:line="40"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140" w:type="dxa"/>
            <w:vAlign w:val="bottom"/>
            <w:gridSpan w:val="2"/>
          </w:tcPr>
          <w:p>
            <w:pPr>
              <w:ind w:left="60"/>
              <w:spacing w:after="0"/>
              <w:rPr>
                <w:sz w:val="20"/>
                <w:szCs w:val="20"/>
                <w:color w:val="auto"/>
              </w:rPr>
            </w:pPr>
            <w:r>
              <w:rPr>
                <w:rFonts w:ascii="Arial" w:cs="Arial" w:eastAsia="Arial" w:hAnsi="Arial"/>
                <w:sz w:val="3"/>
                <w:szCs w:val="3"/>
                <w:color w:val="auto"/>
              </w:rPr>
              <w:t>â€‹</w:t>
            </w:r>
          </w:p>
        </w:tc>
        <w:tc>
          <w:tcPr>
            <w:tcW w:w="780" w:type="dxa"/>
            <w:vAlign w:val="bottom"/>
            <w:gridSpan w:val="4"/>
          </w:tcPr>
          <w:p>
            <w:pPr>
              <w:jc w:val="right"/>
              <w:ind w:right="40"/>
              <w:spacing w:after="0"/>
              <w:rPr>
                <w:sz w:val="20"/>
                <w:szCs w:val="20"/>
                <w:color w:val="auto"/>
              </w:rPr>
            </w:pPr>
            <w:r>
              <w:rPr>
                <w:rFonts w:ascii="Arial" w:cs="Arial" w:eastAsia="Arial" w:hAnsi="Arial"/>
                <w:sz w:val="2"/>
                <w:szCs w:val="2"/>
                <w:color w:val="auto"/>
                <w:w w:val="91"/>
              </w:rPr>
              <w:t>â€‹</w:t>
            </w:r>
            <w:r>
              <w:rPr>
                <w:rFonts w:ascii="Arial" w:cs="Arial" w:eastAsia="Arial" w:hAnsi="Arial"/>
                <w:sz w:val="4"/>
                <w:szCs w:val="4"/>
                <w:color w:val="auto"/>
                <w:w w:val="91"/>
                <w:vertAlign w:val="subscript"/>
              </w:rPr>
              <w:t>â€‹</w:t>
            </w:r>
            <w:r>
              <w:rPr>
                <w:rFonts w:ascii="Arial" w:cs="Arial" w:eastAsia="Arial" w:hAnsi="Arial"/>
                <w:sz w:val="3"/>
                <w:szCs w:val="3"/>
                <w:color w:val="auto"/>
                <w:w w:val="91"/>
              </w:rPr>
              <w:t>â€‹</w:t>
            </w:r>
          </w:p>
        </w:tc>
        <w:tc>
          <w:tcPr>
            <w:tcW w:w="780" w:type="dxa"/>
            <w:vAlign w:val="bottom"/>
            <w:gridSpan w:val="4"/>
          </w:tcPr>
          <w:p>
            <w:pPr>
              <w:jc w:val="right"/>
              <w:ind w:right="40"/>
              <w:spacing w:after="0"/>
              <w:rPr>
                <w:sz w:val="20"/>
                <w:szCs w:val="20"/>
                <w:color w:val="auto"/>
              </w:rPr>
            </w:pPr>
            <w:r>
              <w:rPr>
                <w:rFonts w:ascii="Arial" w:cs="Arial" w:eastAsia="Arial" w:hAnsi="Arial"/>
                <w:sz w:val="2"/>
                <w:szCs w:val="2"/>
                <w:color w:val="auto"/>
                <w:w w:val="91"/>
              </w:rPr>
              <w:t>â€‹</w:t>
            </w:r>
            <w:r>
              <w:rPr>
                <w:rFonts w:ascii="Arial" w:cs="Arial" w:eastAsia="Arial" w:hAnsi="Arial"/>
                <w:sz w:val="4"/>
                <w:szCs w:val="4"/>
                <w:color w:val="auto"/>
                <w:w w:val="91"/>
                <w:vertAlign w:val="subscript"/>
              </w:rPr>
              <w:t>â€‹</w:t>
            </w:r>
            <w:r>
              <w:rPr>
                <w:rFonts w:ascii="Arial" w:cs="Arial" w:eastAsia="Arial" w:hAnsi="Arial"/>
                <w:sz w:val="3"/>
                <w:szCs w:val="3"/>
                <w:color w:val="auto"/>
                <w:w w:val="91"/>
              </w:rPr>
              <w:t>â€‹</w:t>
            </w:r>
          </w:p>
        </w:tc>
        <w:tc>
          <w:tcPr>
            <w:tcW w:w="860" w:type="dxa"/>
            <w:vAlign w:val="bottom"/>
            <w:gridSpan w:val="4"/>
          </w:tcPr>
          <w:p>
            <w:pPr>
              <w:jc w:val="right"/>
              <w:ind w:right="40"/>
              <w:spacing w:after="0"/>
              <w:rPr>
                <w:sz w:val="20"/>
                <w:szCs w:val="20"/>
                <w:color w:val="auto"/>
              </w:rPr>
            </w:pPr>
            <w:r>
              <w:rPr>
                <w:rFonts w:ascii="Arial" w:cs="Arial" w:eastAsia="Arial" w:hAnsi="Arial"/>
                <w:sz w:val="2"/>
                <w:szCs w:val="2"/>
                <w:color w:val="auto"/>
                <w:w w:val="91"/>
              </w:rPr>
              <w:t>â€‹</w:t>
            </w:r>
            <w:r>
              <w:rPr>
                <w:rFonts w:ascii="Arial" w:cs="Arial" w:eastAsia="Arial" w:hAnsi="Arial"/>
                <w:sz w:val="4"/>
                <w:szCs w:val="4"/>
                <w:color w:val="auto"/>
                <w:w w:val="91"/>
                <w:vertAlign w:val="subscript"/>
              </w:rPr>
              <w:t>â€‹</w:t>
            </w:r>
            <w:r>
              <w:rPr>
                <w:rFonts w:ascii="Arial" w:cs="Arial" w:eastAsia="Arial" w:hAnsi="Arial"/>
                <w:sz w:val="3"/>
                <w:szCs w:val="3"/>
                <w:color w:val="auto"/>
                <w:w w:val="91"/>
              </w:rPr>
              <w:t>â€‹</w:t>
            </w:r>
          </w:p>
        </w:tc>
        <w:tc>
          <w:tcPr>
            <w:tcW w:w="860" w:type="dxa"/>
            <w:vAlign w:val="bottom"/>
            <w:gridSpan w:val="4"/>
          </w:tcPr>
          <w:p>
            <w:pPr>
              <w:jc w:val="right"/>
              <w:ind w:right="40"/>
              <w:spacing w:after="0"/>
              <w:rPr>
                <w:sz w:val="20"/>
                <w:szCs w:val="20"/>
                <w:color w:val="auto"/>
              </w:rPr>
            </w:pPr>
            <w:r>
              <w:rPr>
                <w:rFonts w:ascii="Arial" w:cs="Arial" w:eastAsia="Arial" w:hAnsi="Arial"/>
                <w:sz w:val="2"/>
                <w:szCs w:val="2"/>
                <w:color w:val="auto"/>
              </w:rPr>
              <w:t>â€‹</w:t>
            </w:r>
            <w:r>
              <w:rPr>
                <w:rFonts w:ascii="Arial" w:cs="Arial" w:eastAsia="Arial" w:hAnsi="Arial"/>
                <w:sz w:val="4"/>
                <w:szCs w:val="4"/>
                <w:color w:val="auto"/>
                <w:vertAlign w:val="subscript"/>
              </w:rPr>
              <w:t>â€‹</w:t>
            </w:r>
            <w:r>
              <w:rPr>
                <w:rFonts w:ascii="Arial" w:cs="Arial" w:eastAsia="Arial" w:hAnsi="Arial"/>
                <w:sz w:val="1"/>
                <w:szCs w:val="1"/>
                <w:color w:val="auto"/>
              </w:rPr>
              <w:t>â€‹</w:t>
            </w:r>
          </w:p>
        </w:tc>
        <w:tc>
          <w:tcPr>
            <w:tcW w:w="1140" w:type="dxa"/>
            <w:vAlign w:val="bottom"/>
            <w:gridSpan w:val="2"/>
          </w:tcPr>
          <w:p>
            <w:pPr>
              <w:ind w:left="940"/>
              <w:spacing w:after="0" w:line="40"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0" w:type="dxa"/>
            <w:vAlign w:val="bottom"/>
          </w:tcPr>
          <w:p>
            <w:pPr>
              <w:spacing w:after="0" w:line="20" w:lineRule="exact"/>
              <w:rPr>
                <w:sz w:val="1"/>
                <w:szCs w:val="1"/>
                <w:color w:val="auto"/>
              </w:rPr>
            </w:pPr>
          </w:p>
        </w:tc>
      </w:tr>
      <w:tr>
        <w:trPr>
          <w:trHeight w:val="190"/>
        </w:trPr>
        <w:tc>
          <w:tcPr>
            <w:tcW w:w="3840" w:type="dxa"/>
            <w:vAlign w:val="bottom"/>
            <w:gridSpan w:val="2"/>
          </w:tcPr>
          <w:p>
            <w:pPr>
              <w:spacing w:after="0" w:line="190" w:lineRule="exact"/>
              <w:rPr>
                <w:sz w:val="20"/>
                <w:szCs w:val="20"/>
                <w:color w:val="auto"/>
              </w:rPr>
            </w:pPr>
            <w:r>
              <w:rPr>
                <w:rFonts w:ascii="Arial" w:cs="Arial" w:eastAsia="Arial" w:hAnsi="Arial"/>
                <w:sz w:val="18"/>
                <w:szCs w:val="18"/>
                <w:color w:val="auto"/>
              </w:rPr>
              <w:t>Total Earnings available for fixed charges</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right"/>
              <w:ind w:right="87"/>
              <w:spacing w:after="0" w:line="190" w:lineRule="exact"/>
              <w:rPr>
                <w:sz w:val="20"/>
                <w:szCs w:val="20"/>
                <w:color w:val="auto"/>
              </w:rPr>
            </w:pPr>
            <w:r>
              <w:rPr>
                <w:rFonts w:ascii="Arial" w:cs="Arial" w:eastAsia="Arial" w:hAnsi="Arial"/>
                <w:sz w:val="18"/>
                <w:szCs w:val="18"/>
                <w:color w:val="auto"/>
                <w:w w:val="98"/>
              </w:rPr>
              <w:t>(1,715)</w:t>
            </w:r>
          </w:p>
        </w:tc>
        <w:tc>
          <w:tcPr>
            <w:tcW w:w="80" w:type="dxa"/>
            <w:vAlign w:val="bottom"/>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w w:val="94"/>
              </w:rPr>
              <w:t>43,400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w w:val="94"/>
              </w:rPr>
              <w:t>85,241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w w:val="92"/>
              </w:rPr>
              <w:t>108,603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w w:val="92"/>
              </w:rPr>
              <w:t>126,989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65,400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3840" w:type="dxa"/>
            <w:vAlign w:val="bottom"/>
            <w:gridSpan w:val="2"/>
          </w:tcPr>
          <w:p>
            <w:pPr>
              <w:spacing w:after="0" w:line="34" w:lineRule="exact"/>
              <w:rPr>
                <w:sz w:val="20"/>
                <w:szCs w:val="20"/>
                <w:color w:val="auto"/>
              </w:rPr>
            </w:pPr>
            <w:r>
              <w:rPr>
                <w:rFonts w:ascii="Arial" w:cs="Arial" w:eastAsia="Arial" w:hAnsi="Arial"/>
                <w:sz w:val="3"/>
                <w:szCs w:val="3"/>
                <w:color w:val="auto"/>
              </w:rPr>
              <w:t>â€‹</w:t>
            </w:r>
          </w:p>
        </w:tc>
        <w:tc>
          <w:tcPr>
            <w:tcW w:w="140" w:type="dxa"/>
            <w:vAlign w:val="bottom"/>
          </w:tcPr>
          <w:p>
            <w:pPr>
              <w:ind w:left="40"/>
              <w:spacing w:after="0" w:line="34" w:lineRule="exact"/>
              <w:rPr>
                <w:sz w:val="20"/>
                <w:szCs w:val="20"/>
                <w:color w:val="auto"/>
              </w:rPr>
            </w:pPr>
            <w:r>
              <w:rPr>
                <w:rFonts w:ascii="Arial" w:cs="Arial" w:eastAsia="Arial" w:hAnsi="Arial"/>
                <w:sz w:val="3"/>
                <w:szCs w:val="3"/>
                <w:color w:val="auto"/>
              </w:rPr>
              <w:t>â€‹</w:t>
            </w:r>
          </w:p>
        </w:tc>
        <w:tc>
          <w:tcPr>
            <w:tcW w:w="140" w:type="dxa"/>
            <w:vAlign w:val="bottom"/>
            <w:gridSpan w:val="2"/>
          </w:tcPr>
          <w:p>
            <w:pPr>
              <w:ind w:left="60"/>
              <w:spacing w:after="0" w:line="27" w:lineRule="exact"/>
              <w:rPr>
                <w:sz w:val="20"/>
                <w:szCs w:val="20"/>
                <w:color w:val="auto"/>
              </w:rPr>
            </w:pPr>
            <w:r>
              <w:rPr>
                <w:rFonts w:ascii="Arial" w:cs="Arial" w:eastAsia="Arial" w:hAnsi="Arial"/>
                <w:sz w:val="3"/>
                <w:szCs w:val="3"/>
                <w:color w:val="auto"/>
              </w:rPr>
              <w:t>â€‹</w:t>
            </w:r>
          </w:p>
        </w:tc>
        <w:tc>
          <w:tcPr>
            <w:tcW w:w="620" w:type="dxa"/>
            <w:vAlign w:val="bottom"/>
            <w:gridSpan w:val="2"/>
          </w:tcPr>
          <w:p>
            <w:pPr>
              <w:jc w:val="right"/>
              <w:ind w:right="8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40" w:type="dxa"/>
            <w:vAlign w:val="bottom"/>
            <w:gridSpan w:val="2"/>
          </w:tcPr>
          <w:p>
            <w:pPr>
              <w:ind w:left="60"/>
              <w:spacing w:after="0" w:line="27" w:lineRule="exact"/>
              <w:rPr>
                <w:sz w:val="20"/>
                <w:szCs w:val="20"/>
                <w:color w:val="auto"/>
              </w:rPr>
            </w:pPr>
            <w:r>
              <w:rPr>
                <w:rFonts w:ascii="Arial" w:cs="Arial" w:eastAsia="Arial" w:hAnsi="Arial"/>
                <w:sz w:val="3"/>
                <w:szCs w:val="3"/>
                <w:color w:val="auto"/>
              </w:rPr>
              <w:t>â€‹</w:t>
            </w:r>
          </w:p>
        </w:tc>
        <w:tc>
          <w:tcPr>
            <w:tcW w:w="640" w:type="dxa"/>
            <w:vAlign w:val="bottom"/>
            <w:gridSpan w:val="2"/>
          </w:tcPr>
          <w:p>
            <w:pPr>
              <w:ind w:left="50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line="27" w:lineRule="exact"/>
              <w:rPr>
                <w:sz w:val="20"/>
                <w:szCs w:val="20"/>
                <w:color w:val="auto"/>
              </w:rPr>
            </w:pPr>
            <w:r>
              <w:rPr>
                <w:rFonts w:ascii="Arial" w:cs="Arial" w:eastAsia="Arial" w:hAnsi="Arial"/>
                <w:sz w:val="3"/>
                <w:szCs w:val="3"/>
                <w:color w:val="auto"/>
              </w:rPr>
              <w:t>â€‹</w:t>
            </w:r>
          </w:p>
        </w:tc>
        <w:tc>
          <w:tcPr>
            <w:tcW w:w="640" w:type="dxa"/>
            <w:vAlign w:val="bottom"/>
            <w:gridSpan w:val="2"/>
          </w:tcPr>
          <w:p>
            <w:pPr>
              <w:jc w:val="right"/>
              <w:ind w:right="6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line="27" w:lineRule="exact"/>
              <w:rPr>
                <w:sz w:val="20"/>
                <w:szCs w:val="20"/>
                <w:color w:val="auto"/>
              </w:rPr>
            </w:pPr>
            <w:r>
              <w:rPr>
                <w:rFonts w:ascii="Arial" w:cs="Arial" w:eastAsia="Arial" w:hAnsi="Arial"/>
                <w:sz w:val="3"/>
                <w:szCs w:val="3"/>
                <w:color w:val="auto"/>
              </w:rPr>
              <w:t>â€‹</w:t>
            </w:r>
          </w:p>
        </w:tc>
        <w:tc>
          <w:tcPr>
            <w:tcW w:w="720" w:type="dxa"/>
            <w:vAlign w:val="bottom"/>
            <w:gridSpan w:val="2"/>
          </w:tcPr>
          <w:p>
            <w:pPr>
              <w:jc w:val="right"/>
              <w:ind w:right="6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line="27" w:lineRule="exact"/>
              <w:rPr>
                <w:sz w:val="20"/>
                <w:szCs w:val="20"/>
                <w:color w:val="auto"/>
              </w:rPr>
            </w:pPr>
            <w:r>
              <w:rPr>
                <w:rFonts w:ascii="Arial" w:cs="Arial" w:eastAsia="Arial" w:hAnsi="Arial"/>
                <w:sz w:val="3"/>
                <w:szCs w:val="3"/>
                <w:color w:val="auto"/>
              </w:rPr>
              <w:t>â€‹</w:t>
            </w:r>
          </w:p>
        </w:tc>
        <w:tc>
          <w:tcPr>
            <w:tcW w:w="720" w:type="dxa"/>
            <w:vAlign w:val="bottom"/>
            <w:gridSpan w:val="2"/>
          </w:tcPr>
          <w:p>
            <w:pPr>
              <w:ind w:left="60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line="27" w:lineRule="exact"/>
              <w:rPr>
                <w:sz w:val="20"/>
                <w:szCs w:val="20"/>
                <w:color w:val="auto"/>
              </w:rPr>
            </w:pPr>
            <w:r>
              <w:rPr>
                <w:rFonts w:ascii="Arial" w:cs="Arial" w:eastAsia="Arial" w:hAnsi="Arial"/>
                <w:sz w:val="3"/>
                <w:szCs w:val="3"/>
                <w:color w:val="auto"/>
              </w:rPr>
              <w:t>â€‹</w:t>
            </w:r>
          </w:p>
        </w:tc>
        <w:tc>
          <w:tcPr>
            <w:tcW w:w="1140" w:type="dxa"/>
            <w:vAlign w:val="bottom"/>
            <w:gridSpan w:val="2"/>
          </w:tcPr>
          <w:p>
            <w:pPr>
              <w:ind w:left="94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0" w:type="dxa"/>
            <w:vAlign w:val="bottom"/>
          </w:tcPr>
          <w:p>
            <w:pPr>
              <w:spacing w:after="0" w:line="20" w:lineRule="exact"/>
              <w:rPr>
                <w:sz w:val="1"/>
                <w:szCs w:val="1"/>
                <w:color w:val="auto"/>
              </w:rPr>
            </w:pPr>
          </w:p>
        </w:tc>
      </w:tr>
      <w:tr>
        <w:trPr>
          <w:trHeight w:val="33"/>
        </w:trPr>
        <w:tc>
          <w:tcPr>
            <w:tcW w:w="3840" w:type="dxa"/>
            <w:vAlign w:val="bottom"/>
            <w:gridSpan w:val="2"/>
          </w:tcPr>
          <w:p>
            <w:pPr>
              <w:spacing w:after="0" w:line="34" w:lineRule="exact"/>
              <w:rPr>
                <w:sz w:val="20"/>
                <w:szCs w:val="20"/>
                <w:color w:val="auto"/>
              </w:rPr>
            </w:pPr>
            <w:r>
              <w:rPr>
                <w:rFonts w:ascii="Arial" w:cs="Arial" w:eastAsia="Arial" w:hAnsi="Arial"/>
                <w:sz w:val="3"/>
                <w:szCs w:val="3"/>
                <w:color w:val="auto"/>
              </w:rPr>
              <w:t>â€‹</w:t>
            </w:r>
          </w:p>
        </w:tc>
        <w:tc>
          <w:tcPr>
            <w:tcW w:w="140" w:type="dxa"/>
            <w:vAlign w:val="bottom"/>
          </w:tcPr>
          <w:p>
            <w:pPr>
              <w:ind w:left="40"/>
              <w:spacing w:after="0" w:line="34" w:lineRule="exact"/>
              <w:rPr>
                <w:sz w:val="20"/>
                <w:szCs w:val="20"/>
                <w:color w:val="auto"/>
              </w:rPr>
            </w:pPr>
            <w:r>
              <w:rPr>
                <w:rFonts w:ascii="Arial" w:cs="Arial" w:eastAsia="Arial" w:hAnsi="Arial"/>
                <w:sz w:val="3"/>
                <w:szCs w:val="3"/>
                <w:color w:val="auto"/>
              </w:rPr>
              <w:t>â€‹</w:t>
            </w:r>
          </w:p>
        </w:tc>
        <w:tc>
          <w:tcPr>
            <w:tcW w:w="140" w:type="dxa"/>
            <w:vAlign w:val="bottom"/>
            <w:gridSpan w:val="2"/>
          </w:tcPr>
          <w:p>
            <w:pPr>
              <w:ind w:left="60"/>
              <w:spacing w:after="0" w:line="34" w:lineRule="exact"/>
              <w:rPr>
                <w:sz w:val="20"/>
                <w:szCs w:val="20"/>
                <w:color w:val="auto"/>
              </w:rPr>
            </w:pPr>
            <w:r>
              <w:rPr>
                <w:rFonts w:ascii="Arial" w:cs="Arial" w:eastAsia="Arial" w:hAnsi="Arial"/>
                <w:sz w:val="3"/>
                <w:szCs w:val="3"/>
                <w:color w:val="auto"/>
              </w:rPr>
              <w:t>â€‹</w:t>
            </w:r>
          </w:p>
        </w:tc>
        <w:tc>
          <w:tcPr>
            <w:tcW w:w="620" w:type="dxa"/>
            <w:vAlign w:val="bottom"/>
            <w:gridSpan w:val="2"/>
          </w:tcPr>
          <w:p>
            <w:pPr>
              <w:jc w:val="right"/>
              <w:ind w:right="8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gridSpan w:val="2"/>
          </w:tcPr>
          <w:p>
            <w:pPr>
              <w:ind w:left="60"/>
              <w:spacing w:after="0" w:line="34" w:lineRule="exact"/>
              <w:rPr>
                <w:sz w:val="20"/>
                <w:szCs w:val="20"/>
                <w:color w:val="auto"/>
              </w:rPr>
            </w:pPr>
            <w:r>
              <w:rPr>
                <w:rFonts w:ascii="Arial" w:cs="Arial" w:eastAsia="Arial" w:hAnsi="Arial"/>
                <w:sz w:val="3"/>
                <w:szCs w:val="3"/>
                <w:color w:val="auto"/>
              </w:rPr>
              <w:t>â€‹</w:t>
            </w:r>
          </w:p>
        </w:tc>
        <w:tc>
          <w:tcPr>
            <w:tcW w:w="640" w:type="dxa"/>
            <w:vAlign w:val="bottom"/>
            <w:gridSpan w:val="2"/>
          </w:tcPr>
          <w:p>
            <w:pPr>
              <w:ind w:left="50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gridSpan w:val="2"/>
          </w:tcPr>
          <w:p>
            <w:pPr>
              <w:jc w:val="right"/>
              <w:ind w:right="40"/>
              <w:spacing w:after="0" w:line="34" w:lineRule="exact"/>
              <w:rPr>
                <w:sz w:val="20"/>
                <w:szCs w:val="20"/>
                <w:color w:val="auto"/>
              </w:rPr>
            </w:pPr>
            <w:r>
              <w:rPr>
                <w:rFonts w:ascii="Arial" w:cs="Arial" w:eastAsia="Arial" w:hAnsi="Arial"/>
                <w:sz w:val="3"/>
                <w:szCs w:val="3"/>
                <w:color w:val="auto"/>
              </w:rPr>
              <w:t>â€‹</w:t>
            </w:r>
          </w:p>
        </w:tc>
        <w:tc>
          <w:tcPr>
            <w:tcW w:w="640" w:type="dxa"/>
            <w:vAlign w:val="bottom"/>
            <w:gridSpan w:val="2"/>
          </w:tcPr>
          <w:p>
            <w:pPr>
              <w:jc w:val="right"/>
              <w:ind w:right="6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gridSpan w:val="2"/>
          </w:tcPr>
          <w:p>
            <w:pPr>
              <w:jc w:val="right"/>
              <w:ind w:right="40"/>
              <w:spacing w:after="0" w:line="34" w:lineRule="exact"/>
              <w:rPr>
                <w:sz w:val="20"/>
                <w:szCs w:val="20"/>
                <w:color w:val="auto"/>
              </w:rPr>
            </w:pPr>
            <w:r>
              <w:rPr>
                <w:rFonts w:ascii="Arial" w:cs="Arial" w:eastAsia="Arial" w:hAnsi="Arial"/>
                <w:sz w:val="3"/>
                <w:szCs w:val="3"/>
                <w:color w:val="auto"/>
              </w:rPr>
              <w:t>â€‹</w:t>
            </w:r>
          </w:p>
        </w:tc>
        <w:tc>
          <w:tcPr>
            <w:tcW w:w="720" w:type="dxa"/>
            <w:vAlign w:val="bottom"/>
            <w:gridSpan w:val="2"/>
          </w:tcPr>
          <w:p>
            <w:pPr>
              <w:jc w:val="right"/>
              <w:ind w:right="6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gridSpan w:val="2"/>
          </w:tcPr>
          <w:p>
            <w:pPr>
              <w:jc w:val="right"/>
              <w:ind w:right="40"/>
              <w:spacing w:after="0" w:line="34" w:lineRule="exact"/>
              <w:rPr>
                <w:sz w:val="20"/>
                <w:szCs w:val="20"/>
                <w:color w:val="auto"/>
              </w:rPr>
            </w:pPr>
            <w:r>
              <w:rPr>
                <w:rFonts w:ascii="Arial" w:cs="Arial" w:eastAsia="Arial" w:hAnsi="Arial"/>
                <w:sz w:val="3"/>
                <w:szCs w:val="3"/>
                <w:color w:val="auto"/>
              </w:rPr>
              <w:t>â€‹</w:t>
            </w:r>
          </w:p>
        </w:tc>
        <w:tc>
          <w:tcPr>
            <w:tcW w:w="720" w:type="dxa"/>
            <w:vAlign w:val="bottom"/>
            <w:gridSpan w:val="2"/>
          </w:tcPr>
          <w:p>
            <w:pPr>
              <w:ind w:left="60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gridSpan w:val="2"/>
          </w:tcPr>
          <w:p>
            <w:pPr>
              <w:jc w:val="right"/>
              <w:ind w:right="40"/>
              <w:spacing w:after="0" w:line="34" w:lineRule="exact"/>
              <w:rPr>
                <w:sz w:val="20"/>
                <w:szCs w:val="20"/>
                <w:color w:val="auto"/>
              </w:rPr>
            </w:pPr>
            <w:r>
              <w:rPr>
                <w:rFonts w:ascii="Arial" w:cs="Arial" w:eastAsia="Arial" w:hAnsi="Arial"/>
                <w:sz w:val="3"/>
                <w:szCs w:val="3"/>
                <w:color w:val="auto"/>
              </w:rPr>
              <w:t>â€‹</w:t>
            </w:r>
          </w:p>
        </w:tc>
        <w:tc>
          <w:tcPr>
            <w:tcW w:w="1140" w:type="dxa"/>
            <w:vAlign w:val="bottom"/>
            <w:gridSpan w:val="2"/>
          </w:tcPr>
          <w:p>
            <w:pPr>
              <w:ind w:left="94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0" w:type="dxa"/>
            <w:vAlign w:val="bottom"/>
          </w:tcPr>
          <w:p>
            <w:pPr>
              <w:spacing w:after="0" w:line="20" w:lineRule="exact"/>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Fixed Charges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â€”</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23,438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40" w:type="dxa"/>
            <w:vAlign w:val="bottom"/>
            <w:gridSpan w:val="2"/>
          </w:tcPr>
          <w:p>
            <w:pPr>
              <w:spacing w:after="0"/>
              <w:rPr>
                <w:sz w:val="20"/>
                <w:szCs w:val="20"/>
                <w:color w:val="auto"/>
              </w:rPr>
            </w:pPr>
            <w:r>
              <w:rPr>
                <w:rFonts w:ascii="Arial" w:cs="Arial" w:eastAsia="Arial" w:hAnsi="Arial"/>
                <w:sz w:val="18"/>
                <w:szCs w:val="18"/>
                <w:color w:val="auto"/>
              </w:rPr>
              <w:t>Amortization of capitalized expenses relating to</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indebtedness.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â€”</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12,768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3840" w:type="dxa"/>
            <w:vAlign w:val="bottom"/>
            <w:gridSpan w:val="2"/>
          </w:tcPr>
          <w:p>
            <w:pPr>
              <w:spacing w:after="0"/>
              <w:rPr>
                <w:sz w:val="20"/>
                <w:szCs w:val="20"/>
                <w:color w:val="auto"/>
              </w:rPr>
            </w:pPr>
            <w:r>
              <w:rPr>
                <w:rFonts w:ascii="Arial" w:cs="Arial" w:eastAsia="Arial" w:hAnsi="Arial"/>
                <w:sz w:val="3"/>
                <w:szCs w:val="3"/>
                <w:color w:val="auto"/>
              </w:rPr>
              <w:t>â€‹</w:t>
            </w:r>
          </w:p>
        </w:tc>
        <w:tc>
          <w:tcPr>
            <w:tcW w:w="140" w:type="dxa"/>
            <w:vAlign w:val="bottom"/>
          </w:tcPr>
          <w:p>
            <w:pPr>
              <w:ind w:left="40"/>
              <w:spacing w:after="0"/>
              <w:rPr>
                <w:sz w:val="20"/>
                <w:szCs w:val="20"/>
                <w:color w:val="auto"/>
              </w:rPr>
            </w:pPr>
            <w:r>
              <w:rPr>
                <w:rFonts w:ascii="Arial" w:cs="Arial" w:eastAsia="Arial" w:hAnsi="Arial"/>
                <w:sz w:val="3"/>
                <w:szCs w:val="3"/>
                <w:color w:val="auto"/>
              </w:rPr>
              <w:t>â€‹</w:t>
            </w:r>
          </w:p>
        </w:tc>
        <w:tc>
          <w:tcPr>
            <w:tcW w:w="140" w:type="dxa"/>
            <w:vAlign w:val="bottom"/>
            <w:gridSpan w:val="2"/>
          </w:tcPr>
          <w:p>
            <w:pPr>
              <w:ind w:left="60"/>
              <w:spacing w:after="0"/>
              <w:rPr>
                <w:sz w:val="20"/>
                <w:szCs w:val="20"/>
                <w:color w:val="auto"/>
              </w:rPr>
            </w:pPr>
            <w:r>
              <w:rPr>
                <w:rFonts w:ascii="Arial" w:cs="Arial" w:eastAsia="Arial" w:hAnsi="Arial"/>
                <w:sz w:val="3"/>
                <w:szCs w:val="3"/>
                <w:color w:val="auto"/>
              </w:rPr>
              <w:t>â€‹</w:t>
            </w:r>
          </w:p>
        </w:tc>
        <w:tc>
          <w:tcPr>
            <w:tcW w:w="620" w:type="dxa"/>
            <w:vAlign w:val="bottom"/>
            <w:gridSpan w:val="2"/>
          </w:tcPr>
          <w:p>
            <w:pPr>
              <w:jc w:val="right"/>
              <w:ind w:right="80"/>
              <w:spacing w:after="0" w:line="40" w:lineRule="exact"/>
              <w:rPr>
                <w:sz w:val="20"/>
                <w:szCs w:val="20"/>
                <w:color w:val="auto"/>
              </w:rPr>
            </w:pPr>
            <w:r>
              <w:rPr>
                <w:rFonts w:ascii="Arial" w:cs="Arial" w:eastAsia="Arial" w:hAnsi="Arial"/>
                <w:sz w:val="2"/>
                <w:szCs w:val="2"/>
                <w:color w:val="auto"/>
              </w:rPr>
              <w:t>â€‹</w:t>
            </w:r>
            <w:r>
              <w:rPr>
                <w:rFonts w:ascii="Arial" w:cs="Arial" w:eastAsia="Arial" w:hAnsi="Arial"/>
                <w:sz w:val="4"/>
                <w:szCs w:val="4"/>
                <w:color w:val="auto"/>
                <w:vertAlign w:val="subscript"/>
              </w:rPr>
              <w:t>â€‹</w:t>
            </w:r>
          </w:p>
        </w:tc>
        <w:tc>
          <w:tcPr>
            <w:tcW w:w="140" w:type="dxa"/>
            <w:vAlign w:val="bottom"/>
            <w:gridSpan w:val="2"/>
          </w:tcPr>
          <w:p>
            <w:pPr>
              <w:ind w:left="60"/>
              <w:spacing w:after="0"/>
              <w:rPr>
                <w:sz w:val="20"/>
                <w:szCs w:val="20"/>
                <w:color w:val="auto"/>
              </w:rPr>
            </w:pPr>
            <w:r>
              <w:rPr>
                <w:rFonts w:ascii="Arial" w:cs="Arial" w:eastAsia="Arial" w:hAnsi="Arial"/>
                <w:sz w:val="3"/>
                <w:szCs w:val="3"/>
                <w:color w:val="auto"/>
              </w:rPr>
              <w:t>â€‹</w:t>
            </w:r>
          </w:p>
        </w:tc>
        <w:tc>
          <w:tcPr>
            <w:tcW w:w="640" w:type="dxa"/>
            <w:vAlign w:val="bottom"/>
            <w:gridSpan w:val="2"/>
          </w:tcPr>
          <w:p>
            <w:pPr>
              <w:ind w:left="500"/>
              <w:spacing w:after="0" w:line="40" w:lineRule="exact"/>
              <w:rPr>
                <w:sz w:val="20"/>
                <w:szCs w:val="20"/>
                <w:color w:val="auto"/>
              </w:rPr>
            </w:pPr>
            <w:r>
              <w:rPr>
                <w:rFonts w:ascii="Arial" w:cs="Arial" w:eastAsia="Arial" w:hAnsi="Arial"/>
                <w:sz w:val="2"/>
                <w:szCs w:val="2"/>
                <w:color w:val="auto"/>
              </w:rPr>
              <w:t>â€‹</w:t>
            </w:r>
            <w:r>
              <w:rPr>
                <w:rFonts w:ascii="Arial" w:cs="Arial" w:eastAsia="Arial" w:hAnsi="Arial"/>
                <w:sz w:val="4"/>
                <w:szCs w:val="4"/>
                <w:color w:val="auto"/>
                <w:vertAlign w:val="subscript"/>
              </w:rPr>
              <w:t>â€‹</w:t>
            </w:r>
          </w:p>
        </w:tc>
        <w:tc>
          <w:tcPr>
            <w:tcW w:w="140" w:type="dxa"/>
            <w:vAlign w:val="bottom"/>
            <w:gridSpan w:val="2"/>
          </w:tcPr>
          <w:p>
            <w:pPr>
              <w:jc w:val="right"/>
              <w:ind w:right="40"/>
              <w:spacing w:after="0"/>
              <w:rPr>
                <w:sz w:val="20"/>
                <w:szCs w:val="20"/>
                <w:color w:val="auto"/>
              </w:rPr>
            </w:pPr>
            <w:r>
              <w:rPr>
                <w:rFonts w:ascii="Arial" w:cs="Arial" w:eastAsia="Arial" w:hAnsi="Arial"/>
                <w:sz w:val="3"/>
                <w:szCs w:val="3"/>
                <w:color w:val="auto"/>
              </w:rPr>
              <w:t>â€‹</w:t>
            </w:r>
          </w:p>
        </w:tc>
        <w:tc>
          <w:tcPr>
            <w:tcW w:w="640" w:type="dxa"/>
            <w:vAlign w:val="bottom"/>
            <w:gridSpan w:val="2"/>
          </w:tcPr>
          <w:p>
            <w:pPr>
              <w:jc w:val="right"/>
              <w:ind w:right="60"/>
              <w:spacing w:after="0" w:line="40" w:lineRule="exact"/>
              <w:rPr>
                <w:sz w:val="20"/>
                <w:szCs w:val="20"/>
                <w:color w:val="auto"/>
              </w:rPr>
            </w:pPr>
            <w:r>
              <w:rPr>
                <w:rFonts w:ascii="Arial" w:cs="Arial" w:eastAsia="Arial" w:hAnsi="Arial"/>
                <w:sz w:val="2"/>
                <w:szCs w:val="2"/>
                <w:color w:val="auto"/>
              </w:rPr>
              <w:t>â€‹</w:t>
            </w:r>
            <w:r>
              <w:rPr>
                <w:rFonts w:ascii="Arial" w:cs="Arial" w:eastAsia="Arial" w:hAnsi="Arial"/>
                <w:sz w:val="4"/>
                <w:szCs w:val="4"/>
                <w:color w:val="auto"/>
                <w:vertAlign w:val="subscript"/>
              </w:rPr>
              <w:t>â€‹</w:t>
            </w:r>
          </w:p>
        </w:tc>
        <w:tc>
          <w:tcPr>
            <w:tcW w:w="140" w:type="dxa"/>
            <w:vAlign w:val="bottom"/>
            <w:gridSpan w:val="2"/>
          </w:tcPr>
          <w:p>
            <w:pPr>
              <w:jc w:val="right"/>
              <w:ind w:right="40"/>
              <w:spacing w:after="0"/>
              <w:rPr>
                <w:sz w:val="20"/>
                <w:szCs w:val="20"/>
                <w:color w:val="auto"/>
              </w:rPr>
            </w:pPr>
            <w:r>
              <w:rPr>
                <w:rFonts w:ascii="Arial" w:cs="Arial" w:eastAsia="Arial" w:hAnsi="Arial"/>
                <w:sz w:val="3"/>
                <w:szCs w:val="3"/>
                <w:color w:val="auto"/>
              </w:rPr>
              <w:t>â€‹</w:t>
            </w:r>
          </w:p>
        </w:tc>
        <w:tc>
          <w:tcPr>
            <w:tcW w:w="720" w:type="dxa"/>
            <w:vAlign w:val="bottom"/>
            <w:gridSpan w:val="2"/>
          </w:tcPr>
          <w:p>
            <w:pPr>
              <w:jc w:val="right"/>
              <w:ind w:right="60"/>
              <w:spacing w:after="0" w:line="40" w:lineRule="exact"/>
              <w:rPr>
                <w:sz w:val="20"/>
                <w:szCs w:val="20"/>
                <w:color w:val="auto"/>
              </w:rPr>
            </w:pPr>
            <w:r>
              <w:rPr>
                <w:rFonts w:ascii="Arial" w:cs="Arial" w:eastAsia="Arial" w:hAnsi="Arial"/>
                <w:sz w:val="2"/>
                <w:szCs w:val="2"/>
                <w:color w:val="auto"/>
              </w:rPr>
              <w:t>â€‹</w:t>
            </w:r>
            <w:r>
              <w:rPr>
                <w:rFonts w:ascii="Arial" w:cs="Arial" w:eastAsia="Arial" w:hAnsi="Arial"/>
                <w:sz w:val="4"/>
                <w:szCs w:val="4"/>
                <w:color w:val="auto"/>
                <w:vertAlign w:val="subscript"/>
              </w:rPr>
              <w:t>â€‹</w:t>
            </w:r>
          </w:p>
        </w:tc>
        <w:tc>
          <w:tcPr>
            <w:tcW w:w="140" w:type="dxa"/>
            <w:vAlign w:val="bottom"/>
            <w:gridSpan w:val="2"/>
          </w:tcPr>
          <w:p>
            <w:pPr>
              <w:jc w:val="right"/>
              <w:ind w:right="40"/>
              <w:spacing w:after="0"/>
              <w:rPr>
                <w:sz w:val="20"/>
                <w:szCs w:val="20"/>
                <w:color w:val="auto"/>
              </w:rPr>
            </w:pPr>
            <w:r>
              <w:rPr>
                <w:rFonts w:ascii="Arial" w:cs="Arial" w:eastAsia="Arial" w:hAnsi="Arial"/>
                <w:sz w:val="3"/>
                <w:szCs w:val="3"/>
                <w:color w:val="auto"/>
              </w:rPr>
              <w:t>â€‹</w:t>
            </w:r>
          </w:p>
        </w:tc>
        <w:tc>
          <w:tcPr>
            <w:tcW w:w="720" w:type="dxa"/>
            <w:vAlign w:val="bottom"/>
            <w:gridSpan w:val="2"/>
          </w:tcPr>
          <w:p>
            <w:pPr>
              <w:ind w:left="600"/>
              <w:spacing w:after="0" w:line="40" w:lineRule="exact"/>
              <w:rPr>
                <w:sz w:val="20"/>
                <w:szCs w:val="20"/>
                <w:color w:val="auto"/>
              </w:rPr>
            </w:pPr>
            <w:r>
              <w:rPr>
                <w:rFonts w:ascii="Arial" w:cs="Arial" w:eastAsia="Arial" w:hAnsi="Arial"/>
                <w:sz w:val="2"/>
                <w:szCs w:val="2"/>
                <w:color w:val="auto"/>
              </w:rPr>
              <w:t>â€‹</w:t>
            </w:r>
            <w:r>
              <w:rPr>
                <w:rFonts w:ascii="Arial" w:cs="Arial" w:eastAsia="Arial" w:hAnsi="Arial"/>
                <w:sz w:val="4"/>
                <w:szCs w:val="4"/>
                <w:color w:val="auto"/>
                <w:vertAlign w:val="subscript"/>
              </w:rPr>
              <w:t>â€‹</w:t>
            </w:r>
          </w:p>
        </w:tc>
        <w:tc>
          <w:tcPr>
            <w:tcW w:w="140" w:type="dxa"/>
            <w:vAlign w:val="bottom"/>
            <w:gridSpan w:val="2"/>
          </w:tcPr>
          <w:p>
            <w:pPr>
              <w:jc w:val="right"/>
              <w:ind w:right="40"/>
              <w:spacing w:after="0"/>
              <w:rPr>
                <w:sz w:val="20"/>
                <w:szCs w:val="20"/>
                <w:color w:val="auto"/>
              </w:rPr>
            </w:pPr>
            <w:r>
              <w:rPr>
                <w:rFonts w:ascii="Arial" w:cs="Arial" w:eastAsia="Arial" w:hAnsi="Arial"/>
                <w:sz w:val="3"/>
                <w:szCs w:val="3"/>
                <w:color w:val="auto"/>
              </w:rPr>
              <w:t>â€‹</w:t>
            </w:r>
          </w:p>
        </w:tc>
        <w:tc>
          <w:tcPr>
            <w:tcW w:w="1140" w:type="dxa"/>
            <w:vAlign w:val="bottom"/>
            <w:gridSpan w:val="2"/>
          </w:tcPr>
          <w:p>
            <w:pPr>
              <w:ind w:left="940"/>
              <w:spacing w:after="0" w:line="40" w:lineRule="exact"/>
              <w:rPr>
                <w:sz w:val="20"/>
                <w:szCs w:val="20"/>
                <w:color w:val="auto"/>
              </w:rPr>
            </w:pPr>
            <w:r>
              <w:rPr>
                <w:rFonts w:ascii="Arial" w:cs="Arial" w:eastAsia="Arial" w:hAnsi="Arial"/>
                <w:sz w:val="2"/>
                <w:szCs w:val="2"/>
                <w:color w:val="auto"/>
              </w:rPr>
              <w:t>â€‹</w:t>
            </w:r>
            <w:r>
              <w:rPr>
                <w:rFonts w:ascii="Arial" w:cs="Arial" w:eastAsia="Arial" w:hAnsi="Arial"/>
                <w:sz w:val="4"/>
                <w:szCs w:val="4"/>
                <w:color w:val="auto"/>
                <w:vertAlign w:val="subscript"/>
              </w:rPr>
              <w:t>â€‹</w:t>
            </w:r>
          </w:p>
        </w:tc>
        <w:tc>
          <w:tcPr>
            <w:tcW w:w="0" w:type="dxa"/>
            <w:vAlign w:val="bottom"/>
          </w:tcPr>
          <w:p>
            <w:pPr>
              <w:spacing w:after="0" w:line="20" w:lineRule="exact"/>
              <w:rPr>
                <w:sz w:val="1"/>
                <w:szCs w:val="1"/>
                <w:color w:val="auto"/>
              </w:rPr>
            </w:pPr>
          </w:p>
        </w:tc>
      </w:tr>
      <w:tr>
        <w:trPr>
          <w:trHeight w:val="194"/>
        </w:trPr>
        <w:tc>
          <w:tcPr>
            <w:tcW w:w="3840" w:type="dxa"/>
            <w:vAlign w:val="bottom"/>
            <w:gridSpan w:val="2"/>
          </w:tcPr>
          <w:p>
            <w:pPr>
              <w:spacing w:after="0" w:line="195" w:lineRule="exact"/>
              <w:rPr>
                <w:sz w:val="20"/>
                <w:szCs w:val="20"/>
                <w:color w:val="auto"/>
              </w:rPr>
            </w:pPr>
            <w:r>
              <w:rPr>
                <w:rFonts w:ascii="Arial" w:cs="Arial" w:eastAsia="Arial" w:hAnsi="Arial"/>
                <w:sz w:val="18"/>
                <w:szCs w:val="18"/>
                <w:color w:val="auto"/>
              </w:rPr>
              <w:t>Total Fixed Charges before preference unit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â€”</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12,389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36,206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40" w:type="dxa"/>
            <w:vAlign w:val="bottom"/>
            <w:gridSpan w:val="2"/>
          </w:tcPr>
          <w:p>
            <w:pPr>
              <w:spacing w:after="0" w:line="34" w:lineRule="exact"/>
              <w:rPr>
                <w:sz w:val="20"/>
                <w:szCs w:val="20"/>
                <w:color w:val="auto"/>
              </w:rPr>
            </w:pPr>
            <w:r>
              <w:rPr>
                <w:rFonts w:ascii="Arial" w:cs="Arial" w:eastAsia="Arial" w:hAnsi="Arial"/>
                <w:sz w:val="3"/>
                <w:szCs w:val="3"/>
                <w:color w:val="auto"/>
              </w:rPr>
              <w:t>â€‹</w:t>
            </w:r>
          </w:p>
        </w:tc>
        <w:tc>
          <w:tcPr>
            <w:tcW w:w="140" w:type="dxa"/>
            <w:vAlign w:val="bottom"/>
          </w:tcPr>
          <w:p>
            <w:pPr>
              <w:ind w:left="40"/>
              <w:spacing w:after="0" w:line="34" w:lineRule="exact"/>
              <w:rPr>
                <w:sz w:val="20"/>
                <w:szCs w:val="20"/>
                <w:color w:val="auto"/>
              </w:rPr>
            </w:pPr>
            <w:r>
              <w:rPr>
                <w:rFonts w:ascii="Arial" w:cs="Arial" w:eastAsia="Arial" w:hAnsi="Arial"/>
                <w:sz w:val="3"/>
                <w:szCs w:val="3"/>
                <w:color w:val="auto"/>
              </w:rPr>
              <w:t>â€‹</w:t>
            </w:r>
          </w:p>
        </w:tc>
        <w:tc>
          <w:tcPr>
            <w:tcW w:w="140" w:type="dxa"/>
            <w:vAlign w:val="bottom"/>
            <w:gridSpan w:val="2"/>
          </w:tcPr>
          <w:p>
            <w:pPr>
              <w:ind w:left="60"/>
              <w:spacing w:after="0" w:line="34" w:lineRule="exact"/>
              <w:rPr>
                <w:sz w:val="20"/>
                <w:szCs w:val="20"/>
                <w:color w:val="auto"/>
              </w:rPr>
            </w:pPr>
            <w:r>
              <w:rPr>
                <w:rFonts w:ascii="Arial" w:cs="Arial" w:eastAsia="Arial" w:hAnsi="Arial"/>
                <w:sz w:val="3"/>
                <w:szCs w:val="3"/>
                <w:color w:val="auto"/>
              </w:rPr>
              <w:t>â€‹</w:t>
            </w:r>
          </w:p>
        </w:tc>
        <w:tc>
          <w:tcPr>
            <w:tcW w:w="620" w:type="dxa"/>
            <w:vAlign w:val="bottom"/>
            <w:gridSpan w:val="2"/>
          </w:tcPr>
          <w:p>
            <w:pPr>
              <w:jc w:val="right"/>
              <w:ind w:right="80"/>
              <w:spacing w:after="0" w:line="34" w:lineRule="exact"/>
              <w:rPr>
                <w:sz w:val="20"/>
                <w:szCs w:val="20"/>
                <w:color w:val="auto"/>
              </w:rPr>
            </w:pPr>
            <w:r>
              <w:rPr>
                <w:rFonts w:ascii="Arial" w:cs="Arial" w:eastAsia="Arial" w:hAnsi="Arial"/>
                <w:sz w:val="3"/>
                <w:szCs w:val="3"/>
                <w:color w:val="auto"/>
              </w:rPr>
              <w:t>â€‹â€‹</w:t>
            </w:r>
          </w:p>
        </w:tc>
        <w:tc>
          <w:tcPr>
            <w:tcW w:w="140" w:type="dxa"/>
            <w:vAlign w:val="bottom"/>
            <w:gridSpan w:val="2"/>
          </w:tcPr>
          <w:p>
            <w:pPr>
              <w:ind w:left="60"/>
              <w:spacing w:after="0" w:line="27" w:lineRule="exact"/>
              <w:rPr>
                <w:sz w:val="20"/>
                <w:szCs w:val="20"/>
                <w:color w:val="auto"/>
              </w:rPr>
            </w:pPr>
            <w:r>
              <w:rPr>
                <w:rFonts w:ascii="Arial" w:cs="Arial" w:eastAsia="Arial" w:hAnsi="Arial"/>
                <w:sz w:val="3"/>
                <w:szCs w:val="3"/>
                <w:color w:val="auto"/>
              </w:rPr>
              <w:t>â€‹</w:t>
            </w:r>
          </w:p>
        </w:tc>
        <w:tc>
          <w:tcPr>
            <w:tcW w:w="640" w:type="dxa"/>
            <w:vAlign w:val="bottom"/>
            <w:gridSpan w:val="2"/>
          </w:tcPr>
          <w:p>
            <w:pPr>
              <w:ind w:left="50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line="27" w:lineRule="exact"/>
              <w:rPr>
                <w:sz w:val="20"/>
                <w:szCs w:val="20"/>
                <w:color w:val="auto"/>
              </w:rPr>
            </w:pPr>
            <w:r>
              <w:rPr>
                <w:rFonts w:ascii="Arial" w:cs="Arial" w:eastAsia="Arial" w:hAnsi="Arial"/>
                <w:sz w:val="3"/>
                <w:szCs w:val="3"/>
                <w:color w:val="auto"/>
              </w:rPr>
              <w:t>â€‹</w:t>
            </w:r>
          </w:p>
        </w:tc>
        <w:tc>
          <w:tcPr>
            <w:tcW w:w="640" w:type="dxa"/>
            <w:vAlign w:val="bottom"/>
            <w:gridSpan w:val="2"/>
          </w:tcPr>
          <w:p>
            <w:pPr>
              <w:jc w:val="right"/>
              <w:ind w:right="6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line="27" w:lineRule="exact"/>
              <w:rPr>
                <w:sz w:val="20"/>
                <w:szCs w:val="20"/>
                <w:color w:val="auto"/>
              </w:rPr>
            </w:pPr>
            <w:r>
              <w:rPr>
                <w:rFonts w:ascii="Arial" w:cs="Arial" w:eastAsia="Arial" w:hAnsi="Arial"/>
                <w:sz w:val="3"/>
                <w:szCs w:val="3"/>
                <w:color w:val="auto"/>
              </w:rPr>
              <w:t>â€‹</w:t>
            </w:r>
          </w:p>
        </w:tc>
        <w:tc>
          <w:tcPr>
            <w:tcW w:w="720" w:type="dxa"/>
            <w:vAlign w:val="bottom"/>
            <w:gridSpan w:val="2"/>
          </w:tcPr>
          <w:p>
            <w:pPr>
              <w:jc w:val="right"/>
              <w:ind w:right="6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line="27" w:lineRule="exact"/>
              <w:rPr>
                <w:sz w:val="20"/>
                <w:szCs w:val="20"/>
                <w:color w:val="auto"/>
              </w:rPr>
            </w:pPr>
            <w:r>
              <w:rPr>
                <w:rFonts w:ascii="Arial" w:cs="Arial" w:eastAsia="Arial" w:hAnsi="Arial"/>
                <w:sz w:val="3"/>
                <w:szCs w:val="3"/>
                <w:color w:val="auto"/>
              </w:rPr>
              <w:t>â€‹</w:t>
            </w:r>
          </w:p>
        </w:tc>
        <w:tc>
          <w:tcPr>
            <w:tcW w:w="720" w:type="dxa"/>
            <w:vAlign w:val="bottom"/>
            <w:gridSpan w:val="2"/>
          </w:tcPr>
          <w:p>
            <w:pPr>
              <w:ind w:left="60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line="27" w:lineRule="exact"/>
              <w:rPr>
                <w:sz w:val="20"/>
                <w:szCs w:val="20"/>
                <w:color w:val="auto"/>
              </w:rPr>
            </w:pPr>
            <w:r>
              <w:rPr>
                <w:rFonts w:ascii="Arial" w:cs="Arial" w:eastAsia="Arial" w:hAnsi="Arial"/>
                <w:sz w:val="3"/>
                <w:szCs w:val="3"/>
                <w:color w:val="auto"/>
              </w:rPr>
              <w:t>â€‹</w:t>
            </w:r>
          </w:p>
        </w:tc>
        <w:tc>
          <w:tcPr>
            <w:tcW w:w="1140" w:type="dxa"/>
            <w:vAlign w:val="bottom"/>
            <w:gridSpan w:val="2"/>
          </w:tcPr>
          <w:p>
            <w:pPr>
              <w:ind w:left="94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0" w:type="dxa"/>
            <w:vAlign w:val="bottom"/>
          </w:tcPr>
          <w:p>
            <w:pPr>
              <w:spacing w:after="0" w:line="20" w:lineRule="exact"/>
              <w:rPr>
                <w:sz w:val="1"/>
                <w:szCs w:val="1"/>
                <w:color w:val="auto"/>
              </w:rPr>
            </w:pPr>
          </w:p>
        </w:tc>
      </w:tr>
      <w:tr>
        <w:trPr>
          <w:trHeight w:val="33"/>
        </w:trPr>
        <w:tc>
          <w:tcPr>
            <w:tcW w:w="3840" w:type="dxa"/>
            <w:vAlign w:val="bottom"/>
            <w:gridSpan w:val="2"/>
          </w:tcPr>
          <w:p>
            <w:pPr>
              <w:spacing w:after="0" w:line="34" w:lineRule="exact"/>
              <w:rPr>
                <w:sz w:val="20"/>
                <w:szCs w:val="20"/>
                <w:color w:val="auto"/>
              </w:rPr>
            </w:pPr>
            <w:r>
              <w:rPr>
                <w:rFonts w:ascii="Arial" w:cs="Arial" w:eastAsia="Arial" w:hAnsi="Arial"/>
                <w:sz w:val="3"/>
                <w:szCs w:val="3"/>
                <w:color w:val="auto"/>
              </w:rPr>
              <w:t>â€‹</w:t>
            </w:r>
          </w:p>
        </w:tc>
        <w:tc>
          <w:tcPr>
            <w:tcW w:w="140" w:type="dxa"/>
            <w:vAlign w:val="bottom"/>
          </w:tcPr>
          <w:p>
            <w:pPr>
              <w:ind w:left="40"/>
              <w:spacing w:after="0" w:line="34" w:lineRule="exact"/>
              <w:rPr>
                <w:sz w:val="20"/>
                <w:szCs w:val="20"/>
                <w:color w:val="auto"/>
              </w:rPr>
            </w:pPr>
            <w:r>
              <w:rPr>
                <w:rFonts w:ascii="Arial" w:cs="Arial" w:eastAsia="Arial" w:hAnsi="Arial"/>
                <w:sz w:val="3"/>
                <w:szCs w:val="3"/>
                <w:color w:val="auto"/>
              </w:rPr>
              <w:t>â€‹</w:t>
            </w:r>
          </w:p>
        </w:tc>
        <w:tc>
          <w:tcPr>
            <w:tcW w:w="140" w:type="dxa"/>
            <w:vAlign w:val="bottom"/>
            <w:gridSpan w:val="2"/>
          </w:tcPr>
          <w:p>
            <w:pPr>
              <w:ind w:left="60"/>
              <w:spacing w:after="0" w:line="34" w:lineRule="exact"/>
              <w:rPr>
                <w:sz w:val="20"/>
                <w:szCs w:val="20"/>
                <w:color w:val="auto"/>
              </w:rPr>
            </w:pPr>
            <w:r>
              <w:rPr>
                <w:rFonts w:ascii="Arial" w:cs="Arial" w:eastAsia="Arial" w:hAnsi="Arial"/>
                <w:sz w:val="3"/>
                <w:szCs w:val="3"/>
                <w:color w:val="auto"/>
              </w:rPr>
              <w:t>â€‹</w:t>
            </w:r>
          </w:p>
        </w:tc>
        <w:tc>
          <w:tcPr>
            <w:tcW w:w="620" w:type="dxa"/>
            <w:vAlign w:val="bottom"/>
            <w:gridSpan w:val="2"/>
          </w:tcPr>
          <w:p>
            <w:pPr>
              <w:jc w:val="right"/>
              <w:ind w:right="80"/>
              <w:spacing w:after="0" w:line="34" w:lineRule="exact"/>
              <w:rPr>
                <w:sz w:val="20"/>
                <w:szCs w:val="20"/>
                <w:color w:val="auto"/>
              </w:rPr>
            </w:pPr>
            <w:r>
              <w:rPr>
                <w:rFonts w:ascii="Arial" w:cs="Arial" w:eastAsia="Arial" w:hAnsi="Arial"/>
                <w:sz w:val="3"/>
                <w:szCs w:val="3"/>
                <w:color w:val="auto"/>
              </w:rPr>
              <w:t>â€‹â€‹</w:t>
            </w:r>
          </w:p>
        </w:tc>
        <w:tc>
          <w:tcPr>
            <w:tcW w:w="140" w:type="dxa"/>
            <w:vAlign w:val="bottom"/>
            <w:gridSpan w:val="2"/>
          </w:tcPr>
          <w:p>
            <w:pPr>
              <w:ind w:left="60"/>
              <w:spacing w:after="0" w:line="34" w:lineRule="exact"/>
              <w:rPr>
                <w:sz w:val="20"/>
                <w:szCs w:val="20"/>
                <w:color w:val="auto"/>
              </w:rPr>
            </w:pPr>
            <w:r>
              <w:rPr>
                <w:rFonts w:ascii="Arial" w:cs="Arial" w:eastAsia="Arial" w:hAnsi="Arial"/>
                <w:sz w:val="3"/>
                <w:szCs w:val="3"/>
                <w:color w:val="auto"/>
              </w:rPr>
              <w:t>â€‹</w:t>
            </w:r>
          </w:p>
        </w:tc>
        <w:tc>
          <w:tcPr>
            <w:tcW w:w="640" w:type="dxa"/>
            <w:vAlign w:val="bottom"/>
            <w:gridSpan w:val="2"/>
          </w:tcPr>
          <w:p>
            <w:pPr>
              <w:ind w:left="50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gridSpan w:val="2"/>
          </w:tcPr>
          <w:p>
            <w:pPr>
              <w:jc w:val="right"/>
              <w:ind w:right="40"/>
              <w:spacing w:after="0" w:line="34" w:lineRule="exact"/>
              <w:rPr>
                <w:sz w:val="20"/>
                <w:szCs w:val="20"/>
                <w:color w:val="auto"/>
              </w:rPr>
            </w:pPr>
            <w:r>
              <w:rPr>
                <w:rFonts w:ascii="Arial" w:cs="Arial" w:eastAsia="Arial" w:hAnsi="Arial"/>
                <w:sz w:val="3"/>
                <w:szCs w:val="3"/>
                <w:color w:val="auto"/>
              </w:rPr>
              <w:t>â€‹</w:t>
            </w:r>
          </w:p>
        </w:tc>
        <w:tc>
          <w:tcPr>
            <w:tcW w:w="640" w:type="dxa"/>
            <w:vAlign w:val="bottom"/>
            <w:gridSpan w:val="2"/>
          </w:tcPr>
          <w:p>
            <w:pPr>
              <w:jc w:val="right"/>
              <w:ind w:right="6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gridSpan w:val="2"/>
          </w:tcPr>
          <w:p>
            <w:pPr>
              <w:jc w:val="right"/>
              <w:ind w:right="40"/>
              <w:spacing w:after="0" w:line="34" w:lineRule="exact"/>
              <w:rPr>
                <w:sz w:val="20"/>
                <w:szCs w:val="20"/>
                <w:color w:val="auto"/>
              </w:rPr>
            </w:pPr>
            <w:r>
              <w:rPr>
                <w:rFonts w:ascii="Arial" w:cs="Arial" w:eastAsia="Arial" w:hAnsi="Arial"/>
                <w:sz w:val="3"/>
                <w:szCs w:val="3"/>
                <w:color w:val="auto"/>
              </w:rPr>
              <w:t>â€‹</w:t>
            </w:r>
          </w:p>
        </w:tc>
        <w:tc>
          <w:tcPr>
            <w:tcW w:w="720" w:type="dxa"/>
            <w:vAlign w:val="bottom"/>
            <w:gridSpan w:val="2"/>
          </w:tcPr>
          <w:p>
            <w:pPr>
              <w:jc w:val="right"/>
              <w:ind w:right="6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gridSpan w:val="2"/>
          </w:tcPr>
          <w:p>
            <w:pPr>
              <w:jc w:val="right"/>
              <w:ind w:right="40"/>
              <w:spacing w:after="0" w:line="34" w:lineRule="exact"/>
              <w:rPr>
                <w:sz w:val="20"/>
                <w:szCs w:val="20"/>
                <w:color w:val="auto"/>
              </w:rPr>
            </w:pPr>
            <w:r>
              <w:rPr>
                <w:rFonts w:ascii="Arial" w:cs="Arial" w:eastAsia="Arial" w:hAnsi="Arial"/>
                <w:sz w:val="3"/>
                <w:szCs w:val="3"/>
                <w:color w:val="auto"/>
              </w:rPr>
              <w:t>â€‹</w:t>
            </w:r>
          </w:p>
        </w:tc>
        <w:tc>
          <w:tcPr>
            <w:tcW w:w="720" w:type="dxa"/>
            <w:vAlign w:val="bottom"/>
            <w:gridSpan w:val="2"/>
          </w:tcPr>
          <w:p>
            <w:pPr>
              <w:ind w:left="60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gridSpan w:val="2"/>
          </w:tcPr>
          <w:p>
            <w:pPr>
              <w:jc w:val="right"/>
              <w:ind w:right="40"/>
              <w:spacing w:after="0" w:line="34" w:lineRule="exact"/>
              <w:rPr>
                <w:sz w:val="20"/>
                <w:szCs w:val="20"/>
                <w:color w:val="auto"/>
              </w:rPr>
            </w:pPr>
            <w:r>
              <w:rPr>
                <w:rFonts w:ascii="Arial" w:cs="Arial" w:eastAsia="Arial" w:hAnsi="Arial"/>
                <w:sz w:val="3"/>
                <w:szCs w:val="3"/>
                <w:color w:val="auto"/>
              </w:rPr>
              <w:t>â€‹</w:t>
            </w:r>
          </w:p>
        </w:tc>
        <w:tc>
          <w:tcPr>
            <w:tcW w:w="1140" w:type="dxa"/>
            <w:vAlign w:val="bottom"/>
            <w:gridSpan w:val="2"/>
          </w:tcPr>
          <w:p>
            <w:pPr>
              <w:ind w:left="94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0" w:type="dxa"/>
            <w:vAlign w:val="bottom"/>
          </w:tcPr>
          <w:p>
            <w:pPr>
              <w:spacing w:after="0" w:line="20" w:lineRule="exact"/>
              <w:rPr>
                <w:sz w:val="1"/>
                <w:szCs w:val="1"/>
                <w:color w:val="auto"/>
              </w:rPr>
            </w:pPr>
          </w:p>
        </w:tc>
      </w:tr>
      <w:tr>
        <w:trPr>
          <w:trHeight w:val="190"/>
        </w:trPr>
        <w:tc>
          <w:tcPr>
            <w:tcW w:w="3840" w:type="dxa"/>
            <w:vAlign w:val="bottom"/>
            <w:gridSpan w:val="2"/>
          </w:tcPr>
          <w:p>
            <w:pPr>
              <w:spacing w:after="0" w:line="190" w:lineRule="exact"/>
              <w:rPr>
                <w:sz w:val="20"/>
                <w:szCs w:val="20"/>
                <w:color w:val="auto"/>
              </w:rPr>
            </w:pPr>
            <w:r>
              <w:rPr>
                <w:rFonts w:ascii="Arial" w:cs="Arial" w:eastAsia="Arial" w:hAnsi="Arial"/>
                <w:sz w:val="18"/>
                <w:szCs w:val="18"/>
                <w:color w:val="auto"/>
              </w:rPr>
              <w:t>Preference unit distributions</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00"/>
              <w:spacing w:after="0" w:line="190" w:lineRule="exact"/>
              <w:rPr>
                <w:sz w:val="20"/>
                <w:szCs w:val="20"/>
                <w:color w:val="auto"/>
              </w:rPr>
            </w:pPr>
            <w:r>
              <w:rPr>
                <w:rFonts w:ascii="Arial" w:cs="Arial" w:eastAsia="Arial" w:hAnsi="Arial"/>
                <w:sz w:val="18"/>
                <w:szCs w:val="18"/>
                <w:color w:val="auto"/>
              </w:rPr>
              <w:t>â€”</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00"/>
              <w:spacing w:after="0" w:line="190" w:lineRule="exact"/>
              <w:rPr>
                <w:sz w:val="20"/>
                <w:szCs w:val="20"/>
                <w:color w:val="auto"/>
              </w:rPr>
            </w:pPr>
            <w:r>
              <w:rPr>
                <w:rFonts w:ascii="Arial" w:cs="Arial" w:eastAsia="Arial" w:hAnsi="Arial"/>
                <w:sz w:val="18"/>
                <w:szCs w:val="18"/>
                <w:color w:val="auto"/>
              </w:rPr>
              <w:t>â€”</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00"/>
              <w:spacing w:after="0" w:line="190" w:lineRule="exact"/>
              <w:rPr>
                <w:sz w:val="20"/>
                <w:szCs w:val="20"/>
                <w:color w:val="auto"/>
              </w:rPr>
            </w:pPr>
            <w:r>
              <w:rPr>
                <w:rFonts w:ascii="Arial" w:cs="Arial" w:eastAsia="Arial" w:hAnsi="Arial"/>
                <w:sz w:val="18"/>
                <w:szCs w:val="18"/>
                <w:color w:val="auto"/>
              </w:rPr>
              <w:t>â€”</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00"/>
              <w:spacing w:after="0" w:line="190" w:lineRule="exact"/>
              <w:rPr>
                <w:sz w:val="20"/>
                <w:szCs w:val="20"/>
                <w:color w:val="auto"/>
              </w:rPr>
            </w:pPr>
            <w:r>
              <w:rPr>
                <w:rFonts w:ascii="Arial" w:cs="Arial" w:eastAsia="Arial" w:hAnsi="Arial"/>
                <w:sz w:val="18"/>
                <w:szCs w:val="18"/>
                <w:color w:val="auto"/>
              </w:rPr>
              <w:t>â€”</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100"/>
              <w:spacing w:after="0" w:line="190" w:lineRule="exact"/>
              <w:rPr>
                <w:sz w:val="20"/>
                <w:szCs w:val="20"/>
                <w:color w:val="auto"/>
              </w:rPr>
            </w:pPr>
            <w:r>
              <w:rPr>
                <w:rFonts w:ascii="Arial" w:cs="Arial" w:eastAsia="Arial" w:hAnsi="Arial"/>
                <w:sz w:val="18"/>
                <w:szCs w:val="18"/>
                <w:color w:val="auto"/>
              </w:rPr>
              <w:t>â€”</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1,549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840" w:type="dxa"/>
            <w:vAlign w:val="bottom"/>
            <w:gridSpan w:val="2"/>
          </w:tcPr>
          <w:p>
            <w:pPr>
              <w:spacing w:after="0"/>
              <w:rPr>
                <w:sz w:val="20"/>
                <w:szCs w:val="20"/>
                <w:color w:val="auto"/>
              </w:rPr>
            </w:pPr>
            <w:r>
              <w:rPr>
                <w:rFonts w:ascii="Arial" w:cs="Arial" w:eastAsia="Arial" w:hAnsi="Arial"/>
                <w:sz w:val="3"/>
                <w:szCs w:val="3"/>
                <w:color w:val="auto"/>
              </w:rPr>
              <w:t>â€‹</w:t>
            </w:r>
          </w:p>
        </w:tc>
        <w:tc>
          <w:tcPr>
            <w:tcW w:w="140" w:type="dxa"/>
            <w:vAlign w:val="bottom"/>
          </w:tcPr>
          <w:p>
            <w:pPr>
              <w:ind w:left="40"/>
              <w:spacing w:after="0"/>
              <w:rPr>
                <w:sz w:val="20"/>
                <w:szCs w:val="20"/>
                <w:color w:val="auto"/>
              </w:rPr>
            </w:pPr>
            <w:r>
              <w:rPr>
                <w:rFonts w:ascii="Arial" w:cs="Arial" w:eastAsia="Arial" w:hAnsi="Arial"/>
                <w:sz w:val="3"/>
                <w:szCs w:val="3"/>
                <w:color w:val="auto"/>
              </w:rPr>
              <w:t>â€‹</w:t>
            </w:r>
          </w:p>
        </w:tc>
        <w:tc>
          <w:tcPr>
            <w:tcW w:w="140" w:type="dxa"/>
            <w:vAlign w:val="bottom"/>
            <w:gridSpan w:val="2"/>
          </w:tcPr>
          <w:p>
            <w:pPr>
              <w:ind w:left="60"/>
              <w:spacing w:after="0"/>
              <w:rPr>
                <w:sz w:val="20"/>
                <w:szCs w:val="20"/>
                <w:color w:val="auto"/>
              </w:rPr>
            </w:pPr>
            <w:r>
              <w:rPr>
                <w:rFonts w:ascii="Arial" w:cs="Arial" w:eastAsia="Arial" w:hAnsi="Arial"/>
                <w:sz w:val="3"/>
                <w:szCs w:val="3"/>
                <w:color w:val="auto"/>
              </w:rPr>
              <w:t>â€‹</w:t>
            </w:r>
          </w:p>
        </w:tc>
        <w:tc>
          <w:tcPr>
            <w:tcW w:w="620" w:type="dxa"/>
            <w:vAlign w:val="bottom"/>
            <w:gridSpan w:val="2"/>
          </w:tcPr>
          <w:p>
            <w:pPr>
              <w:jc w:val="right"/>
              <w:ind w:right="80"/>
              <w:spacing w:after="0" w:line="40"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140" w:type="dxa"/>
            <w:vAlign w:val="bottom"/>
            <w:gridSpan w:val="2"/>
          </w:tcPr>
          <w:p>
            <w:pPr>
              <w:ind w:left="60"/>
              <w:spacing w:after="0"/>
              <w:rPr>
                <w:sz w:val="20"/>
                <w:szCs w:val="20"/>
                <w:color w:val="auto"/>
              </w:rPr>
            </w:pPr>
            <w:r>
              <w:rPr>
                <w:rFonts w:ascii="Arial" w:cs="Arial" w:eastAsia="Arial" w:hAnsi="Arial"/>
                <w:sz w:val="3"/>
                <w:szCs w:val="3"/>
                <w:color w:val="auto"/>
              </w:rPr>
              <w:t>â€‹</w:t>
            </w:r>
          </w:p>
        </w:tc>
        <w:tc>
          <w:tcPr>
            <w:tcW w:w="640" w:type="dxa"/>
            <w:vAlign w:val="bottom"/>
            <w:gridSpan w:val="2"/>
          </w:tcPr>
          <w:p>
            <w:pPr>
              <w:ind w:left="500"/>
              <w:spacing w:after="0" w:line="40"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rPr>
                <w:sz w:val="20"/>
                <w:szCs w:val="20"/>
                <w:color w:val="auto"/>
              </w:rPr>
            </w:pPr>
            <w:r>
              <w:rPr>
                <w:rFonts w:ascii="Arial" w:cs="Arial" w:eastAsia="Arial" w:hAnsi="Arial"/>
                <w:sz w:val="3"/>
                <w:szCs w:val="3"/>
                <w:color w:val="auto"/>
              </w:rPr>
              <w:t>â€‹</w:t>
            </w:r>
          </w:p>
        </w:tc>
        <w:tc>
          <w:tcPr>
            <w:tcW w:w="640" w:type="dxa"/>
            <w:vAlign w:val="bottom"/>
            <w:gridSpan w:val="2"/>
          </w:tcPr>
          <w:p>
            <w:pPr>
              <w:jc w:val="right"/>
              <w:ind w:right="60"/>
              <w:spacing w:after="0" w:line="40"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rPr>
                <w:sz w:val="20"/>
                <w:szCs w:val="20"/>
                <w:color w:val="auto"/>
              </w:rPr>
            </w:pPr>
            <w:r>
              <w:rPr>
                <w:rFonts w:ascii="Arial" w:cs="Arial" w:eastAsia="Arial" w:hAnsi="Arial"/>
                <w:sz w:val="3"/>
                <w:szCs w:val="3"/>
                <w:color w:val="auto"/>
              </w:rPr>
              <w:t>â€‹</w:t>
            </w:r>
          </w:p>
        </w:tc>
        <w:tc>
          <w:tcPr>
            <w:tcW w:w="720" w:type="dxa"/>
            <w:vAlign w:val="bottom"/>
            <w:gridSpan w:val="2"/>
          </w:tcPr>
          <w:p>
            <w:pPr>
              <w:jc w:val="right"/>
              <w:ind w:right="60"/>
              <w:spacing w:after="0" w:line="40"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rPr>
                <w:sz w:val="20"/>
                <w:szCs w:val="20"/>
                <w:color w:val="auto"/>
              </w:rPr>
            </w:pPr>
            <w:r>
              <w:rPr>
                <w:rFonts w:ascii="Arial" w:cs="Arial" w:eastAsia="Arial" w:hAnsi="Arial"/>
                <w:sz w:val="3"/>
                <w:szCs w:val="3"/>
                <w:color w:val="auto"/>
              </w:rPr>
              <w:t>â€‹</w:t>
            </w:r>
          </w:p>
        </w:tc>
        <w:tc>
          <w:tcPr>
            <w:tcW w:w="720" w:type="dxa"/>
            <w:vAlign w:val="bottom"/>
            <w:gridSpan w:val="2"/>
          </w:tcPr>
          <w:p>
            <w:pPr>
              <w:ind w:left="600"/>
              <w:spacing w:after="0" w:line="40"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rPr>
                <w:sz w:val="20"/>
                <w:szCs w:val="20"/>
                <w:color w:val="auto"/>
              </w:rPr>
            </w:pPr>
            <w:r>
              <w:rPr>
                <w:rFonts w:ascii="Arial" w:cs="Arial" w:eastAsia="Arial" w:hAnsi="Arial"/>
                <w:sz w:val="3"/>
                <w:szCs w:val="3"/>
                <w:color w:val="auto"/>
              </w:rPr>
              <w:t>â€‹</w:t>
            </w:r>
          </w:p>
        </w:tc>
        <w:tc>
          <w:tcPr>
            <w:tcW w:w="1140" w:type="dxa"/>
            <w:vAlign w:val="bottom"/>
            <w:gridSpan w:val="2"/>
          </w:tcPr>
          <w:p>
            <w:pPr>
              <w:ind w:left="940"/>
              <w:spacing w:after="0" w:line="40"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0" w:type="dxa"/>
            <w:vAlign w:val="bottom"/>
          </w:tcPr>
          <w:p>
            <w:pPr>
              <w:spacing w:after="0" w:line="20" w:lineRule="exact"/>
              <w:rPr>
                <w:sz w:val="1"/>
                <w:szCs w:val="1"/>
                <w:color w:val="auto"/>
              </w:rPr>
            </w:pPr>
          </w:p>
        </w:tc>
      </w:tr>
      <w:tr>
        <w:trPr>
          <w:trHeight w:val="194"/>
        </w:trPr>
        <w:tc>
          <w:tcPr>
            <w:tcW w:w="3840" w:type="dxa"/>
            <w:vAlign w:val="bottom"/>
            <w:gridSpan w:val="2"/>
          </w:tcPr>
          <w:p>
            <w:pPr>
              <w:spacing w:after="0" w:line="195" w:lineRule="exact"/>
              <w:rPr>
                <w:sz w:val="20"/>
                <w:szCs w:val="20"/>
                <w:color w:val="auto"/>
              </w:rPr>
            </w:pPr>
            <w:r>
              <w:rPr>
                <w:rFonts w:ascii="Arial" w:cs="Arial" w:eastAsia="Arial" w:hAnsi="Arial"/>
                <w:sz w:val="18"/>
                <w:szCs w:val="18"/>
                <w:color w:val="auto"/>
              </w:rPr>
              <w:t>Combined Fixed Charges and preference unit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â€”</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12,389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36,206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40" w:type="dxa"/>
            <w:vAlign w:val="bottom"/>
            <w:gridSpan w:val="2"/>
          </w:tcPr>
          <w:p>
            <w:pPr>
              <w:spacing w:after="0" w:line="34" w:lineRule="exact"/>
              <w:rPr>
                <w:sz w:val="20"/>
                <w:szCs w:val="20"/>
                <w:color w:val="auto"/>
              </w:rPr>
            </w:pPr>
            <w:r>
              <w:rPr>
                <w:rFonts w:ascii="Arial" w:cs="Arial" w:eastAsia="Arial" w:hAnsi="Arial"/>
                <w:sz w:val="3"/>
                <w:szCs w:val="3"/>
                <w:color w:val="auto"/>
              </w:rPr>
              <w:t>â€‹</w:t>
            </w:r>
          </w:p>
        </w:tc>
        <w:tc>
          <w:tcPr>
            <w:tcW w:w="140" w:type="dxa"/>
            <w:vAlign w:val="bottom"/>
          </w:tcPr>
          <w:p>
            <w:pPr>
              <w:ind w:left="40"/>
              <w:spacing w:after="0" w:line="34" w:lineRule="exact"/>
              <w:rPr>
                <w:sz w:val="20"/>
                <w:szCs w:val="20"/>
                <w:color w:val="auto"/>
              </w:rPr>
            </w:pPr>
            <w:r>
              <w:rPr>
                <w:rFonts w:ascii="Arial" w:cs="Arial" w:eastAsia="Arial" w:hAnsi="Arial"/>
                <w:sz w:val="3"/>
                <w:szCs w:val="3"/>
                <w:color w:val="auto"/>
              </w:rPr>
              <w:t>â€‹</w:t>
            </w:r>
          </w:p>
        </w:tc>
        <w:tc>
          <w:tcPr>
            <w:tcW w:w="140" w:type="dxa"/>
            <w:vAlign w:val="bottom"/>
            <w:gridSpan w:val="2"/>
          </w:tcPr>
          <w:p>
            <w:pPr>
              <w:ind w:left="60"/>
              <w:spacing w:after="0" w:line="34" w:lineRule="exact"/>
              <w:rPr>
                <w:sz w:val="20"/>
                <w:szCs w:val="20"/>
                <w:color w:val="auto"/>
              </w:rPr>
            </w:pPr>
            <w:r>
              <w:rPr>
                <w:rFonts w:ascii="Arial" w:cs="Arial" w:eastAsia="Arial" w:hAnsi="Arial"/>
                <w:sz w:val="3"/>
                <w:szCs w:val="3"/>
                <w:color w:val="auto"/>
              </w:rPr>
              <w:t>â€‹</w:t>
            </w:r>
          </w:p>
        </w:tc>
        <w:tc>
          <w:tcPr>
            <w:tcW w:w="620" w:type="dxa"/>
            <w:vAlign w:val="bottom"/>
            <w:gridSpan w:val="2"/>
          </w:tcPr>
          <w:p>
            <w:pPr>
              <w:jc w:val="right"/>
              <w:ind w:right="80"/>
              <w:spacing w:after="0" w:line="34" w:lineRule="exact"/>
              <w:rPr>
                <w:sz w:val="20"/>
                <w:szCs w:val="20"/>
                <w:color w:val="auto"/>
              </w:rPr>
            </w:pPr>
            <w:r>
              <w:rPr>
                <w:rFonts w:ascii="Arial" w:cs="Arial" w:eastAsia="Arial" w:hAnsi="Arial"/>
                <w:sz w:val="3"/>
                <w:szCs w:val="3"/>
                <w:color w:val="auto"/>
              </w:rPr>
              <w:t>â€‹â€‹</w:t>
            </w:r>
          </w:p>
        </w:tc>
        <w:tc>
          <w:tcPr>
            <w:tcW w:w="140" w:type="dxa"/>
            <w:vAlign w:val="bottom"/>
            <w:gridSpan w:val="2"/>
          </w:tcPr>
          <w:p>
            <w:pPr>
              <w:ind w:left="60"/>
              <w:spacing w:after="0" w:line="27" w:lineRule="exact"/>
              <w:rPr>
                <w:sz w:val="20"/>
                <w:szCs w:val="20"/>
                <w:color w:val="auto"/>
              </w:rPr>
            </w:pPr>
            <w:r>
              <w:rPr>
                <w:rFonts w:ascii="Arial" w:cs="Arial" w:eastAsia="Arial" w:hAnsi="Arial"/>
                <w:sz w:val="3"/>
                <w:szCs w:val="3"/>
                <w:color w:val="auto"/>
              </w:rPr>
              <w:t>â€‹</w:t>
            </w:r>
          </w:p>
        </w:tc>
        <w:tc>
          <w:tcPr>
            <w:tcW w:w="640" w:type="dxa"/>
            <w:vAlign w:val="bottom"/>
            <w:gridSpan w:val="2"/>
          </w:tcPr>
          <w:p>
            <w:pPr>
              <w:ind w:left="50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gridSpan w:val="2"/>
          </w:tcPr>
          <w:p>
            <w:pPr>
              <w:jc w:val="right"/>
              <w:ind w:right="40"/>
              <w:spacing w:after="0" w:line="27" w:lineRule="exact"/>
              <w:rPr>
                <w:sz w:val="20"/>
                <w:szCs w:val="20"/>
                <w:color w:val="auto"/>
              </w:rPr>
            </w:pPr>
            <w:r>
              <w:rPr>
                <w:rFonts w:ascii="Arial" w:cs="Arial" w:eastAsia="Arial" w:hAnsi="Arial"/>
                <w:sz w:val="3"/>
                <w:szCs w:val="3"/>
                <w:color w:val="auto"/>
              </w:rPr>
              <w:t>â€‹</w:t>
            </w:r>
          </w:p>
        </w:tc>
        <w:tc>
          <w:tcPr>
            <w:tcW w:w="640" w:type="dxa"/>
            <w:vAlign w:val="bottom"/>
            <w:gridSpan w:val="2"/>
          </w:tcPr>
          <w:p>
            <w:pPr>
              <w:jc w:val="right"/>
              <w:ind w:right="6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gridSpan w:val="2"/>
          </w:tcPr>
          <w:p>
            <w:pPr>
              <w:jc w:val="right"/>
              <w:ind w:right="40"/>
              <w:spacing w:after="0" w:line="27" w:lineRule="exact"/>
              <w:rPr>
                <w:sz w:val="20"/>
                <w:szCs w:val="20"/>
                <w:color w:val="auto"/>
              </w:rPr>
            </w:pPr>
            <w:r>
              <w:rPr>
                <w:rFonts w:ascii="Arial" w:cs="Arial" w:eastAsia="Arial" w:hAnsi="Arial"/>
                <w:sz w:val="3"/>
                <w:szCs w:val="3"/>
                <w:color w:val="auto"/>
              </w:rPr>
              <w:t>â€‹</w:t>
            </w:r>
          </w:p>
        </w:tc>
        <w:tc>
          <w:tcPr>
            <w:tcW w:w="720" w:type="dxa"/>
            <w:vAlign w:val="bottom"/>
            <w:gridSpan w:val="2"/>
          </w:tcPr>
          <w:p>
            <w:pPr>
              <w:jc w:val="right"/>
              <w:ind w:right="6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gridSpan w:val="2"/>
          </w:tcPr>
          <w:p>
            <w:pPr>
              <w:jc w:val="right"/>
              <w:ind w:right="40"/>
              <w:spacing w:after="0" w:line="27" w:lineRule="exact"/>
              <w:rPr>
                <w:sz w:val="20"/>
                <w:szCs w:val="20"/>
                <w:color w:val="auto"/>
              </w:rPr>
            </w:pPr>
            <w:r>
              <w:rPr>
                <w:rFonts w:ascii="Arial" w:cs="Arial" w:eastAsia="Arial" w:hAnsi="Arial"/>
                <w:sz w:val="3"/>
                <w:szCs w:val="3"/>
                <w:color w:val="auto"/>
              </w:rPr>
              <w:t>â€‹</w:t>
            </w:r>
          </w:p>
        </w:tc>
        <w:tc>
          <w:tcPr>
            <w:tcW w:w="720" w:type="dxa"/>
            <w:vAlign w:val="bottom"/>
            <w:gridSpan w:val="2"/>
          </w:tcPr>
          <w:p>
            <w:pPr>
              <w:ind w:left="60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140" w:type="dxa"/>
            <w:vAlign w:val="bottom"/>
            <w:gridSpan w:val="2"/>
          </w:tcPr>
          <w:p>
            <w:pPr>
              <w:jc w:val="right"/>
              <w:ind w:right="40"/>
              <w:spacing w:after="0" w:line="27" w:lineRule="exact"/>
              <w:rPr>
                <w:sz w:val="20"/>
                <w:szCs w:val="20"/>
                <w:color w:val="auto"/>
              </w:rPr>
            </w:pPr>
            <w:r>
              <w:rPr>
                <w:rFonts w:ascii="Arial" w:cs="Arial" w:eastAsia="Arial" w:hAnsi="Arial"/>
                <w:sz w:val="3"/>
                <w:szCs w:val="3"/>
                <w:color w:val="auto"/>
              </w:rPr>
              <w:t>â€‹</w:t>
            </w:r>
          </w:p>
        </w:tc>
        <w:tc>
          <w:tcPr>
            <w:tcW w:w="1140" w:type="dxa"/>
            <w:vAlign w:val="bottom"/>
            <w:gridSpan w:val="2"/>
          </w:tcPr>
          <w:p>
            <w:pPr>
              <w:ind w:left="940"/>
              <w:spacing w:after="0" w:line="34"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0" w:type="dxa"/>
            <w:vAlign w:val="bottom"/>
          </w:tcPr>
          <w:p>
            <w:pPr>
              <w:spacing w:after="0" w:line="20" w:lineRule="exact"/>
              <w:rPr>
                <w:sz w:val="1"/>
                <w:szCs w:val="1"/>
                <w:color w:val="auto"/>
              </w:rPr>
            </w:pPr>
          </w:p>
        </w:tc>
      </w:tr>
      <w:tr>
        <w:trPr>
          <w:trHeight w:val="33"/>
        </w:trPr>
        <w:tc>
          <w:tcPr>
            <w:tcW w:w="3840" w:type="dxa"/>
            <w:vAlign w:val="bottom"/>
            <w:gridSpan w:val="2"/>
          </w:tcPr>
          <w:p>
            <w:pPr>
              <w:spacing w:after="0" w:line="34" w:lineRule="exact"/>
              <w:rPr>
                <w:sz w:val="20"/>
                <w:szCs w:val="20"/>
                <w:color w:val="auto"/>
              </w:rPr>
            </w:pPr>
            <w:r>
              <w:rPr>
                <w:rFonts w:ascii="Arial" w:cs="Arial" w:eastAsia="Arial" w:hAnsi="Arial"/>
                <w:sz w:val="3"/>
                <w:szCs w:val="3"/>
                <w:color w:val="auto"/>
              </w:rPr>
              <w:t>â€‹</w:t>
            </w:r>
          </w:p>
        </w:tc>
        <w:tc>
          <w:tcPr>
            <w:tcW w:w="140" w:type="dxa"/>
            <w:vAlign w:val="bottom"/>
          </w:tcPr>
          <w:p>
            <w:pPr>
              <w:ind w:left="40"/>
              <w:spacing w:after="0" w:line="34" w:lineRule="exact"/>
              <w:rPr>
                <w:sz w:val="20"/>
                <w:szCs w:val="20"/>
                <w:color w:val="auto"/>
              </w:rPr>
            </w:pPr>
            <w:r>
              <w:rPr>
                <w:rFonts w:ascii="Arial" w:cs="Arial" w:eastAsia="Arial" w:hAnsi="Arial"/>
                <w:sz w:val="3"/>
                <w:szCs w:val="3"/>
                <w:color w:val="auto"/>
              </w:rPr>
              <w:t>â€‹</w:t>
            </w:r>
          </w:p>
        </w:tc>
        <w:tc>
          <w:tcPr>
            <w:tcW w:w="140" w:type="dxa"/>
            <w:vAlign w:val="bottom"/>
            <w:gridSpan w:val="2"/>
          </w:tcPr>
          <w:p>
            <w:pPr>
              <w:ind w:left="60"/>
              <w:spacing w:after="0" w:line="34" w:lineRule="exact"/>
              <w:rPr>
                <w:sz w:val="20"/>
                <w:szCs w:val="20"/>
                <w:color w:val="auto"/>
              </w:rPr>
            </w:pPr>
            <w:r>
              <w:rPr>
                <w:rFonts w:ascii="Arial" w:cs="Arial" w:eastAsia="Arial" w:hAnsi="Arial"/>
                <w:sz w:val="3"/>
                <w:szCs w:val="3"/>
                <w:color w:val="auto"/>
              </w:rPr>
              <w:t>â€‹</w:t>
            </w:r>
          </w:p>
        </w:tc>
        <w:tc>
          <w:tcPr>
            <w:tcW w:w="620" w:type="dxa"/>
            <w:vAlign w:val="bottom"/>
            <w:gridSpan w:val="2"/>
          </w:tcPr>
          <w:p>
            <w:pPr>
              <w:jc w:val="right"/>
              <w:ind w:right="80"/>
              <w:spacing w:after="0" w:line="34" w:lineRule="exact"/>
              <w:rPr>
                <w:sz w:val="20"/>
                <w:szCs w:val="20"/>
                <w:color w:val="auto"/>
              </w:rPr>
            </w:pPr>
            <w:r>
              <w:rPr>
                <w:rFonts w:ascii="Arial" w:cs="Arial" w:eastAsia="Arial" w:hAnsi="Arial"/>
                <w:sz w:val="3"/>
                <w:szCs w:val="3"/>
                <w:color w:val="auto"/>
              </w:rPr>
              <w:t>â€‹â€‹</w:t>
            </w:r>
          </w:p>
        </w:tc>
        <w:tc>
          <w:tcPr>
            <w:tcW w:w="140" w:type="dxa"/>
            <w:vAlign w:val="bottom"/>
            <w:gridSpan w:val="2"/>
          </w:tcPr>
          <w:p>
            <w:pPr>
              <w:ind w:left="60"/>
              <w:spacing w:after="0" w:line="34" w:lineRule="exact"/>
              <w:rPr>
                <w:sz w:val="20"/>
                <w:szCs w:val="20"/>
                <w:color w:val="auto"/>
              </w:rPr>
            </w:pPr>
            <w:r>
              <w:rPr>
                <w:rFonts w:ascii="Arial" w:cs="Arial" w:eastAsia="Arial" w:hAnsi="Arial"/>
                <w:sz w:val="3"/>
                <w:szCs w:val="3"/>
                <w:color w:val="auto"/>
              </w:rPr>
              <w:t>â€‹</w:t>
            </w:r>
          </w:p>
        </w:tc>
        <w:tc>
          <w:tcPr>
            <w:tcW w:w="640" w:type="dxa"/>
            <w:vAlign w:val="bottom"/>
            <w:gridSpan w:val="2"/>
          </w:tcPr>
          <w:p>
            <w:pPr>
              <w:ind w:left="50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line="34" w:lineRule="exact"/>
              <w:rPr>
                <w:sz w:val="20"/>
                <w:szCs w:val="20"/>
                <w:color w:val="auto"/>
              </w:rPr>
            </w:pPr>
            <w:r>
              <w:rPr>
                <w:rFonts w:ascii="Arial" w:cs="Arial" w:eastAsia="Arial" w:hAnsi="Arial"/>
                <w:sz w:val="3"/>
                <w:szCs w:val="3"/>
                <w:color w:val="auto"/>
              </w:rPr>
              <w:t>â€‹</w:t>
            </w:r>
          </w:p>
        </w:tc>
        <w:tc>
          <w:tcPr>
            <w:tcW w:w="640" w:type="dxa"/>
            <w:vAlign w:val="bottom"/>
            <w:gridSpan w:val="2"/>
          </w:tcPr>
          <w:p>
            <w:pPr>
              <w:jc w:val="right"/>
              <w:ind w:right="6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line="34" w:lineRule="exact"/>
              <w:rPr>
                <w:sz w:val="20"/>
                <w:szCs w:val="20"/>
                <w:color w:val="auto"/>
              </w:rPr>
            </w:pPr>
            <w:r>
              <w:rPr>
                <w:rFonts w:ascii="Arial" w:cs="Arial" w:eastAsia="Arial" w:hAnsi="Arial"/>
                <w:sz w:val="3"/>
                <w:szCs w:val="3"/>
                <w:color w:val="auto"/>
              </w:rPr>
              <w:t>â€‹</w:t>
            </w:r>
          </w:p>
        </w:tc>
        <w:tc>
          <w:tcPr>
            <w:tcW w:w="720" w:type="dxa"/>
            <w:vAlign w:val="bottom"/>
            <w:gridSpan w:val="2"/>
          </w:tcPr>
          <w:p>
            <w:pPr>
              <w:jc w:val="right"/>
              <w:ind w:right="6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line="34" w:lineRule="exact"/>
              <w:rPr>
                <w:sz w:val="20"/>
                <w:szCs w:val="20"/>
                <w:color w:val="auto"/>
              </w:rPr>
            </w:pPr>
            <w:r>
              <w:rPr>
                <w:rFonts w:ascii="Arial" w:cs="Arial" w:eastAsia="Arial" w:hAnsi="Arial"/>
                <w:sz w:val="3"/>
                <w:szCs w:val="3"/>
                <w:color w:val="auto"/>
              </w:rPr>
              <w:t>â€‹</w:t>
            </w:r>
          </w:p>
        </w:tc>
        <w:tc>
          <w:tcPr>
            <w:tcW w:w="720" w:type="dxa"/>
            <w:vAlign w:val="bottom"/>
            <w:gridSpan w:val="2"/>
          </w:tcPr>
          <w:p>
            <w:pPr>
              <w:ind w:left="60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140" w:type="dxa"/>
            <w:vAlign w:val="bottom"/>
            <w:gridSpan w:val="2"/>
          </w:tcPr>
          <w:p>
            <w:pPr>
              <w:jc w:val="right"/>
              <w:ind w:right="40"/>
              <w:spacing w:after="0" w:line="34" w:lineRule="exact"/>
              <w:rPr>
                <w:sz w:val="20"/>
                <w:szCs w:val="20"/>
                <w:color w:val="auto"/>
              </w:rPr>
            </w:pPr>
            <w:r>
              <w:rPr>
                <w:rFonts w:ascii="Arial" w:cs="Arial" w:eastAsia="Arial" w:hAnsi="Arial"/>
                <w:sz w:val="3"/>
                <w:szCs w:val="3"/>
                <w:color w:val="auto"/>
              </w:rPr>
              <w:t>â€‹</w:t>
            </w:r>
          </w:p>
        </w:tc>
        <w:tc>
          <w:tcPr>
            <w:tcW w:w="1140" w:type="dxa"/>
            <w:vAlign w:val="bottom"/>
            <w:gridSpan w:val="2"/>
          </w:tcPr>
          <w:p>
            <w:pPr>
              <w:ind w:left="940"/>
              <w:spacing w:after="0" w:line="34" w:lineRule="exact"/>
              <w:rPr>
                <w:sz w:val="20"/>
                <w:szCs w:val="20"/>
                <w:color w:val="auto"/>
              </w:rPr>
            </w:pPr>
            <w:r>
              <w:rPr>
                <w:rFonts w:ascii="Arial" w:cs="Arial" w:eastAsia="Arial" w:hAnsi="Arial"/>
                <w:sz w:val="3"/>
                <w:szCs w:val="3"/>
                <w:color w:val="auto"/>
                <w:vertAlign w:val="superscript"/>
              </w:rPr>
              <w:t>â€‹</w:t>
            </w:r>
            <w:r>
              <w:rPr>
                <w:rFonts w:ascii="Arial" w:cs="Arial" w:eastAsia="Arial" w:hAnsi="Arial"/>
                <w:sz w:val="2"/>
                <w:szCs w:val="2"/>
                <w:color w:val="auto"/>
              </w:rPr>
              <w:t>â€‹</w:t>
            </w:r>
          </w:p>
        </w:tc>
        <w:tc>
          <w:tcPr>
            <w:tcW w:w="0" w:type="dxa"/>
            <w:vAlign w:val="bottom"/>
          </w:tcPr>
          <w:p>
            <w:pPr>
              <w:spacing w:after="0" w:line="20" w:lineRule="exact"/>
              <w:rPr>
                <w:sz w:val="1"/>
                <w:szCs w:val="1"/>
                <w:color w:val="auto"/>
              </w:rPr>
            </w:pPr>
          </w:p>
        </w:tc>
      </w:tr>
      <w:tr>
        <w:trPr>
          <w:trHeight w:val="243"/>
        </w:trPr>
        <w:tc>
          <w:tcPr>
            <w:tcW w:w="3840" w:type="dxa"/>
            <w:vAlign w:val="bottom"/>
            <w:gridSpan w:val="2"/>
          </w:tcPr>
          <w:p>
            <w:pPr>
              <w:spacing w:after="0" w:line="243" w:lineRule="exact"/>
              <w:rPr>
                <w:sz w:val="20"/>
                <w:szCs w:val="20"/>
                <w:color w:val="auto"/>
              </w:rPr>
            </w:pPr>
            <w:r>
              <w:rPr>
                <w:rFonts w:ascii="Arial" w:cs="Arial" w:eastAsia="Arial" w:hAnsi="Arial"/>
                <w:sz w:val="17"/>
                <w:szCs w:val="17"/>
                <w:b w:val="1"/>
                <w:bCs w:val="1"/>
                <w:color w:val="auto"/>
              </w:rPr>
              <w:t>Ratio of Earnings to Fixed Charges</w:t>
            </w:r>
            <w:r>
              <w:rPr>
                <w:rFonts w:ascii="Arial" w:cs="Arial" w:eastAsia="Arial" w:hAnsi="Arial"/>
                <w:sz w:val="28"/>
                <w:szCs w:val="28"/>
                <w:b w:val="1"/>
                <w:bCs w:val="1"/>
                <w:color w:val="auto"/>
                <w:vertAlign w:val="superscript"/>
              </w:rPr>
              <w:t>(2)</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n/m</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8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88"/>
              </w:rPr>
              <w:t>Ratio of Earnings to Combined Fixed Charges and</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840" w:type="dxa"/>
            <w:vAlign w:val="bottom"/>
            <w:gridSpan w:val="2"/>
            <w:shd w:val="clear" w:color="auto" w:fill="CCEEFF"/>
          </w:tcPr>
          <w:p>
            <w:pPr>
              <w:ind w:left="180"/>
              <w:spacing w:after="0" w:line="267" w:lineRule="exact"/>
              <w:rPr>
                <w:sz w:val="20"/>
                <w:szCs w:val="20"/>
                <w:color w:val="auto"/>
              </w:rPr>
            </w:pPr>
            <w:r>
              <w:rPr>
                <w:rFonts w:ascii="Arial" w:cs="Arial" w:eastAsia="Arial" w:hAnsi="Arial"/>
                <w:sz w:val="18"/>
                <w:szCs w:val="18"/>
                <w:b w:val="1"/>
                <w:bCs w:val="1"/>
                <w:color w:val="auto"/>
              </w:rPr>
              <w:t>Preference Unit Distributions</w:t>
            </w:r>
            <w:r>
              <w:rPr>
                <w:rFonts w:ascii="Arial" w:cs="Arial" w:eastAsia="Arial" w:hAnsi="Arial"/>
                <w:sz w:val="29"/>
                <w:szCs w:val="29"/>
                <w:b w:val="1"/>
                <w:bCs w:val="1"/>
                <w:color w:val="auto"/>
                <w:vertAlign w:val="superscript"/>
              </w:rPr>
              <w:t>(2)</w:t>
            </w: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n/m</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Dollar Amount of the Coverage Deficiency</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1,715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b w:val="1"/>
                <w:bCs w:val="1"/>
                <w:color w:val="auto"/>
              </w:rPr>
              <w:t>n/a</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n/a</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n/a</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b w:val="1"/>
                <w:bCs w:val="1"/>
                <w:color w:val="auto"/>
              </w:rPr>
              <w:t>n/a</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96"/>
        </w:trPr>
        <w:tc>
          <w:tcPr>
            <w:tcW w:w="20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-2150745</wp:posOffset>
            </wp:positionV>
            <wp:extent cx="5897880" cy="1474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97880" cy="1474470"/>
                    </a:xfrm>
                    <a:prstGeom prst="rect">
                      <a:avLst/>
                    </a:prstGeom>
                    <a:noFill/>
                  </pic:spPr>
                </pic:pic>
              </a:graphicData>
            </a:graphic>
          </wp:anchor>
        </w:drawing>
      </w:r>
    </w:p>
    <w:p>
      <w:pPr>
        <w:spacing w:after="0" w:line="172" w:lineRule="exact"/>
        <w:rPr>
          <w:sz w:val="20"/>
          <w:szCs w:val="20"/>
          <w:color w:val="auto"/>
        </w:rPr>
      </w:pPr>
    </w:p>
    <w:p>
      <w:pPr>
        <w:ind w:left="1700" w:hanging="536"/>
        <w:spacing w:after="0" w:line="250" w:lineRule="auto"/>
        <w:tabs>
          <w:tab w:leader="none" w:pos="1700" w:val="left"/>
        </w:tabs>
        <w:numPr>
          <w:ilvl w:val="0"/>
          <w:numId w:val="24"/>
        </w:numPr>
        <w:rPr>
          <w:rFonts w:ascii="Arial" w:cs="Arial" w:eastAsia="Arial" w:hAnsi="Arial"/>
          <w:sz w:val="11"/>
          <w:szCs w:val="11"/>
          <w:color w:val="auto"/>
        </w:rPr>
      </w:pPr>
      <w:r>
        <w:rPr>
          <w:rFonts w:ascii="Arial" w:cs="Arial" w:eastAsia="Arial" w:hAnsi="Arial"/>
          <w:sz w:val="13"/>
          <w:szCs w:val="13"/>
          <w:color w:val="auto"/>
        </w:rPr>
        <w:t>Restated so as to reflect the historical results of GAS-sixteen Ltd., GAS-seventeen Ltd., GAS-nineteen Ltd., GAS-twenty Ltd., GAS- twenty one Ltd., GAS-seven Ltd. and GAS-eleven Ltd. from their respective dates of incorporation by GasLog. See Note 1 to the audited consolidated financial statements for the year ended December 31, 2016 on our Current Report on Form 6-K filed on September 29, 2017, and Note 1 to the unaudited condensed consolidated financial statements for the three and six months ended June 30, 2016 and 2017 on Form 6-K incorporated herein by reference.</w:t>
      </w:r>
    </w:p>
    <w:p>
      <w:pPr>
        <w:spacing w:after="0" w:line="65" w:lineRule="exact"/>
        <w:rPr>
          <w:rFonts w:ascii="Arial" w:cs="Arial" w:eastAsia="Arial" w:hAnsi="Arial"/>
          <w:sz w:val="11"/>
          <w:szCs w:val="11"/>
          <w:color w:val="auto"/>
        </w:rPr>
      </w:pPr>
    </w:p>
    <w:p>
      <w:pPr>
        <w:ind w:left="1700" w:hanging="536"/>
        <w:spacing w:after="0"/>
        <w:tabs>
          <w:tab w:leader="none" w:pos="1700" w:val="left"/>
        </w:tabs>
        <w:numPr>
          <w:ilvl w:val="0"/>
          <w:numId w:val="24"/>
        </w:numPr>
        <w:rPr>
          <w:rFonts w:ascii="Arial" w:cs="Arial" w:eastAsia="Arial" w:hAnsi="Arial"/>
          <w:sz w:val="22"/>
          <w:szCs w:val="22"/>
          <w:color w:val="auto"/>
          <w:vertAlign w:val="superscript"/>
        </w:rPr>
      </w:pPr>
      <w:r>
        <w:rPr>
          <w:rFonts w:ascii="Arial" w:cs="Arial" w:eastAsia="Arial" w:hAnsi="Arial"/>
          <w:sz w:val="13"/>
          <w:szCs w:val="13"/>
          <w:color w:val="auto"/>
        </w:rPr>
        <w:t>For purposes of calculating the ratios above:</w:t>
      </w:r>
    </w:p>
    <w:p>
      <w:pPr>
        <w:sectPr>
          <w:pgSz w:w="11900" w:h="16838" w:orient="portrait"/>
          <w:cols w:equalWidth="0" w:num="1">
            <w:col w:w="11500"/>
          </w:cols>
          <w:pgMar w:left="160" w:top="51"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â€¢</w:t>
      </w:r>
    </w:p>
    <w:p>
      <w:pPr>
        <w:spacing w:after="0" w:line="354"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â€¢</w:t>
      </w:r>
    </w:p>
    <w:p>
      <w:pPr>
        <w:spacing w:after="0" w:line="219"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right="460"/>
        <w:spacing w:after="0" w:line="274" w:lineRule="auto"/>
        <w:rPr>
          <w:sz w:val="20"/>
          <w:szCs w:val="20"/>
          <w:color w:val="auto"/>
        </w:rPr>
      </w:pPr>
      <w:r>
        <w:rPr>
          <w:rFonts w:ascii="Arial" w:cs="Arial" w:eastAsia="Arial" w:hAnsi="Arial"/>
          <w:sz w:val="13"/>
          <w:szCs w:val="13"/>
          <w:color w:val="auto"/>
        </w:rPr>
        <w:t>"earnings" is the result of adding (a) pre-tax (loss)/income from continuing operations (which includes non-cash unrealized gains and losses on derivative financial instruments) and (b) fixed charges;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"fixed charges" represent (i) interest incurred (including realized loss on cash flow hedges) and (ii) amortization of capitalized expenses related to indebtedness;</w:t>
      </w:r>
    </w:p>
    <w:p>
      <w:pPr>
        <w:spacing w:after="0" w:line="229" w:lineRule="exact"/>
        <w:rPr>
          <w:sz w:val="20"/>
          <w:szCs w:val="20"/>
          <w:color w:val="auto"/>
        </w:rPr>
      </w:pPr>
    </w:p>
    <w:p>
      <w:pPr>
        <w:ind w:right="20"/>
        <w:spacing w:after="0" w:line="278" w:lineRule="auto"/>
        <w:rPr>
          <w:sz w:val="20"/>
          <w:szCs w:val="20"/>
          <w:color w:val="auto"/>
        </w:rPr>
      </w:pPr>
      <w:r>
        <w:rPr>
          <w:rFonts w:ascii="Arial" w:cs="Arial" w:eastAsia="Arial" w:hAnsi="Arial"/>
          <w:sz w:val="12"/>
          <w:szCs w:val="12"/>
          <w:color w:val="auto"/>
        </w:rPr>
        <w:t>"preference unit distributions" represent the amount of pre-tax earnings that is required to pay the cash distributions on outstanding preference units and is computed as the amount of (a) the distribution divided by (b) the result of 1 minus the effective income tax rate applicable to continuing operations. We did not have any preference units outstanding during the years from 2012 to 2016, and the ratio of earnings to combined fixed charges and preference units is equivalent to the ratio of earnings to fixed charges for these years. As of June 30, 2017, we had 5,750,000 outstanding Series A Preference Units. The Series A Preference Units were issued on May 15, 2017.</w:t>
      </w:r>
    </w:p>
    <w:p>
      <w:pPr>
        <w:spacing w:after="0" w:line="173" w:lineRule="exact"/>
        <w:rPr>
          <w:sz w:val="20"/>
          <w:szCs w:val="20"/>
          <w:color w:val="auto"/>
        </w:rPr>
      </w:pPr>
    </w:p>
    <w:p>
      <w:pPr>
        <w:sectPr>
          <w:pgSz w:w="11900" w:h="16838" w:orient="portrait"/>
          <w:cols w:equalWidth="0" w:num="2">
            <w:col w:w="1960" w:space="280"/>
            <w:col w:w="9260"/>
          </w:cols>
          <w:pgMar w:left="160" w:top="51" w:right="23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34187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set forth in the applicable prospectus, we intend to use the net proceeds received from the sale of the securities we offer by this prospectus for general corporate purposes.</w:t>
      </w:r>
    </w:p>
    <w:p>
      <w:pPr>
        <w:spacing w:after="0" w:line="186"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 AND INDEBTEDNESS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capitalization and indebtedness will be set forth in a prospectus supplement to this prospectus or in a report on Form 6-K subsequently furnished to the SEC and specifically incorporated herein by reference.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UNITS</w:t>
      </w:r>
    </w:p>
    <w:p>
      <w:pPr>
        <w:spacing w:after="0" w:line="231"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 description of our Common Units can be found in our registration statement on Form 8-A (File No. 001-36433), filed with the SEC on April 30, 2014, including any amendment or report filed for the purpose of updating such description.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SERIES A PREFERENCE UNITS</w:t>
      </w:r>
    </w:p>
    <w:p>
      <w:pPr>
        <w:spacing w:after="0" w:line="231"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 description of our Series A Preference Units can be found in our registration statement on Form 8-A (File No. 001-36433), filed with the SEC on May 15, 2017, including any amendment or report filed for the purpose of updating such description.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OTHER CLASSES OF UNITS</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Our partnership agreement permits us to issue additional classes or series of equity interests at any time and from time to time for consideration on such terms and conditions established by our board of directors without the approval of any of our unitholders, other than the limited approval rights of the holders of the Series A Preference Units. Unless we receive the affirmative vote or consent of the holders of at least two-thirds of the outstanding Series A Preference Units, voting as a class together with holders of any other Parity Securities (as defined in the partnership agreement) (if applicable), we may not (i) issue any Parity Securities if the cumulative distributions on Series A Preference Units are in arrears or (ii) create or issue any Senior Securities (as defined in the partnership agreement). As of September 29, 2017, no classes of limited partnership interests were outstanding other than the Common Units and Series A Preference Units. Should we offer other classes of units under this prospectus, a prospectus supplement relating to the particular class or series of units offered will include the designations, preferences, rights, powers and duties of those units which shall be fixed by the board of directors, including, among other things, the following:</w:t>
      </w:r>
    </w:p>
    <w:p>
      <w:pPr>
        <w:sectPr>
          <w:pgSz w:w="11900" w:h="16838" w:orient="portrait"/>
          <w:cols w:equalWidth="0" w:num="1">
            <w:col w:w="11540"/>
          </w:cols>
          <w:pgMar w:left="160" w:top="51" w:right="199" w:bottom="1440" w:gutter="0" w:footer="0" w:header="0"/>
        </w:sectPr>
      </w:pPr>
    </w:p>
    <w:p>
      <w:pPr>
        <w:spacing w:after="0" w:line="17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right to share in partnership distributions;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rights upon our dissolution and liquidation;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whether, and the terms and conditions upon which, we may or shall be required to redeem the Other Units (including sinking fund provisions);</w:t>
      </w: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whether the Other Units are issued with the privilege of conversion or exchange and, if so, the terms and conditions of such conversion or exchange;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upon which Other Units will be issued, evidenced by certificates and assigned or transferred;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method for determining the Percentage Interest (as defined in our partnership agreement) as to such Other Units; and</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right, if any, of each Other Unit to vote on partnership matters, including matters relating to the relative rights, preferences and privileges of such Other Units.</w:t>
      </w:r>
    </w:p>
    <w:p>
      <w:pPr>
        <w:spacing w:after="0" w:line="18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2">
            <w:col w:w="800" w:space="280"/>
            <w:col w:w="10460"/>
          </w:cols>
          <w:pgMar w:left="160" w:top="51" w:right="19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particular terms of any class or series of any such class of units will also be described in the amendment to our partnership agreement relating to that class or series of such class of units, which will be filed as an exhibit to or incorporated by reference in this prospectus at or before the time of issuance of any such class or series of any such class of units.</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Such units will be fully paid and non-assessable (except as such non-assessability may be affected by Sections 30, 41, 51 and 60 of the Marshall Islands Limited Partnership Act) when issued upon full payment of the purchase price therefor. The transfer agent, registrar and distributions disbursement agent for the units will be designated in the applicable prospectus supplement.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may offer debt securities. 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Units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20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Units or other securities if specified in the applicable prospectus supplement.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16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Specified in the Applicable Prospectus Supplement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applicable prospectus supplement will contain, where applicable, the following terms of, and other information relating to, any offered debt securities:</w:t>
      </w:r>
    </w:p>
    <w:p>
      <w:pPr>
        <w:spacing w:after="0" w:line="24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specific designation;</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any limit on the aggregate principal amount of the debt securities, their purchase price and denomination;</w:t>
      </w:r>
    </w:p>
    <w:p>
      <w:pPr>
        <w:spacing w:after="0" w:line="252" w:lineRule="exact"/>
        <w:rPr>
          <w:sz w:val="20"/>
          <w:szCs w:val="20"/>
          <w:color w:val="auto"/>
        </w:rPr>
      </w:pPr>
    </w:p>
    <w:p>
      <w:pPr>
        <w:jc w:val="center"/>
        <w:ind w:right="460"/>
        <w:spacing w:after="0"/>
        <w:tabs>
          <w:tab w:leader="none" w:pos="2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currency in which the debt securities are denominated and/or in which principal, premium, if any, and/or interest, if any, is payable;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75" w:name="page76"/>
    <w:bookmarkEnd w:id="75"/>
    <w:p>
      <w:pPr>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Table of Contents</w:t>
        </w:r>
      </w:hyperlink>
    </w:p>
    <w:p>
      <w:pPr>
        <w:sectPr>
          <w:pgSz w:w="11900" w:h="16838" w:orient="portrait"/>
          <w:cols w:equalWidth="0" w:num="1">
            <w:col w:w="11560"/>
          </w:cols>
          <w:pgMar w:left="160" w:top="51" w:right="17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date of maturity;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or rates or the method by which the calculation agent will determine the interest rate or rates, if 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interest payment dates, if 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place or places for payment of the principal of and any premium and/or interest on the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any repayment, redemption, prepayment or sinking fund provisions, including any redemption notice provisions;</w:t>
      </w:r>
    </w:p>
    <w:p>
      <w:pPr>
        <w:spacing w:after="0" w:line="239" w:lineRule="exact"/>
        <w:rPr>
          <w:sz w:val="20"/>
          <w:szCs w:val="20"/>
          <w:color w:val="auto"/>
        </w:rPr>
      </w:pPr>
    </w:p>
    <w:p>
      <w:pPr>
        <w:ind w:right="680"/>
        <w:spacing w:after="0" w:line="331" w:lineRule="auto"/>
        <w:rPr>
          <w:sz w:val="20"/>
          <w:szCs w:val="20"/>
          <w:color w:val="auto"/>
        </w:rPr>
      </w:pPr>
      <w:r>
        <w:rPr>
          <w:rFonts w:ascii="Arial" w:cs="Arial" w:eastAsia="Arial" w:hAnsi="Arial"/>
          <w:sz w:val="16"/>
          <w:szCs w:val="16"/>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whether we will issue the debt securities in definitive form and under what terms and conditions;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terms on which holders of the debt securities may convert or exchange these securities into or for Common Units or other securities, any specific terms relating to the adjustment of the conversion or exchange feature and the period during which the holders may make the conversion or exchange;</w:t>
      </w:r>
    </w:p>
    <w:p>
      <w:pPr>
        <w:spacing w:after="0" w:line="194"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any agents for the debt securities, including trustees, depositaries, authenticating or paying agents, transfer agents or registrars;</w:t>
      </w:r>
    </w:p>
    <w:p>
      <w:pPr>
        <w:spacing w:after="0" w:line="252"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any material United States federal income tax or other income tax consequences, including, but not limited to:</w:t>
      </w:r>
    </w:p>
    <w:p>
      <w:pPr>
        <w:spacing w:after="0" w:line="23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tax considerations applicable to any discounted debt securities or to debt securities issued at par that are treated as having been issued at a discount for United States federal income tax purposes; and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tax considerations applicable to any debt securities denominated and payable in non-United States currencies;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whether certain payments on the debt securities will be guaranteed under a financial insurance guarantee policy and the terms of that guarantee;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whether the debt securities will be secured;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any applicable selling restrictions; and</w:t>
      </w:r>
    </w:p>
    <w:p>
      <w:pPr>
        <w:spacing w:after="0" w:line="23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186"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right="200" w:firstLine="351"/>
        <w:spacing w:after="0" w:line="259" w:lineRule="auto"/>
        <w:rPr>
          <w:sz w:val="20"/>
          <w:szCs w:val="20"/>
          <w:color w:val="auto"/>
        </w:rPr>
      </w:pPr>
      <w:r>
        <w:rPr>
          <w:rFonts w:ascii="Arial" w:cs="Arial" w:eastAsia="Arial" w:hAnsi="Arial"/>
          <w:sz w:val="18"/>
          <w:szCs w:val="18"/>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Transfer of Debt Securities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Holders may present debt securities for exchange, and holders of registered debt securities may present these securities for transfer, in the manner, at the places and subject to the restrictions 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142" w:lineRule="exact"/>
        <w:rPr>
          <w:sz w:val="20"/>
          <w:szCs w:val="20"/>
          <w:color w:val="auto"/>
        </w:rPr>
      </w:pPr>
    </w:p>
    <w:p>
      <w:pPr>
        <w:jc w:val="both"/>
        <w:ind w:right="80" w:firstLine="341"/>
        <w:spacing w:after="0" w:line="369" w:lineRule="auto"/>
        <w:rPr>
          <w:sz w:val="20"/>
          <w:szCs w:val="20"/>
          <w:color w:val="auto"/>
        </w:rPr>
      </w:pPr>
      <w:r>
        <w:rPr>
          <w:rFonts w:ascii="Arial" w:cs="Arial" w:eastAsia="Arial" w:hAnsi="Arial"/>
          <w:sz w:val="15"/>
          <w:szCs w:val="15"/>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ectPr>
          <w:pgSz w:w="11900" w:h="16838" w:orient="portrait"/>
          <w:cols w:equalWidth="0" w:num="1">
            <w:col w:w="11520"/>
          </w:cols>
          <w:pgMar w:left="160" w:top="51" w:right="219" w:bottom="1440" w:gutter="0" w:footer="0" w:header="0"/>
        </w:sectPr>
      </w:pP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default is made for more than 30 days in the payment of interest, premium or principal in respect of the securities;</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fail to perform or observe any of our other obligations under the securities and this failure has continued for the period of 60 days next following the service on us of notice requiring the same to be remedied;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our bankruptcy, insolvency or reorganization under any applicable bankruptcy, insolvency or insolvency related reorganization law;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an order is made or an effective resolution is passed for the winding up or liquidation of us; or</w:t>
      </w:r>
    </w:p>
    <w:p>
      <w:pPr>
        <w:spacing w:after="0" w:line="25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any other event of default provided in the supplemental indenture or resolution of the board of directors, if any, under which that series of debt securities is issued.</w:t>
      </w:r>
    </w:p>
    <w:p>
      <w:pPr>
        <w:spacing w:after="0" w:line="180" w:lineRule="exact"/>
        <w:rPr>
          <w:sz w:val="20"/>
          <w:szCs w:val="20"/>
          <w:color w:val="auto"/>
        </w:rPr>
      </w:pPr>
    </w:p>
    <w:p>
      <w:pPr>
        <w:sectPr>
          <w:pgSz w:w="11900" w:h="16838" w:orient="portrait"/>
          <w:cols w:equalWidth="0" w:num="2">
            <w:col w:w="800" w:space="280"/>
            <w:col w:w="10440"/>
          </w:cols>
          <w:pgMar w:left="160" w:top="51" w:right="21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Acceleration of Debt Securities Upon an Event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provides that, unless otherwise set forth in a supplemental indenture:</w:t>
      </w:r>
    </w:p>
    <w:p>
      <w:pPr>
        <w:spacing w:after="0" w:line="225" w:lineRule="exact"/>
        <w:rPr>
          <w:sz w:val="20"/>
          <w:szCs w:val="20"/>
          <w:color w:val="auto"/>
        </w:rPr>
      </w:pPr>
    </w:p>
    <w:p>
      <w:pPr>
        <w:ind w:left="1080" w:right="40" w:hanging="539"/>
        <w:spacing w:after="0" w:line="291"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hanging="539"/>
        <w:spacing w:after="0" w:line="268"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8"/>
          <w:szCs w:val="18"/>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19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if an event of default due to a default in the performance of any other of the covenants or agreements in the indenture applicable to all outstanding</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debt securities issued under the indenture occurs and is continuing, either the trustee or the holders of not less than 25% in aggregate principal</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amount of all outstanding debt securities issued under the indenture for which any applicable supplemental indenture does not prevent acceleration</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under the relevant circumstances, voting as one class, by notice in writing to us may declare the principal of all debt securities and interest accrued</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 the debt securities to be due and payable immediately.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Annulment of Acceleration and Waiver of Defaults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Trustee for Actions Taken on Your Behalf</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Actions by You as an Individual Holder</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indenture provides that no individual holder of debt securities may institute any action against us under the indenture, except actions for payment of overdue principal and interest, unless the following actions have occurred:</w:t>
      </w:r>
    </w:p>
    <w:p>
      <w:pPr>
        <w:sectPr>
          <w:pgSz w:w="11900" w:h="16838" w:orient="portrait"/>
          <w:cols w:equalWidth="0" w:num="1">
            <w:col w:w="11540"/>
          </w:cols>
          <w:pgMar w:left="160" w:top="51" w:right="199" w:bottom="144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holder must have previously given written notice to the trustee of the continuing default;</w:t>
      </w:r>
    </w:p>
    <w:p>
      <w:pPr>
        <w:spacing w:after="0" w:line="23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holders of not less than 25% in aggregate principal amount of the outstanding debt securities of each affected series, treated as one class, must have: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requested the trustee to institute that action; 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offered the trustee indemnity satisfactory to 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trustee must have failed to institute that action within 60 days after receipt of the request referred to above; and</w:t>
      </w:r>
    </w:p>
    <w:p>
      <w:pPr>
        <w:spacing w:after="0" w:line="25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18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2">
            <w:col w:w="800" w:space="280"/>
            <w:col w:w="10460"/>
          </w:cols>
          <w:pgMar w:left="160" w:top="51" w:right="19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contains a covenant that we will file annually with the trustee a certificate of no default or a certificate specifying any default that exists.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the ability to eliminate most or all of our obligations on any series of debt securities prior to maturity if we comply with the following provisions:</w:t>
      </w:r>
    </w:p>
    <w:p>
      <w:pPr>
        <w:spacing w:after="0" w:line="248" w:lineRule="exact"/>
        <w:rPr>
          <w:sz w:val="20"/>
          <w:szCs w:val="20"/>
          <w:color w:val="auto"/>
        </w:rPr>
      </w:pPr>
    </w:p>
    <w:p>
      <w:pPr>
        <w:ind w:left="360"/>
        <w:spacing w:after="0"/>
        <w:tabs>
          <w:tab w:leader="none" w:pos="2260" w:val="left"/>
        </w:tabs>
        <w:rPr>
          <w:sz w:val="20"/>
          <w:szCs w:val="20"/>
          <w:color w:val="auto"/>
        </w:rPr>
      </w:pPr>
      <w:r>
        <w:rPr>
          <w:rFonts w:ascii="Arial" w:cs="Arial" w:eastAsia="Arial" w:hAnsi="Arial"/>
          <w:sz w:val="18"/>
          <w:szCs w:val="18"/>
          <w:b w:val="1"/>
          <w:bCs w:val="1"/>
          <w:i w:val="1"/>
          <w:iCs w:val="1"/>
          <w:color w:val="auto"/>
        </w:rPr>
        <w:t>Discharge of Indenture.</w:t>
      </w:r>
      <w:r>
        <w:rPr>
          <w:sz w:val="20"/>
          <w:szCs w:val="20"/>
          <w:color w:val="auto"/>
        </w:rPr>
        <w:tab/>
      </w:r>
      <w:r>
        <w:rPr>
          <w:rFonts w:ascii="Arial" w:cs="Arial" w:eastAsia="Arial" w:hAnsi="Arial"/>
          <w:sz w:val="15"/>
          <w:szCs w:val="15"/>
          <w:color w:val="auto"/>
        </w:rPr>
        <w:t>We may discharge all of our obligations, other than as to transfers and exchanges, under the indenture after we have:</w:t>
      </w:r>
    </w:p>
    <w:p>
      <w:pPr>
        <w:sectPr>
          <w:pgSz w:w="11900" w:h="16838" w:orient="portrait"/>
          <w:cols w:equalWidth="0" w:num="1">
            <w:col w:w="11560"/>
          </w:cols>
          <w:pgMar w:left="160" w:top="51" w:right="17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paid or caused to be paid the principal of and interest on all of the outstanding debt securities in accordance with their terms;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delivered to the trustee for cancellation all of the outstanding debt securities; or</w:t>
      </w:r>
    </w:p>
    <w:p>
      <w:pPr>
        <w:spacing w:after="0" w:line="2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 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174"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jc w:val="both"/>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Defeasance of a Series of Securities at Any Time. </w:t>
      </w:r>
      <w:r>
        <w:rPr>
          <w:rFonts w:ascii="Arial" w:cs="Arial" w:eastAsia="Arial" w:hAnsi="Arial"/>
          <w:sz w:val="18"/>
          <w:szCs w:val="18"/>
          <w:color w:val="auto"/>
        </w:rPr>
        <w:t>We may also discharge all of our obligations, other than as to transfers and exchanges, under any series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Defeasance or covenant defeasance may be effected only if, among other things:</w:t>
      </w:r>
    </w:p>
    <w:p>
      <w:pPr>
        <w:spacing w:after="0" w:line="225" w:lineRule="exact"/>
        <w:rPr>
          <w:sz w:val="20"/>
          <w:szCs w:val="20"/>
          <w:color w:val="auto"/>
        </w:rPr>
      </w:pPr>
    </w:p>
    <w:p>
      <w:pPr>
        <w:ind w:left="1080" w:hanging="539"/>
        <w:spacing w:after="0" w:line="306"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we irrevocably deposit with the trustee cash or, in the case of debt securities payable only in U.S.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ectPr>
          <w:pgSz w:w="11900" w:h="16838" w:orient="portrait"/>
          <w:cols w:equalWidth="0" w:num="1">
            <w:col w:w="11560"/>
          </w:cols>
          <w:pgMar w:left="160" w:top="51" w:right="179" w:bottom="1440" w:gutter="0" w:footer="0" w:header="0"/>
          <w:type w:val="continuous"/>
        </w:sectPr>
      </w:pP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deliver to the trustee an opinion of counsel to the effect that:</w:t>
      </w:r>
    </w:p>
    <w:p>
      <w:pPr>
        <w:spacing w:after="0" w:line="23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holders of the series of debt securities being defeased will not recognize income, gain or loss for United States federal income tax purposes as a result of the defeasance or covenant defeasance;</w:t>
      </w:r>
    </w:p>
    <w:p>
      <w:pPr>
        <w:spacing w:after="0" w:line="1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defeasance or covenant defeasance will not otherwise alter those holders' United States federal income tax treatment of principal and interest payments on the series of debt securities being defeased; and</w:t>
      </w:r>
    </w:p>
    <w:p>
      <w:pPr>
        <w:spacing w:after="0" w:line="2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18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Modification without Consent of Holders. </w:t>
      </w:r>
      <w:r>
        <w:rPr>
          <w:rFonts w:ascii="Arial" w:cs="Arial" w:eastAsia="Arial" w:hAnsi="Arial"/>
          <w:sz w:val="18"/>
          <w:szCs w:val="18"/>
          <w:color w:val="auto"/>
        </w:rPr>
        <w:t>We and the trustee may enter into supplemental indentures without the consent of the holders of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under the indenture to:</w:t>
      </w:r>
    </w:p>
    <w:p>
      <w:pPr>
        <w:spacing w:after="0" w:line="186"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secure any debt securities;</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evidence the assumption by a successor corporation of our obligations;</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add covenants for the protection of the holders of debt securities;</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cure any ambiguity or correct any inconsistency;</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establish the forms or terms of debt securities of any series;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evidence the acceptance of appointment by a successor trustee; or</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make such other provisions in regard to matters or questions arising under the indenture or under any supplemental indenture as the board of</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directors may deem necessary or desirable and which shall not adversely affect the rights of the holders of debt securities in any material respect.</w:t>
      </w:r>
    </w:p>
    <w:p>
      <w:pPr>
        <w:spacing w:after="0" w:line="24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Modification with Consent of Holders. </w:t>
      </w:r>
      <w:r>
        <w:rPr>
          <w:rFonts w:ascii="Arial" w:cs="Arial" w:eastAsia="Arial" w:hAnsi="Arial"/>
          <w:sz w:val="16"/>
          <w:szCs w:val="16"/>
          <w:color w:val="auto"/>
        </w:rPr>
        <w:t>We and the trustee, with the consent of the holders of not less than a majority in aggregate principal amount of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affected series of outstanding debt securities, voting as one class, may add any provisions to, or change in any manner or eliminate any of the provisions of, the indenture or modify in any manner the rights of the holders of those debt securities. However, we and the trustee may not make any of the following changes to any outstanding debt security without the consent of each holder that would be affected by the change:</w:t>
      </w:r>
    </w:p>
    <w:p>
      <w:pPr>
        <w:sectPr>
          <w:pgSz w:w="11900" w:h="16838" w:orient="portrait"/>
          <w:cols w:equalWidth="0" w:num="1">
            <w:col w:w="11520"/>
          </w:cols>
          <w:pgMar w:left="160" w:top="51" w:right="219" w:bottom="1440" w:gutter="0" w:footer="0" w:header="0"/>
        </w:sectPr>
      </w:pPr>
    </w:p>
    <w:p>
      <w:pPr>
        <w:spacing w:after="0" w:line="16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extend the final maturity of the security;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reduce the principal amount;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reduce the rate or extend the time of payment of interest;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reduce any amount payable on redemption;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change the currency in which the principal, including any amount of original issue discount, premium, or interest on the security is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modify or amend the provisions for conversion of any currency into another currency;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reduce the amount of any original issue discount security payable upon acceleration or provable in bankruptcy;</w:t>
      </w:r>
    </w:p>
    <w:p>
      <w:pPr>
        <w:spacing w:after="0" w:line="239" w:lineRule="exact"/>
        <w:rPr>
          <w:sz w:val="20"/>
          <w:szCs w:val="20"/>
          <w:color w:val="auto"/>
        </w:rPr>
      </w:pPr>
    </w:p>
    <w:p>
      <w:pPr>
        <w:ind w:right="160"/>
        <w:spacing w:after="0" w:line="331" w:lineRule="auto"/>
        <w:rPr>
          <w:sz w:val="20"/>
          <w:szCs w:val="20"/>
          <w:color w:val="auto"/>
        </w:rPr>
      </w:pPr>
      <w:r>
        <w:rPr>
          <w:rFonts w:ascii="Arial" w:cs="Arial" w:eastAsia="Arial" w:hAnsi="Arial"/>
          <w:sz w:val="16"/>
          <w:szCs w:val="16"/>
          <w:color w:val="auto"/>
        </w:rPr>
        <w:t>alter the terms on which holders of the debt securities may convert or exchange debt securities for Common Units or other securities, other than in accordance with the antidilution provisions or other similar adjustment provisions included in the terms of the debt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impair the right of any holder to institute suit for the enforcement of any payment on any debt security when due; 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reduce the percentage of debt securities the consent of whose holders is required for modification of the indenture.</w:t>
      </w:r>
    </w:p>
    <w:p>
      <w:pPr>
        <w:spacing w:after="0" w:line="200" w:lineRule="exact"/>
        <w:rPr>
          <w:sz w:val="20"/>
          <w:szCs w:val="20"/>
          <w:color w:val="auto"/>
        </w:rPr>
      </w:pPr>
    </w:p>
    <w:p>
      <w:pPr>
        <w:sectPr>
          <w:pgSz w:w="11900" w:h="16838" w:orient="portrait"/>
          <w:cols w:equalWidth="0" w:num="2">
            <w:col w:w="800" w:space="280"/>
            <w:col w:w="10440"/>
          </w:cols>
          <w:pgMar w:left="160" w:top="51" w:right="21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Debt Security</w:t>
      </w:r>
    </w:p>
    <w:p>
      <w:pPr>
        <w:spacing w:after="0" w:line="231" w:lineRule="exact"/>
        <w:rPr>
          <w:sz w:val="20"/>
          <w:szCs w:val="20"/>
          <w:color w:val="auto"/>
        </w:rPr>
      </w:pPr>
    </w:p>
    <w:p>
      <w:pPr>
        <w:ind w:right="160" w:firstLine="351"/>
        <w:spacing w:after="0" w:line="331" w:lineRule="auto"/>
        <w:rPr>
          <w:sz w:val="20"/>
          <w:szCs w:val="20"/>
          <w:color w:val="auto"/>
        </w:rPr>
      </w:pPr>
      <w:r>
        <w:rPr>
          <w:rFonts w:ascii="Arial" w:cs="Arial" w:eastAsia="Arial" w:hAnsi="Arial"/>
          <w:sz w:val="16"/>
          <w:szCs w:val="16"/>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14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in registered form, where our obligation runs to the holder of the security named on the face of the security; or</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in bearer form, where our obligation runs to the bearer of the security.</w:t>
      </w:r>
    </w:p>
    <w:p>
      <w:pPr>
        <w:spacing w:after="0" w:line="25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Registered Global Securities. </w:t>
      </w:r>
      <w:r>
        <w:rPr>
          <w:rFonts w:ascii="Arial" w:cs="Arial" w:eastAsia="Arial" w:hAnsi="Arial"/>
          <w:sz w:val="18"/>
          <w:szCs w:val="18"/>
          <w:color w:val="auto"/>
        </w:rPr>
        <w:t>We may issue the debt securities in the form of one or more fully registered global securities that will be deposited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or its nominee identified in the applicable prospectus supplement and registered in the name of that depositary or nominee. In those cases, one or more registered global securities will be issued in a denomination or aggregate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6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17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3" w:lineRule="exact"/>
        <w:rPr>
          <w:sz w:val="20"/>
          <w:szCs w:val="20"/>
          <w:color w:val="auto"/>
        </w:rPr>
      </w:pPr>
    </w:p>
    <w:p>
      <w:pPr>
        <w:ind w:right="160" w:firstLine="351"/>
        <w:spacing w:after="0" w:line="287" w:lineRule="auto"/>
        <w:rPr>
          <w:sz w:val="20"/>
          <w:szCs w:val="20"/>
          <w:color w:val="auto"/>
        </w:rPr>
      </w:pPr>
      <w:r>
        <w:rPr>
          <w:rFonts w:ascii="Arial" w:cs="Arial" w:eastAsia="Arial" w:hAnsi="Arial"/>
          <w:sz w:val="16"/>
          <w:szCs w:val="16"/>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 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8"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Bearer Global Securities. </w:t>
      </w:r>
      <w:r>
        <w:rPr>
          <w:rFonts w:ascii="Arial" w:cs="Arial" w:eastAsia="Arial" w:hAnsi="Arial"/>
          <w:sz w:val="16"/>
          <w:szCs w:val="16"/>
          <w:color w:val="auto"/>
        </w:rPr>
        <w:t>The securities may also be issued in the form of one or more bearer global securities that will be deposited with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depositary for the Euroclear System and Clearstream Banking, </w:t>
      </w:r>
      <w:r>
        <w:rPr>
          <w:rFonts w:ascii="Arial" w:cs="Arial" w:eastAsia="Arial" w:hAnsi="Arial"/>
          <w:sz w:val="16"/>
          <w:szCs w:val="16"/>
          <w:i w:val="1"/>
          <w:iCs w:val="1"/>
          <w:color w:val="auto"/>
        </w:rPr>
        <w:t>sociÃ©tÃ© anonyme</w:t>
      </w:r>
      <w:r>
        <w:rPr>
          <w:rFonts w:ascii="Arial" w:cs="Arial" w:eastAsia="Arial" w:hAnsi="Arial"/>
          <w:sz w:val="16"/>
          <w:szCs w:val="16"/>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Law to Govern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debt securities will be governed by the laws of the State of New York.</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this prospectus is being delivered:</w:t>
      </w:r>
    </w:p>
    <w:p>
      <w:pPr>
        <w:sectPr>
          <w:pgSz w:w="11900" w:h="16838" w:orient="portrait"/>
          <w:cols w:equalWidth="0" w:num="1">
            <w:col w:w="11560"/>
          </w:cols>
          <w:pgMar w:left="160" w:top="51" w:right="179" w:bottom="1440" w:gutter="0" w:footer="0" w:header="0"/>
        </w:sect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title of such Warrants;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number of such Warrants;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price or prices at which such Warrants will be issued;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currency or currencies, in which the price of such Warrants will be payable;</w:t>
      </w:r>
    </w:p>
    <w:p>
      <w:pPr>
        <w:spacing w:after="0" w:line="252" w:lineRule="exact"/>
        <w:rPr>
          <w:sz w:val="20"/>
          <w:szCs w:val="20"/>
          <w:color w:val="auto"/>
        </w:rPr>
      </w:pPr>
    </w:p>
    <w:p>
      <w:pPr>
        <w:ind w:right="460"/>
        <w:spacing w:after="0" w:line="331" w:lineRule="auto"/>
        <w:rPr>
          <w:sz w:val="20"/>
          <w:szCs w:val="20"/>
          <w:color w:val="auto"/>
        </w:rPr>
      </w:pP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5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Warrants outstanding;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if applicable, the minimum or maximum amount of such Warrants which may be exercised at any one time;</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8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2">
            <w:col w:w="800" w:space="280"/>
            <w:col w:w="10480"/>
          </w:cols>
          <w:pgMar w:left="160" w:top="51" w:right="17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if applicable, the date on and after which such Warrants and the related securities will be separately transferable;</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information with respect to book-entry procedures, if any;</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if applicable, a discussion of any material United States Federal income tax considerations; and</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any other terms of such Warrants, including terms, procedures and limitations relating to the exchange and exercise of such warrants.</w:t>
      </w:r>
    </w:p>
    <w:p>
      <w:pPr>
        <w:spacing w:after="0" w:line="239"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7 of this prospectus. We urge you to read the applicable warrant certificate, the applicable warrant agreement and any applicable prospectus supplement in their entirety.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relating to any rights will describe the terms of the offered rights, including, where applicable, the following:</w:t>
      </w:r>
    </w:p>
    <w:p>
      <w:pPr>
        <w:sectPr>
          <w:pgSz w:w="11900" w:h="16838" w:orient="portrait"/>
          <w:cols w:equalWidth="0" w:num="1">
            <w:col w:w="11560"/>
          </w:cols>
          <w:pgMar w:left="160" w:top="51" w:right="179" w:bottom="1440" w:gutter="0" w:footer="0" w:header="0"/>
        </w:sect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for the Rights;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number of Rights issued to each shareholder;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extent to which the Rights are transferable;</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any other terms of the Rights, including terms, procedures and limitations relating to the exchange and exercise of the Rights;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date on which the Right to exercise the Rights will commence and the date on which the Right will expire;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Rights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extent to which the Rights include an over-subscription privilege with respect to unsubscribed securities; and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material terms of any standby underwriting arrangement entered into by us in connection with the Rights offering.</w:t>
      </w:r>
    </w:p>
    <w:p>
      <w:pPr>
        <w:spacing w:after="0" w:line="20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line="4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7 of this prospectus. We urge you to read the applicable rights certificate, the applicable rights agreement and any applicable prospectus supplement in their entirety.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COMBINATION UNITS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may issue Combination Units consisting of any combination of Common Units, Series A Preference Units, Other Units, debt securities, Warrants and Rights. Each Combination Unit will be issued so that the holder of the Combination Unit is also the holder of each security included in the Combination Unit. Thus, the holder of a Combination Unit will have the rights and obligations of a holder of each included security. The unit agreement under which a Combination Unit is issued may provide that the securities included in the unit may not be held or transferred separately, at any time, or at any time before a specified 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applicable prospectus supplement relating to any series of units will describe the terms of the Combination Units, including, where applicable, the following:</w:t>
      </w:r>
    </w:p>
    <w:p>
      <w:pPr>
        <w:sectPr>
          <w:pgSz w:w="11900" w:h="16838" w:orient="portrait"/>
          <w:cols w:equalWidth="0" w:num="1">
            <w:col w:w="11560"/>
          </w:cols>
          <w:pgMar w:left="160" w:top="51" w:right="179" w:bottom="144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designation and terms of the Combination Units and of the securities comprising the Combination Units, including whether and under what circumstances those securities may be held or transferred separately;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any provisions of the governing unit agreement; and</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any provisions for the issuance, payment, settlement, transfer, or exchange of the Combination Units or of the securities comprising the Combination Units.</w:t>
      </w:r>
    </w:p>
    <w:p>
      <w:pPr>
        <w:spacing w:after="0" w:line="186"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right="60" w:firstLine="348"/>
        <w:spacing w:after="0" w:line="254" w:lineRule="auto"/>
        <w:rPr>
          <w:sz w:val="20"/>
          <w:szCs w:val="20"/>
          <w:color w:val="auto"/>
        </w:rPr>
      </w:pPr>
      <w:r>
        <w:rPr>
          <w:rFonts w:ascii="Arial" w:cs="Arial" w:eastAsia="Arial" w:hAnsi="Arial"/>
          <w:sz w:val="18"/>
          <w:szCs w:val="18"/>
          <w:color w:val="auto"/>
        </w:rPr>
        <w:t>The description in the applicable prospectus supplement of any Combination Units we offer will not necessarily be complete and will be qualified in its entirety by reference to the applicable unit certificate or unit agreement, which will be filed with the SEC if we offer Combination Units. For more information on how you can obtain copies of any unit certificate or unit agreement if we offer Combination Units, see "Where You Can Find Additional Information" beginning on page 7 of this prospectus. We urge you to read the applicable unit certificate, the applicable unit agreement and any applicable prospectus supplement in their entirety.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following is a summary of the material provisions of our partnership agreement, which is qualified in its entirety by the terms and conditions of the partnership agreement, which is incorporated herein by reference. This summary should be read together with any subsequent amendments of the partnership agreement or reports filed for the purpose of updating the description of the important provisions of our partnership agreement and the rights and privileges of our unitholders. Please read "Where You Can Find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organized on January 23, 2014 and have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Marshall Islands Act.</w:t>
      </w:r>
    </w:p>
    <w:p>
      <w:pPr>
        <w:spacing w:after="0" w:line="186" w:lineRule="exact"/>
        <w:rPr>
          <w:sz w:val="20"/>
          <w:szCs w:val="20"/>
          <w:color w:val="auto"/>
        </w:rPr>
      </w:pPr>
    </w:p>
    <w:p>
      <w:pPr>
        <w:jc w:val="both"/>
        <w:ind w:right="100" w:firstLine="341"/>
        <w:spacing w:after="0" w:line="256"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31"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Our partnership agreement specifies the manner in which we will make cash distributions to holders of our Common Units and other partnership interests, including to the holders of Series A Preference Units, our incentive distribution rights, as well as to our general partner in respect of its general partner interest. Please see "Our Cash Distribution Policy and Restrictions on Distributions" on page 36 of this prospectus for further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No holder of Common Units or Series A Preference Units is obligated to make additional capital contributions, except as described below under "â€”Limited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is a summary of the unitholder vote required for approval of the matters specified below. Matters that require the approval of a "Unit Majority" require the approval of a majority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Common Units voting as a single class. In voting their Common Units, our general partner and its affiliates will have no fiduciary duty or obligation whatsoever to us or the limited partners, including any duty to act in good faith or in the best interests of us or the limited partners.</w:t>
      </w:r>
    </w:p>
    <w:p>
      <w:pPr>
        <w:spacing w:after="0" w:line="186"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173"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w:t>
      </w:r>
    </w:p>
    <w:p>
      <w:pPr>
        <w:sectPr>
          <w:pgSz w:w="11900" w:h="16838" w:orient="portrait"/>
          <w:cols w:equalWidth="0" w:num="1">
            <w:col w:w="11560"/>
          </w:cols>
          <w:pgMar w:left="160" w:top="51" w:right="179" w:bottom="1440" w:gutter="0" w:footer="0" w:header="0"/>
        </w:sectPr>
      </w:pPr>
    </w:p>
    <w:p>
      <w:pPr>
        <w:spacing w:after="0" w:line="196" w:lineRule="exact"/>
        <w:rPr>
          <w:sz w:val="20"/>
          <w:szCs w:val="20"/>
          <w:color w:val="auto"/>
        </w:rPr>
      </w:pPr>
    </w:p>
    <w:p>
      <w:pPr>
        <w:ind w:left="1160"/>
        <w:spacing w:after="0"/>
        <w:rPr>
          <w:sz w:val="20"/>
          <w:szCs w:val="20"/>
          <w:color w:val="auto"/>
        </w:rPr>
      </w:pPr>
      <w:r>
        <w:rPr>
          <w:rFonts w:ascii="Arial" w:cs="Arial" w:eastAsia="Arial" w:hAnsi="Arial"/>
          <w:sz w:val="13"/>
          <w:szCs w:val="13"/>
          <w:b w:val="1"/>
          <w:bCs w:val="1"/>
          <w:u w:val="single" w:color="auto"/>
          <w:color w:val="auto"/>
        </w:rPr>
        <w:t>Action</w:t>
      </w:r>
    </w:p>
    <w:p>
      <w:pPr>
        <w:spacing w:after="0" w:line="25" w:lineRule="exact"/>
        <w:rPr>
          <w:sz w:val="20"/>
          <w:szCs w:val="20"/>
          <w:color w:val="auto"/>
        </w:rPr>
      </w:pPr>
    </w:p>
    <w:p>
      <w:pPr>
        <w:ind w:left="1340" w:hanging="179"/>
        <w:spacing w:after="0" w:line="259" w:lineRule="auto"/>
        <w:rPr>
          <w:sz w:val="20"/>
          <w:szCs w:val="20"/>
          <w:color w:val="auto"/>
        </w:rPr>
      </w:pPr>
      <w:r>
        <w:rPr>
          <w:rFonts w:ascii="Arial" w:cs="Arial" w:eastAsia="Arial" w:hAnsi="Arial"/>
          <w:sz w:val="18"/>
          <w:szCs w:val="18"/>
          <w:color w:val="auto"/>
        </w:rPr>
        <w:t>Issuance of additional Common Units or other limited partner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Amendment of the partnership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hanging="179"/>
        <w:spacing w:after="0" w:line="268"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Dissolution of our partnership</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Reconstitution of our partnership upon dissolution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7620</wp:posOffset>
            </wp:positionV>
            <wp:extent cx="28117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 w:lineRule="exact"/>
        <w:rPr>
          <w:sz w:val="20"/>
          <w:szCs w:val="20"/>
          <w:color w:val="auto"/>
        </w:rPr>
      </w:pPr>
    </w:p>
    <w:p>
      <w:pPr>
        <w:ind w:left="280" w:right="1180"/>
        <w:spacing w:after="0" w:line="281" w:lineRule="auto"/>
        <w:rPr>
          <w:sz w:val="20"/>
          <w:szCs w:val="20"/>
          <w:color w:val="auto"/>
        </w:rPr>
      </w:pPr>
      <w:r>
        <w:rPr>
          <w:rFonts w:ascii="Arial" w:cs="Arial" w:eastAsia="Arial" w:hAnsi="Arial"/>
          <w:sz w:val="16"/>
          <w:szCs w:val="16"/>
          <w:color w:val="auto"/>
        </w:rPr>
        <w:t>Subject to the following paragraph with respect to the Series A Preference Units, no approval rights; general partner approval required for all issuances not reasonably expected to be accretive within twelve months of issuance or which would otherwise have a material adverse impact on the general partner or its interest in our partnership.</w:t>
      </w:r>
    </w:p>
    <w:p>
      <w:pPr>
        <w:spacing w:after="0" w:line="2" w:lineRule="exact"/>
        <w:rPr>
          <w:sz w:val="20"/>
          <w:szCs w:val="20"/>
          <w:color w:val="auto"/>
        </w:rPr>
      </w:pPr>
    </w:p>
    <w:p>
      <w:pPr>
        <w:ind w:left="280" w:right="1360"/>
        <w:spacing w:after="0" w:line="300" w:lineRule="auto"/>
        <w:rPr>
          <w:sz w:val="20"/>
          <w:szCs w:val="20"/>
          <w:color w:val="auto"/>
        </w:rPr>
      </w:pPr>
      <w:r>
        <w:rPr>
          <w:rFonts w:ascii="Arial" w:cs="Arial" w:eastAsia="Arial" w:hAnsi="Arial"/>
          <w:sz w:val="15"/>
          <w:szCs w:val="15"/>
          <w:color w:val="auto"/>
        </w:rPr>
        <w:t>Certain amendments may be made by our board of directors without the approval of the unitholders. Other amendments generally require the approval of a Unit Majority. See "â€”Amendment of the Partnership Agreement".</w:t>
      </w:r>
    </w:p>
    <w:p>
      <w:pPr>
        <w:spacing w:after="0" w:line="2" w:lineRule="exact"/>
        <w:rPr>
          <w:sz w:val="20"/>
          <w:szCs w:val="20"/>
          <w:color w:val="auto"/>
        </w:rPr>
      </w:pPr>
    </w:p>
    <w:p>
      <w:pPr>
        <w:ind w:left="280" w:right="1220"/>
        <w:spacing w:after="0" w:line="250" w:lineRule="auto"/>
        <w:rPr>
          <w:sz w:val="20"/>
          <w:szCs w:val="20"/>
          <w:color w:val="auto"/>
        </w:rPr>
      </w:pPr>
      <w:r>
        <w:rPr>
          <w:rFonts w:ascii="Arial" w:cs="Arial" w:eastAsia="Arial" w:hAnsi="Arial"/>
          <w:sz w:val="18"/>
          <w:szCs w:val="18"/>
          <w:color w:val="auto"/>
        </w:rPr>
        <w:t>Unit Majority and approval of our general partner and our board of directors. See "â€”Merger, Sale, Conversion or Other Disposition of Assets".</w:t>
      </w:r>
    </w:p>
    <w:p>
      <w:pPr>
        <w:spacing w:after="0" w:line="1" w:lineRule="exact"/>
        <w:rPr>
          <w:sz w:val="20"/>
          <w:szCs w:val="20"/>
          <w:color w:val="auto"/>
        </w:rPr>
      </w:pPr>
    </w:p>
    <w:p>
      <w:pPr>
        <w:jc w:val="both"/>
        <w:ind w:left="280" w:right="1520"/>
        <w:spacing w:after="0" w:line="302" w:lineRule="auto"/>
        <w:rPr>
          <w:sz w:val="20"/>
          <w:szCs w:val="20"/>
          <w:color w:val="auto"/>
        </w:rPr>
      </w:pPr>
      <w:r>
        <w:rPr>
          <w:rFonts w:ascii="Arial" w:cs="Arial" w:eastAsia="Arial" w:hAnsi="Arial"/>
          <w:sz w:val="16"/>
          <w:szCs w:val="16"/>
          <w:color w:val="auto"/>
        </w:rPr>
        <w:t>Unit Majority and approval of our general partner and our board of directors. See "â€”Termination and Dissolution". Unit Majority. See "â€”Termination and Dissolution".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146050</wp:posOffset>
            </wp:positionV>
            <wp:extent cx="734187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2">
            <w:col w:w="5500" w:space="200"/>
            <w:col w:w="5860"/>
          </w:cols>
          <w:pgMar w:left="160" w:top="51" w:right="17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280" w:type="dxa"/>
            <w:vAlign w:val="bottom"/>
            <w:gridSpan w:val="3"/>
          </w:tcPr>
          <w:p>
            <w:pPr>
              <w:spacing w:after="0"/>
              <w:rPr>
                <w:sz w:val="20"/>
                <w:szCs w:val="20"/>
                <w:color w:val="auto"/>
              </w:rPr>
            </w:pPr>
            <w:r>
              <w:rPr>
                <w:rFonts w:ascii="Arial" w:cs="Arial" w:eastAsia="Arial" w:hAnsi="Arial"/>
                <w:sz w:val="13"/>
                <w:szCs w:val="13"/>
                <w:b w:val="1"/>
                <w:bCs w:val="1"/>
                <w:color w:val="auto"/>
              </w:rPr>
              <w:t>Action</w:t>
            </w:r>
          </w:p>
        </w:tc>
        <w:tc>
          <w:tcPr>
            <w:tcW w:w="540" w:type="dxa"/>
            <w:vAlign w:val="bottom"/>
          </w:tcPr>
          <w:p>
            <w:pPr>
              <w:spacing w:after="0"/>
              <w:rPr>
                <w:sz w:val="14"/>
                <w:szCs w:val="14"/>
                <w:color w:val="auto"/>
              </w:rPr>
            </w:pPr>
          </w:p>
        </w:tc>
        <w:tc>
          <w:tcPr>
            <w:tcW w:w="4420" w:type="dxa"/>
            <w:vAlign w:val="bottom"/>
          </w:tcPr>
          <w:p>
            <w:pPr>
              <w:ind w:left="780"/>
              <w:spacing w:after="0"/>
              <w:rPr>
                <w:sz w:val="20"/>
                <w:szCs w:val="20"/>
                <w:color w:val="auto"/>
              </w:rPr>
            </w:pPr>
            <w:r>
              <w:rPr>
                <w:rFonts w:ascii="Arial" w:cs="Arial" w:eastAsia="Arial" w:hAnsi="Arial"/>
                <w:sz w:val="13"/>
                <w:szCs w:val="13"/>
                <w:b w:val="1"/>
                <w:bCs w:val="1"/>
                <w:color w:val="auto"/>
              </w:rPr>
              <w:t>Unitholder Approval Required and Voting 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Withdrawal of our general partner</w:t>
            </w:r>
          </w:p>
        </w:tc>
        <w:tc>
          <w:tcPr>
            <w:tcW w:w="54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w w:val="92"/>
              </w:rPr>
              <w:t>Under most circumstances, the approval of a majority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0"/>
              </w:rPr>
              <w:t>Common Units, excluding Common Units held by our general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2"/>
              </w:rPr>
              <w:t>partner and its affiliates, is required for the withdrawal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8"/>
              </w:rPr>
              <w:t>general partner prior to March 31, 2024 in a manner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rPr>
              <w:t>would cause a dissolution of our partnership. See</w:t>
            </w:r>
          </w:p>
        </w:tc>
        <w:tc>
          <w:tcPr>
            <w:tcW w:w="0" w:type="dxa"/>
            <w:vAlign w:val="bottom"/>
          </w:tcPr>
          <w:p>
            <w:pPr>
              <w:spacing w:after="0"/>
              <w:rPr>
                <w:sz w:val="1"/>
                <w:szCs w:val="1"/>
                <w:color w:val="auto"/>
              </w:rPr>
            </w:pPr>
          </w:p>
        </w:tc>
      </w:tr>
      <w:tr>
        <w:trPr>
          <w:trHeight w:val="217"/>
        </w:trPr>
        <w:tc>
          <w:tcPr>
            <w:tcW w:w="4280" w:type="dxa"/>
            <w:vAlign w:val="bottom"/>
            <w:gridSpan w:val="3"/>
            <w:vMerge w:val="restart"/>
          </w:tcPr>
          <w:p>
            <w:pPr>
              <w:spacing w:after="0"/>
              <w:rPr>
                <w:sz w:val="20"/>
                <w:szCs w:val="20"/>
                <w:color w:val="auto"/>
              </w:rPr>
            </w:pPr>
            <w:r>
              <w:rPr>
                <w:rFonts w:ascii="Arial" w:cs="Arial" w:eastAsia="Arial" w:hAnsi="Arial"/>
                <w:sz w:val="18"/>
                <w:szCs w:val="18"/>
                <w:color w:val="auto"/>
              </w:rPr>
              <w:t>Removal of our general partner</w:t>
            </w: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rPr>
              <w:t>"â€”Withdrawal or Removal of our General Partner".</w:t>
            </w:r>
          </w:p>
        </w:tc>
        <w:tc>
          <w:tcPr>
            <w:tcW w:w="0" w:type="dxa"/>
            <w:vAlign w:val="bottom"/>
          </w:tcPr>
          <w:p>
            <w:pPr>
              <w:spacing w:after="0"/>
              <w:rPr>
                <w:sz w:val="1"/>
                <w:szCs w:val="1"/>
                <w:color w:val="auto"/>
              </w:rPr>
            </w:pPr>
          </w:p>
        </w:tc>
      </w:tr>
      <w:tr>
        <w:trPr>
          <w:trHeight w:val="255"/>
        </w:trPr>
        <w:tc>
          <w:tcPr>
            <w:tcW w:w="4280" w:type="dxa"/>
            <w:vAlign w:val="bottom"/>
            <w:gridSpan w:val="3"/>
            <w:vMerge w:val="continue"/>
          </w:tcPr>
          <w:p>
            <w:pPr>
              <w:spacing w:after="0"/>
              <w:rPr>
                <w:sz w:val="22"/>
                <w:szCs w:val="22"/>
                <w:color w:val="auto"/>
              </w:rPr>
            </w:pPr>
          </w:p>
        </w:tc>
        <w:tc>
          <w:tcPr>
            <w:tcW w:w="4960" w:type="dxa"/>
            <w:vAlign w:val="bottom"/>
            <w:gridSpan w:val="2"/>
          </w:tcPr>
          <w:p>
            <w:pPr>
              <w:ind w:left="540"/>
              <w:spacing w:after="0" w:line="255" w:lineRule="exact"/>
              <w:rPr>
                <w:sz w:val="20"/>
                <w:szCs w:val="20"/>
                <w:color w:val="auto"/>
              </w:rPr>
            </w:pPr>
            <w:r>
              <w:rPr>
                <w:rFonts w:ascii="Arial" w:cs="Arial" w:eastAsia="Arial" w:hAnsi="Arial"/>
                <w:sz w:val="18"/>
                <w:szCs w:val="18"/>
                <w:color w:val="auto"/>
                <w:w w:val="88"/>
              </w:rPr>
              <w:t>Not less than 66</w:t>
            </w:r>
            <w:r>
              <w:rPr>
                <w:rFonts w:ascii="Arial" w:cs="Arial" w:eastAsia="Arial" w:hAnsi="Arial"/>
                <w:sz w:val="29"/>
                <w:szCs w:val="29"/>
                <w:color w:val="auto"/>
                <w:w w:val="88"/>
                <w:vertAlign w:val="superscript"/>
              </w:rPr>
              <w:t>2</w:t>
            </w:r>
            <w:r>
              <w:rPr>
                <w:rFonts w:ascii="Arial" w:cs="Arial" w:eastAsia="Arial" w:hAnsi="Arial"/>
                <w:sz w:val="18"/>
                <w:szCs w:val="18"/>
                <w:color w:val="auto"/>
                <w:w w:val="88"/>
              </w:rPr>
              <w:t>/</w:t>
            </w:r>
            <w:r>
              <w:rPr>
                <w:rFonts w:ascii="Arial" w:cs="Arial" w:eastAsia="Arial" w:hAnsi="Arial"/>
                <w:sz w:val="14"/>
                <w:szCs w:val="14"/>
                <w:color w:val="auto"/>
                <w:w w:val="88"/>
              </w:rPr>
              <w:t>3</w:t>
            </w:r>
            <w:r>
              <w:rPr>
                <w:rFonts w:ascii="Arial" w:cs="Arial" w:eastAsia="Arial" w:hAnsi="Arial"/>
                <w:sz w:val="18"/>
                <w:szCs w:val="18"/>
                <w:color w:val="auto"/>
                <w:w w:val="88"/>
              </w:rPr>
              <w:t>% of the outstanding Common Units voting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0"/>
              </w:rPr>
              <w:t>together as a single class. See "â€”Withdrawal or Removal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rPr>
              <w:t>our General Partner".</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Transfer of our general partner interest in us</w:t>
            </w: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88"/>
              </w:rPr>
              <w:t>Our general partner may transfer all, but not less than all, of 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3"/>
              </w:rPr>
              <w:t>general partner interest in us without a vote of our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2"/>
              </w:rPr>
              <w:t>unitholders or other limited partners to an affiliate or another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2"/>
              </w:rPr>
              <w:t>person in connection with its merger or consolidation with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7"/>
              </w:rPr>
              <w:t>into, or sale of all or substantially all of its assets to, such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7"/>
              </w:rPr>
              <w:t>person. The approval of a majority of the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1"/>
              </w:rPr>
              <w:t>excluding Common Units held by our general partner and 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3"/>
              </w:rPr>
              <w:t>affiliates, is required in other circumstances for a transfer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1"/>
              </w:rPr>
              <w:t>the general partner interest to a third party prior to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rPr>
              <w:t>2024. See "â€”Transfer of General Partner Interest".</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Transfer of incentive distribution rights</w:t>
            </w: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89"/>
              </w:rPr>
              <w:t>Except for transfers to an affiliate or another person as part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rPr>
              <w:t>a merger or consolidation with or into, or sale of all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87"/>
              </w:rPr>
              <w:t>substantially all of the assets to, such person, the approval of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0"/>
              </w:rPr>
              <w:t>majority of the Common Units, excluding Common Units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89"/>
              </w:rPr>
              <w:t>by our general partner and its affiliates, voting separately as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2"/>
              </w:rPr>
              <w:t>class, is required in most circumstances for a transfer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2"/>
              </w:rPr>
              <w:t>incentive distribution rights to a third party prior to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w w:val="98"/>
              </w:rPr>
              <w:t>2019. See "â€”Transfer of Incentive Distribution Rights".</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Transfer of ownership interests in our general partner</w:t>
            </w: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rPr>
              <w:t>No approval required at any time. See "â€”Transfer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rPr>
              <w:t>Ownership Interests in General Partner".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Holders of the Series A Preference Units generally have no voting rights. However, the consent of the holders of at least two-thirds of the outstanding Series A Preference Units, voting as a single class, is required prior to any amendment to the partnership agreement that would have a material adverse effect on the existing terms of the Series A Preference Units. In addition, unless we receive the affirmative vote or consent of the holders of at least two-thirds of the outstanding Series A Preference Units, voting as a class together with holders of any other Parity Securities (as defined in the partnership agreement) (if applicable), we may not (i) issue any Parity Securities if the cumulative distributions on Series A Preference Units are in arrears or (ii) create or issue any Senior Securities (as defined in the partnership agreement). Distributions payable on the Series A Preference Units will be considered to be in arrears for any quarterly period for which full cumulative distributions through the most recent distribution payment date have not been paid on all outstanding Series A Preference Units. In addition, in certain limited instances, the holders of Series A Preference Units will be entitled to</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elect one director to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Marshall Islands law. Our partnership agreement requires that any claims, suits, actions or proceedings:</w:t>
      </w:r>
    </w:p>
    <w:p>
      <w:pPr>
        <w:spacing w:after="0" w:line="248" w:lineRule="exact"/>
        <w:rPr>
          <w:sz w:val="20"/>
          <w:szCs w:val="20"/>
          <w:color w:val="auto"/>
        </w:rPr>
      </w:pPr>
    </w:p>
    <w:p>
      <w:pPr>
        <w:jc w:val="both"/>
        <w:ind w:left="1080" w:right="100" w:hanging="539"/>
        <w:spacing w:after="0" w:line="259"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ectPr>
          <w:pgSz w:w="11900" w:h="16838" w:orient="portrait"/>
          <w:cols w:equalWidth="0" w:num="1">
            <w:col w:w="11560"/>
          </w:cols>
          <w:pgMar w:left="160" w:top="51" w:right="179" w:bottom="1440" w:gutter="0" w:footer="0" w:header="0"/>
        </w:sect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brought in a derivative manner on our behalf;</w:t>
      </w:r>
    </w:p>
    <w:p>
      <w:pPr>
        <w:spacing w:after="0" w:line="23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limited partners;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asserting a claim arising pursuant to any provision of the Marshall Islands Act; 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asserting a claim governed by the internal affairs doctrine;</w:t>
      </w:r>
    </w:p>
    <w:p>
      <w:pPr>
        <w:spacing w:after="0" w:line="20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line="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Common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Common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ectPr>
          <w:pgSz w:w="11900" w:h="16838" w:orient="portrait"/>
          <w:cols w:equalWidth="0" w:num="1">
            <w:col w:w="11560"/>
          </w:cols>
          <w:pgMar w:left="160" w:top="51" w:right="179" w:bottom="1440" w:gutter="0" w:footer="0" w:header="0"/>
          <w:type w:val="continuous"/>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to remove or replace our general partner;</w:t>
      </w:r>
    </w:p>
    <w:p>
      <w:pPr>
        <w:spacing w:after="0" w:line="239"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to elect three (or, following the general partner's exercise of its right to transfer the power to elect a majority of our directors to the common unitholders, four) of our seven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to approve some amendments to our partnership agreement; 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take other action under our partnership agreement;</w:t>
      </w:r>
    </w:p>
    <w:p>
      <w:pPr>
        <w:spacing w:after="0" w:line="20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line="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73"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Preference Units.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20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intend to fund acquisitions through borrowings and the issuance of additional Common Units or other equity securities and the issuance of debt securities. Holders of any additional Series A Preference Units we issue will be entitled to share equally with the then- existing holders of Series A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or Series A Preference Units in our net assets and such securities may have priority over Common Units or Series A Preference Units for receipt of distributions.</w:t>
      </w:r>
    </w:p>
    <w:p>
      <w:pPr>
        <w:spacing w:after="0" w:line="169"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In accordance with Marshall Islands law and the provisions of our partnership agreement, we may also issue additional partnership interests that, as determined by our board of directors, have special voting or other rights to which the Common Units or the Series A Preference Units are not entitled.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A Preference Units. Our general partner and its affiliates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that existed immediately prior to each issuance. Other holders of Common Units will not have similar pre-emptive rights to acquire additional Common Units or other partnership interests.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Series A Preference Units must approve certain amendments as described under "â€”Voting Rights." Except as we describe below, an amendment must be approved by a Unit Majority.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5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approved by at least a majority of the type or class of limited partner interests so affected;</w:t>
      </w:r>
    </w:p>
    <w:p>
      <w:pPr>
        <w:spacing w:after="0" w:line="212" w:lineRule="exact"/>
        <w:rPr>
          <w:rFonts w:ascii="Arial" w:cs="Arial" w:eastAsia="Arial" w:hAnsi="Arial"/>
          <w:sz w:val="18"/>
          <w:szCs w:val="18"/>
          <w:color w:val="auto"/>
        </w:rPr>
      </w:pPr>
    </w:p>
    <w:p>
      <w:pPr>
        <w:jc w:val="both"/>
        <w:ind w:left="1080" w:right="120" w:hanging="532"/>
        <w:spacing w:after="0" w:line="33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(5) above can be amended upon the approval of the holders of at least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90% of the outstanding units voting together as a single class (including units owned by our general partner and its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board of directors may generally make amendments to our partnership agreement without the approval of any limited partner to reflect:</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38" w:lineRule="exact"/>
        <w:rPr>
          <w:rFonts w:ascii="Arial" w:cs="Arial" w:eastAsia="Arial" w:hAnsi="Arial"/>
          <w:sz w:val="18"/>
          <w:szCs w:val="18"/>
          <w:color w:val="auto"/>
        </w:rPr>
      </w:pPr>
    </w:p>
    <w:p>
      <w:pPr>
        <w:ind w:left="1080" w:right="680" w:hanging="532"/>
        <w:spacing w:after="0" w:line="331"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4"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223" w:lineRule="exact"/>
        <w:rPr>
          <w:rFonts w:ascii="Arial" w:cs="Arial" w:eastAsia="Arial" w:hAnsi="Arial"/>
          <w:sz w:val="18"/>
          <w:szCs w:val="18"/>
          <w:color w:val="auto"/>
        </w:rPr>
      </w:pPr>
    </w:p>
    <w:p>
      <w:pPr>
        <w:ind w:left="1080" w:right="20" w:hanging="532"/>
        <w:spacing w:after="0" w:line="369" w:lineRule="auto"/>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ectPr>
          <w:pgSz w:w="11900" w:h="16838" w:orient="portrait"/>
          <w:cols w:equalWidth="0" w:num="1">
            <w:col w:w="11480"/>
          </w:cols>
          <w:pgMar w:left="160" w:top="51" w:right="259" w:bottom="1440" w:gutter="0" w:footer="0" w:header="0"/>
        </w:sectPr>
      </w:pPr>
    </w:p>
    <w:p>
      <w:pPr>
        <w:spacing w:after="0" w:line="33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adjustments of the minimum quarterly distribution, first target distribution, second target distribution and third target distribution in connection with the reset of our incentive distribution rights;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implementation of the provisions relating to GasLog's right to reset the incentive distribution rights in exchange for Common Units;</w:t>
      </w:r>
    </w:p>
    <w:p>
      <w:pPr>
        <w:spacing w:after="0" w:line="2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200" w:lineRule="exact"/>
        <w:rPr>
          <w:sz w:val="20"/>
          <w:szCs w:val="20"/>
          <w:color w:val="auto"/>
        </w:rPr>
      </w:pPr>
    </w:p>
    <w:p>
      <w:pPr>
        <w:sectPr>
          <w:pgSz w:w="11900" w:h="16838" w:orient="portrait"/>
          <w:cols w:equalWidth="0" w:num="2">
            <w:col w:w="1340" w:space="280"/>
            <w:col w:w="9860"/>
          </w:cols>
          <w:pgMar w:left="160" w:top="51" w:right="259" w:bottom="1440" w:gutter="0" w:footer="0" w:header="0"/>
          <w:type w:val="continuous"/>
        </w:sectPr>
      </w:pPr>
    </w:p>
    <w:p>
      <w:pPr>
        <w:spacing w:after="0" w:line="255"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the partnership agreement;</w:t>
      </w:r>
    </w:p>
    <w:p>
      <w:pPr>
        <w:spacing w:after="0" w:line="286" w:lineRule="exact"/>
        <w:rPr>
          <w:rFonts w:ascii="Arial" w:cs="Arial" w:eastAsia="Arial" w:hAnsi="Arial"/>
          <w:sz w:val="15"/>
          <w:szCs w:val="15"/>
          <w:color w:val="auto"/>
        </w:rPr>
      </w:pPr>
    </w:p>
    <w:p>
      <w:pPr>
        <w:ind w:left="1080" w:right="7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or our general partner (subject to the limited approval rights of the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Series A Preference Units and the holders of other Parity Securities (if applicable)) if our board of directors determines that those amendments:</w:t>
      </w:r>
    </w:p>
    <w:p>
      <w:pPr>
        <w:spacing w:after="0" w:line="262"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do not adversely affect the rights of our limited partners (or any particular class of limited partners) or our general partner in any material respect;</w:t>
      </w:r>
    </w:p>
    <w:p>
      <w:pPr>
        <w:spacing w:after="0" w:line="275"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authority or statute;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212" w:lineRule="exact"/>
        <w:rPr>
          <w:rFonts w:ascii="Arial" w:cs="Arial" w:eastAsia="Arial" w:hAnsi="Arial"/>
          <w:sz w:val="18"/>
          <w:szCs w:val="18"/>
          <w:color w:val="auto"/>
        </w:rPr>
      </w:pPr>
    </w:p>
    <w:p>
      <w:pPr>
        <w:ind w:left="1080" w:right="9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Limited Partner Approval</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Our board of directors will not be required to obtain an opinion of counsel that an amendment will not result in a loss of limited liability to the limited partners if one of the amendments described above under "â€”Amendment of the Partnership Agreementâ€”No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16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privileges of any type or class or series of outstanding of limited partner interests (other than Series A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will require the approval of at least two-thirds of the outstanding Series A Preference Units.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Conversion or Other Disposition of Assets</w:t>
      </w:r>
    </w:p>
    <w:p>
      <w:pPr>
        <w:spacing w:after="0" w:line="231"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and a Unit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election of our general partner and our board of directors to dissolve us, if approved by the holders of units representing a Unit Majority;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any time there are no limited partners, unless we continue without dissolution in accordance with the Marshall Islands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liquidator may defer liquidation or distribution of our assets for a reasonable period or distribute assets to partners in kind if it determines that a sale would be impractical or would cause undue loss to our partners. In the event of any liquidation, dissolution or winding up of our affairs, whether voluntary or involuntary, holders of the Series A Preference Units will generally have the right to receive the liquidation preference of $25.00 per unit plus an amount equal to all accumulated and unpaid distributions thereon to the date of payment, whether or not declared, before any payments are made to holders of our Common Units or general partner units. A consolidation or merger of us with or into any other entity, individually or in a series of transactions, will not be deemed to be a liquidation, dissolution or winding up of our affairs.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some instances to sell or otherwise transfer all of its general partner interest in us without the approval of the unitholders. See "â€”Transfer of General Partner Interest" and "â€”Transfer of Incentive Distribution Rights".</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voting as separate classes,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"â€”Termination and Dissolution".</w:t>
      </w:r>
    </w:p>
    <w:p>
      <w:pPr>
        <w:spacing w:after="0" w:line="20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5"/>
          <w:szCs w:val="15"/>
          <w:color w:val="auto"/>
        </w:rPr>
        <w:t>Our general partner may not be removed unless that removal is approved by the vote of the holders of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outstanding Common Units, including units held by our general partner and its affiliates, voting together as a single class, and we receive an opinion of counsel regarding limited liability. The</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ownership of more than 33</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w:t>
      </w:r>
    </w:p>
    <w:p>
      <w:pPr>
        <w:spacing w:after="0" w:line="21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ectPr>
          <w:pgSz w:w="11900" w:h="16838" w:orient="portrait"/>
          <w:cols w:equalWidth="0" w:num="1">
            <w:col w:w="11560"/>
          </w:cols>
          <w:pgMar w:left="160" w:top="51" w:right="179" w:bottom="144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194"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right="20" w:firstLine="351"/>
        <w:spacing w:after="0" w:line="288"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78"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142"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Except for the transfer by our general partner of all, but not less than all, of its general partner interest in us to:</w:t>
      </w:r>
    </w:p>
    <w:p>
      <w:pPr>
        <w:sectPr>
          <w:pgSz w:w="11900" w:h="16838" w:orient="portrait"/>
          <w:cols w:equalWidth="0" w:num="1">
            <w:col w:w="11560"/>
          </w:cols>
          <w:pgMar w:left="160" w:top="51" w:right="17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an affiliate of our general partner (other than an individual); or</w:t>
      </w:r>
    </w:p>
    <w:p>
      <w:pPr>
        <w:spacing w:after="0" w:line="20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line="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w:t>
      </w:r>
    </w:p>
    <w:p>
      <w:pPr>
        <w:spacing w:after="0" w:line="186"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right="220" w:firstLine="351"/>
        <w:spacing w:after="0" w:line="256"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231"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 and Series A Preference Units</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By transfer of Common Units or Series A Preference Units in accordance with the partnership agreement, each transferee of Common Units or Series A Preference Units automatically is admitted as a limited partner with respect to the Common Units or Series A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19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represent that the transferee has the capacity, power and authority to become bound by the partnership agreement;</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agree to be bound by the terms and conditions of, and to have executed, the partnership agreement;</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grants power of attorney to officers of our general partner and any liquidator of us as specified in the partnership agreement; and</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give the consents and approvals contained in the partnership agreement.</w:t>
      </w:r>
    </w:p>
    <w:p>
      <w:pPr>
        <w:spacing w:after="0" w:line="239" w:lineRule="exact"/>
        <w:rPr>
          <w:sz w:val="20"/>
          <w:szCs w:val="20"/>
          <w:color w:val="auto"/>
        </w:rPr>
      </w:pPr>
    </w:p>
    <w:p>
      <w:pPr>
        <w:ind w:right="240" w:firstLine="348"/>
        <w:spacing w:after="0" w:line="331" w:lineRule="auto"/>
        <w:rPr>
          <w:sz w:val="20"/>
          <w:szCs w:val="20"/>
          <w:color w:val="auto"/>
        </w:rPr>
      </w:pPr>
      <w:r>
        <w:rPr>
          <w:rFonts w:ascii="Arial" w:cs="Arial" w:eastAsia="Arial" w:hAnsi="Arial"/>
          <w:sz w:val="16"/>
          <w:szCs w:val="16"/>
          <w:color w:val="auto"/>
        </w:rPr>
        <w:t>We are entitled to treat the nominee holder of a Common Unit or a Series A Preference Unit as the absolute owner. In that case, the beneficial holder's rights are limited solely to those that it has against the nominee holder as a result of any agreement between the beneficial owner and the nominee holder.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351"/>
        <w:spacing w:after="0" w:line="331" w:lineRule="auto"/>
        <w:rPr>
          <w:sz w:val="20"/>
          <w:szCs w:val="20"/>
          <w:color w:val="auto"/>
        </w:rPr>
      </w:pPr>
      <w:r>
        <w:rPr>
          <w:rFonts w:ascii="Arial" w:cs="Arial" w:eastAsia="Arial" w:hAnsi="Arial"/>
          <w:sz w:val="16"/>
          <w:szCs w:val="16"/>
          <w:color w:val="auto"/>
        </w:rPr>
        <w:t>Common Units and Series A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14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Until a Common Unit or a Series A Preference Unit has been transferred on our books, we and our transfer agent may treat the record holder of the unit as the absolute owner of such unit for all purposes, except as otherwise required by law or stock exchange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partnership agreement contains specific provisions that are intended to discourage a person or group from attempting to remove GasLog 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169"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186"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any existing arrearages in payment of the minimum quarterly distribution on the Common Units will be extinguished; and</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our general partner will have the right to convert its general partner interest into Common Units or to receive cash in exchange for that interest.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If at any time our general partner and its affiliates hold more than 80% of the then-issued and outstanding partnership interests of any class or series, except for the Series A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Common Units to be repurchased by it upon the exercise of this limited call right and has no fiduciary duty in determining whether to exercise this limited call right.</w:t>
      </w:r>
    </w:p>
    <w:p>
      <w:pPr>
        <w:spacing w:after="0" w:line="178"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As a result of the general partner's right to purchase outstanding partnership interests, a holder of partnership interests may have the holder's partnership interests (except for the Series A Preference Units) purchased at an undesirable time or price. The tax consequences to a unitholder of the exercise of this call right are the same as a sale by that unitholder of Common Units in the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As of September 29, 2017, our board of directors is comprised of seven persons. Our general partner has appointed four of our seven directors and the common unitholders elected the remaining three directors. Four of our directors meet the independence standards of the NYSE, and three of the four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194"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Under certain limited circumstances, holders of our Series A Preference Units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19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ectPr>
          <w:pgSz w:w="11900" w:h="16838" w:orient="portrait"/>
          <w:cols w:equalWidth="0" w:num="1">
            <w:col w:w="11540"/>
          </w:cols>
          <w:pgMar w:left="160" w:top="51" w:right="199" w:bottom="1440" w:gutter="0" w:footer="0" w:header="0"/>
        </w:sectPr>
      </w:pP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limited partner or limited partners making the nomination or nominations;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Common Units beneficially owned by the limited partner or limited partners;</w:t>
      </w:r>
    </w:p>
    <w:p>
      <w:pPr>
        <w:spacing w:after="0" w:line="239" w:lineRule="exact"/>
        <w:rPr>
          <w:sz w:val="20"/>
          <w:szCs w:val="20"/>
          <w:color w:val="auto"/>
        </w:rPr>
      </w:pPr>
    </w:p>
    <w:p>
      <w:pPr>
        <w:ind w:right="660"/>
        <w:spacing w:after="0" w:line="331" w:lineRule="auto"/>
        <w:rPr>
          <w:sz w:val="20"/>
          <w:szCs w:val="20"/>
          <w:color w:val="auto"/>
        </w:rPr>
      </w:pPr>
      <w:r>
        <w:rPr>
          <w:rFonts w:ascii="Arial" w:cs="Arial" w:eastAsia="Arial" w:hAnsi="Arial"/>
          <w:sz w:val="16"/>
          <w:szCs w:val="16"/>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written consent of the nominee(s) to serve as a member of our board of directors if so elected; 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certification that the nominee(s) qualify as elected board members.</w:t>
      </w:r>
    </w:p>
    <w:p>
      <w:pPr>
        <w:spacing w:after="0" w:line="200" w:lineRule="exact"/>
        <w:rPr>
          <w:sz w:val="20"/>
          <w:szCs w:val="20"/>
          <w:color w:val="auto"/>
        </w:rPr>
      </w:pPr>
    </w:p>
    <w:p>
      <w:pPr>
        <w:sectPr>
          <w:pgSz w:w="11900" w:h="16838" w:orient="portrait"/>
          <w:cols w:equalWidth="0" w:num="2">
            <w:col w:w="800" w:space="280"/>
            <w:col w:w="10460"/>
          </w:cols>
          <w:pgMar w:left="160" w:top="51" w:right="199" w:bottom="1440" w:gutter="0" w:footer="0" w:header="0"/>
          <w:type w:val="continuous"/>
        </w:sectPr>
      </w:pPr>
    </w:p>
    <w:p>
      <w:pPr>
        <w:spacing w:after="0" w:line="25" w:lineRule="exact"/>
        <w:rPr>
          <w:sz w:val="20"/>
          <w:szCs w:val="20"/>
          <w:color w:val="auto"/>
        </w:rPr>
      </w:pPr>
    </w:p>
    <w:p>
      <w:pPr>
        <w:ind w:right="160" w:firstLine="351"/>
        <w:spacing w:after="0" w:line="312" w:lineRule="auto"/>
        <w:rPr>
          <w:sz w:val="20"/>
          <w:szCs w:val="20"/>
          <w:color w:val="auto"/>
        </w:rPr>
      </w:pPr>
      <w:r>
        <w:rPr>
          <w:rFonts w:ascii="Arial" w:cs="Arial" w:eastAsia="Arial" w:hAnsi="Arial"/>
          <w:sz w:val="15"/>
          <w:szCs w:val="15"/>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 entitled to vote on such matter, although additional limited partners interests having special voting rights could be issued. Holders of the Series A Preference Units generally have no voting rights. However, holders of the Series A Preference Units have limited voting rights as described under "â€”Voting Rights".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194" w:lineRule="exact"/>
        <w:rPr>
          <w:sz w:val="20"/>
          <w:szCs w:val="20"/>
          <w:color w:val="auto"/>
        </w:rPr>
      </w:pPr>
    </w:p>
    <w:p>
      <w:pPr>
        <w:ind w:right="60" w:firstLine="348"/>
        <w:spacing w:after="0" w:line="302" w:lineRule="auto"/>
        <w:rPr>
          <w:sz w:val="20"/>
          <w:szCs w:val="20"/>
          <w:color w:val="auto"/>
        </w:rPr>
      </w:pPr>
      <w:r>
        <w:rPr>
          <w:rFonts w:ascii="Arial" w:cs="Arial" w:eastAsia="Arial" w:hAnsi="Arial"/>
          <w:sz w:val="15"/>
          <w:szCs w:val="15"/>
          <w:color w:val="auto"/>
        </w:rPr>
        <w:t>We hold a meeting of the limited partners every year to elect one or more members of our board of directors and to vote on any other matters that are properly brought before the meeting. Any action 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 person or</w:t>
      </w:r>
    </w:p>
    <w:p>
      <w:pPr>
        <w:spacing w:after="0" w:line="1" w:lineRule="exact"/>
        <w:rPr>
          <w:sz w:val="20"/>
          <w:szCs w:val="20"/>
          <w:color w:val="auto"/>
        </w:rPr>
      </w:pPr>
    </w:p>
    <w:p>
      <w:pPr>
        <w:ind w:right="360"/>
        <w:spacing w:after="0" w:line="221" w:lineRule="auto"/>
        <w:rPr>
          <w:sz w:val="20"/>
          <w:szCs w:val="20"/>
          <w:color w:val="auto"/>
        </w:rPr>
      </w:pPr>
      <w:r>
        <w:rPr>
          <w:rFonts w:ascii="Arial" w:cs="Arial" w:eastAsia="Arial" w:hAnsi="Arial"/>
          <w:sz w:val="18"/>
          <w:szCs w:val="18"/>
          <w:color w:val="auto"/>
        </w:rPr>
        <w:t>by proxy at meetings. The holders of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210"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Each record holder of a unit may vote according to the holder's percentage interest in us, although additional limited partner interests having special voting rights could be issued. See "â€”Issuance of Additional Interests". However, if at any time, any person or group owns beneficially more than 4.9% of any class of units then outstanding, except for Series A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177"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Common Units or Series A Preference Units under the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Except as described above under "â€”Limited Liability", the Common Units and Series A Preference Units will be fully paid, and unitholders will not be required to make additional contributions. By transfer of Common Units or Series A Preference Units in accordance with our partnership agreement, each transferee of units will be admitted as a limited partner with respect to the units transferred when such transfer and admission is reflected in our books and records.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person who is or was an officer, director, member, fiduciary or trustee of any entity described in (1), (2) or (3) above;</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fiduciary or trustee of another person at the request of our board of directors, our general partner or any departing general partner;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firstLine="341"/>
        <w:spacing w:after="0" w:line="331" w:lineRule="auto"/>
        <w:rPr>
          <w:sz w:val="20"/>
          <w:szCs w:val="20"/>
          <w:color w:val="auto"/>
        </w:rPr>
      </w:pPr>
      <w:r>
        <w:rPr>
          <w:rFonts w:ascii="Arial" w:cs="Arial" w:eastAsia="Arial" w:hAnsi="Arial"/>
          <w:sz w:val="16"/>
          <w:szCs w:val="16"/>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220" w:firstLine="351"/>
        <w:spacing w:after="0" w:line="331" w:lineRule="auto"/>
        <w:rPr>
          <w:sz w:val="20"/>
          <w:szCs w:val="20"/>
          <w:color w:val="auto"/>
        </w:rPr>
      </w:pPr>
      <w:r>
        <w:rPr>
          <w:rFonts w:ascii="Arial" w:cs="Arial" w:eastAsia="Arial" w:hAnsi="Arial"/>
          <w:sz w:val="16"/>
          <w:szCs w:val="16"/>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360" w:firstLine="348"/>
        <w:spacing w:after="0" w:line="331" w:lineRule="auto"/>
        <w:rPr>
          <w:sz w:val="20"/>
          <w:szCs w:val="20"/>
          <w:color w:val="auto"/>
        </w:rPr>
      </w:pPr>
      <w:r>
        <w:rPr>
          <w:rFonts w:ascii="Arial" w:cs="Arial" w:eastAsia="Arial" w:hAnsi="Arial"/>
          <w:sz w:val="16"/>
          <w:szCs w:val="16"/>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168"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and related amendments;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140" w:firstLine="351"/>
        <w:spacing w:after="0" w:line="331"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CASH DISTRIBUTION POLICY AND RESTRICTIONS ON DISTRIBUTIONS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cash distribution policy reflects a judgment that our unitholders will be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There is no guarantee that unitholders will receive quarterly distributions from us. Our distribution policy is subject to certain restrictions and may be changed at any time, including:</w:t>
      </w:r>
    </w:p>
    <w:p>
      <w:pPr>
        <w:sectPr>
          <w:pgSz w:w="11900" w:h="16838" w:orient="portrait"/>
          <w:cols w:equalWidth="0" w:num="1">
            <w:col w:w="11540"/>
          </w:cols>
          <w:pgMar w:left="160" w:top="51" w:right="199" w:bottom="144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22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will be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w:t>
      </w:r>
    </w:p>
    <w:p>
      <w:pPr>
        <w:spacing w:after="0" w:line="197" w:lineRule="exact"/>
        <w:rPr>
          <w:sz w:val="20"/>
          <w:szCs w:val="20"/>
          <w:color w:val="auto"/>
        </w:rPr>
      </w:pPr>
    </w:p>
    <w:p>
      <w:pPr>
        <w:sectPr>
          <w:pgSz w:w="11900" w:h="16838" w:orient="portrait"/>
          <w:cols w:equalWidth="0" w:num="2">
            <w:col w:w="800" w:space="280"/>
            <w:col w:w="10460"/>
          </w:cols>
          <w:pgMar w:left="160" w:top="51" w:right="19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unitholders.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owns approximately 26.1% of our</w:t>
      </w:r>
    </w:p>
    <w:p>
      <w:pPr>
        <w:spacing w:after="0" w:line="19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2">
            <w:col w:w="800" w:space="280"/>
            <w:col w:w="10460"/>
          </w:cols>
          <w:pgMar w:left="160" w:top="51" w:right="199" w:bottom="1440" w:gutter="0" w:footer="0" w:header="0"/>
          <w:type w:val="continuous"/>
        </w:sectPr>
      </w:pPr>
    </w:p>
    <w:bookmarkStart w:id="99" w:name="page100"/>
    <w:bookmarkEnd w:id="99"/>
    <w:p>
      <w:pPr>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Table of Contents</w:t>
        </w:r>
      </w:hyperlink>
    </w:p>
    <w:p>
      <w:pPr>
        <w:sectPr>
          <w:pgSz w:w="11900" w:h="16838" w:orient="portrait"/>
          <w:cols w:equalWidth="0" w:num="1">
            <w:col w:w="11480"/>
          </w:cols>
          <w:pgMar w:left="160" w:top="5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Common Units and indirectly 2.0% of our general partnership units outstanding as of September 29, 2017.</w:t>
      </w:r>
    </w:p>
    <w:p>
      <w:pPr>
        <w:spacing w:after="0" w:line="239" w:lineRule="exact"/>
        <w:rPr>
          <w:sz w:val="20"/>
          <w:szCs w:val="20"/>
          <w:color w:val="auto"/>
        </w:rPr>
      </w:pPr>
    </w:p>
    <w:p>
      <w:pPr>
        <w:ind w:right="500"/>
        <w:spacing w:after="0" w:line="331" w:lineRule="auto"/>
        <w:rPr>
          <w:sz w:val="20"/>
          <w:szCs w:val="20"/>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 Section 51 of the Marshall Islands Act, we may not make a distribution to you if the distribution would cause our liabilities to exceed the fair value of our assets.</w:t>
      </w:r>
    </w:p>
    <w:p>
      <w:pPr>
        <w:spacing w:after="0" w:line="199"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"Risk Factors" for a discussion of these factors.</w:t>
      </w:r>
    </w:p>
    <w:p>
      <w:pPr>
        <w:spacing w:after="0" w:line="142" w:lineRule="exact"/>
        <w:rPr>
          <w:sz w:val="20"/>
          <w:szCs w:val="20"/>
          <w:color w:val="auto"/>
        </w:rPr>
      </w:pPr>
    </w:p>
    <w:p>
      <w:pPr>
        <w:sectPr>
          <w:pgSz w:w="11900" w:h="16838" w:orient="portrait"/>
          <w:cols w:equalWidth="0" w:num="2">
            <w:col w:w="800" w:space="280"/>
            <w:col w:w="10400"/>
          </w:cols>
          <w:pgMar w:left="160" w:top="51" w:right="259" w:bottom="1440" w:gutter="0" w:footer="0" w:header="0"/>
          <w:type w:val="continuous"/>
        </w:sectPr>
      </w:pPr>
    </w:p>
    <w:p>
      <w:pPr>
        <w:jc w:val="both"/>
        <w:ind w:right="80" w:firstLine="351"/>
        <w:spacing w:after="0" w:line="25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Preference Unit Distributions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issued 5,750,000 of our Series A Preference Units on May 15, 2017. The Series A Preference Units are senior to all classes of our Common Units and general partner units. From and including May 15, 2017 to, but excluding, June 15, 2027, the distribution rate for the Series A Preference Units will be 8.625% per annum per $25.00 of liquidation preference per unit (equal to $2.15625 per annum per unit). From and including June 15, 2027, the distribution rate will be a floating rate equal to three-month LIBOR plus a spread of 6.31% per annum per $25.00 of liquidation preference per unit. Distributions on Series A Preference Units are cumulative from May 15, 2017 and will be payable on the 15th of March, June, September and December of each year, commencing on September 15, 2017, when, as and if declared by our board of directors out of legally available funds for such purpose. No distribution may be declared or paid or set apart for payment on any Common Units or general partner units unless full cumulative distributions have been or contemporaneously are being paid or provided for on all outstanding Series A Preference Units through the most recent distribution payment date. Holders of the Series A Preference Units will not be entitled to any distribution, whether payable in cash, property or units, in excess of full cumulative distributions.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348"/>
        <w:spacing w:after="0" w:line="331" w:lineRule="auto"/>
        <w:rPr>
          <w:sz w:val="20"/>
          <w:szCs w:val="20"/>
          <w:color w:val="auto"/>
        </w:rPr>
      </w:pPr>
      <w:r>
        <w:rPr>
          <w:rFonts w:ascii="Arial" w:cs="Arial" w:eastAsia="Arial" w:hAnsi="Arial"/>
          <w:sz w:val="16"/>
          <w:szCs w:val="16"/>
          <w:color w:val="auto"/>
        </w:rPr>
        <w:t>Within 45 days after the end of each quarter we will distribute all of our available cash (defined below) to unitholders of record on the applicable record date, subject to distributions with respect to Series A Preference Units as described under "â€”Series A Preference Unit Distributions".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Available Cash</w:t>
      </w:r>
    </w:p>
    <w:p>
      <w:pPr>
        <w:spacing w:after="0" w:line="225"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Available cash generally means, for each fiscal quarter, all cash on hand at the end of the quarter (including our proportionate share of cash on hand of any subsidiaries we do not wholly own):</w:t>
      </w:r>
    </w:p>
    <w:p>
      <w:pPr>
        <w:spacing w:after="0" w:line="186" w:lineRule="exact"/>
        <w:rPr>
          <w:sz w:val="20"/>
          <w:szCs w:val="20"/>
          <w:color w:val="auto"/>
        </w:rPr>
      </w:pPr>
    </w:p>
    <w:p>
      <w:pPr>
        <w:ind w:left="1080" w:right="120" w:hanging="539"/>
        <w:spacing w:after="0" w:line="268"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8"/>
          <w:szCs w:val="18"/>
          <w:i w:val="1"/>
          <w:iCs w:val="1"/>
          <w:color w:val="auto"/>
        </w:rPr>
        <w:t>less</w:t>
      </w:r>
      <w:r>
        <w:rPr>
          <w:rFonts w:ascii="Arial" w:cs="Arial" w:eastAsia="Arial" w:hAnsi="Arial"/>
          <w:sz w:val="18"/>
          <w:szCs w:val="18"/>
          <w:color w:val="auto"/>
        </w:rPr>
        <w:t>, the amount of cash reserves (including our proportionate share of cash reserves of any subsidiaries we do not wholly own) established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and our subsidiaries to:</w:t>
      </w:r>
    </w:p>
    <w:p>
      <w:pPr>
        <w:spacing w:after="0" w:line="200" w:lineRule="exact"/>
        <w:rPr>
          <w:sz w:val="20"/>
          <w:szCs w:val="20"/>
          <w:color w:val="auto"/>
        </w:rPr>
      </w:pPr>
    </w:p>
    <w:p>
      <w:pPr>
        <w:spacing w:after="0" w:line="215"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provide for the proper conduct of our business (including reserves for future capital expenditures and for our anticipated credit needs);</w:t>
      </w:r>
    </w:p>
    <w:p>
      <w:pPr>
        <w:spacing w:after="0" w:line="252"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comply with applicable law, any of our debt instruments or other agreements;</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type w:val="continuous"/>
        </w:sectPr>
      </w:pPr>
    </w:p>
    <w:bookmarkStart w:id="100" w:name="page101"/>
    <w:bookmarkEnd w:id="100"/>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â€¢</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â€¢</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provide funds for Series A Preference Unit distributions and Series A Preference Unit redemption payments; and/or</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provide funds for distributions to our unitholders and to our general partner for any one or more of the next four quarters (except to the extent establishing such reserves would cause us to not be able to distribute the minimum quarterly distribution (plus any arrearage) for such quarter);</w:t>
      </w:r>
    </w:p>
    <w:p>
      <w:pPr>
        <w:spacing w:after="0" w:line="200" w:lineRule="exact"/>
        <w:rPr>
          <w:sz w:val="20"/>
          <w:szCs w:val="20"/>
          <w:color w:val="auto"/>
        </w:rPr>
      </w:pPr>
    </w:p>
    <w:p>
      <w:pPr>
        <w:sectPr>
          <w:pgSz w:w="11900" w:h="16838" w:orient="portrait"/>
          <w:cols w:equalWidth="0" w:num="2">
            <w:col w:w="1340" w:space="280"/>
            <w:col w:w="9940"/>
          </w:cols>
          <w:pgMar w:left="160" w:top="51" w:right="179" w:bottom="1440" w:gutter="0" w:footer="0" w:header="0"/>
        </w:sectPr>
      </w:pPr>
    </w:p>
    <w:p>
      <w:pPr>
        <w:spacing w:after="0" w:line="210" w:lineRule="exact"/>
        <w:rPr>
          <w:sz w:val="20"/>
          <w:szCs w:val="20"/>
          <w:color w:val="auto"/>
        </w:rPr>
      </w:pPr>
    </w:p>
    <w:p>
      <w:pPr>
        <w:ind w:left="1080" w:hanging="539"/>
        <w:spacing w:after="0" w:line="294"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i w:val="1"/>
          <w:iCs w:val="1"/>
          <w:color w:val="auto"/>
        </w:rPr>
        <w:t>plus</w:t>
      </w:r>
      <w:r>
        <w:rPr>
          <w:rFonts w:ascii="Arial" w:cs="Arial" w:eastAsia="Arial" w:hAnsi="Arial"/>
          <w:sz w:val="16"/>
          <w:szCs w:val="16"/>
          <w:color w:val="auto"/>
        </w:rPr>
        <w:t>, all cash on hand (including our proportionate share of cash on hand of any subsidiaries we do not wholly own) on the date of determination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cash for the quarter resulting from (1) working capital borrowings made after the end of the quarter and (2) cash distributions received after the end of the quarter from any equity interest in any person (other than a subsidiary of us), which distributions are paid by such person in respect of operations conducted by such person during such quarter. Working capital borrowings are generally borrowings that are made under a revolving credit facility and in all cases are used solely for working capital purposes or to pay distributions to partners.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Intent to Distribute the Minimum Quarterly Distribution</w:t>
      </w:r>
    </w:p>
    <w:p>
      <w:pPr>
        <w:spacing w:after="0" w:line="225"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We intend to distribute to the holders of Common Units on a quarterly basis at least the minimum quarterly distribution of $0.375 per unit, or $1.50 per unit per year, to the extent we have sufficient cash on hand to pay the distribution after we establish cash reserves and pay fees and expenses.</w:t>
      </w:r>
    </w:p>
    <w:p>
      <w:pPr>
        <w:spacing w:after="0" w:line="14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There is no guarantee that we will pay the minimum quarterly distribution on the Common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We will be effectively prohibited from making any distributions to unitholders if it would cause an event of default, or an event of default is then existing, under our financing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80" w:firstLine="341"/>
        <w:spacing w:after="0" w:line="268" w:lineRule="auto"/>
        <w:rPr>
          <w:sz w:val="20"/>
          <w:szCs w:val="20"/>
          <w:color w:val="auto"/>
        </w:rPr>
      </w:pPr>
      <w:r>
        <w:rPr>
          <w:rFonts w:ascii="Arial" w:cs="Arial" w:eastAsia="Arial" w:hAnsi="Arial"/>
          <w:sz w:val="18"/>
          <w:szCs w:val="18"/>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Operating Surplus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surplus for any period generally means:</w:t>
      </w:r>
    </w:p>
    <w:p>
      <w:pPr>
        <w:sectPr>
          <w:pgSz w:w="11900" w:h="16838" w:orient="portrait"/>
          <w:cols w:equalWidth="0" w:num="1">
            <w:col w:w="11560"/>
          </w:cols>
          <w:pgMar w:left="160" w:top="51" w:right="179" w:bottom="1440" w:gutter="0" w:footer="0" w:header="0"/>
          <w:type w:val="continuous"/>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$19.0 million; </w:t>
      </w:r>
      <w:r>
        <w:rPr>
          <w:rFonts w:ascii="Arial" w:cs="Arial" w:eastAsia="Arial" w:hAnsi="Arial"/>
          <w:sz w:val="18"/>
          <w:szCs w:val="18"/>
          <w:i w:val="1"/>
          <w:iCs w:val="1"/>
          <w:color w:val="auto"/>
        </w:rPr>
        <w:t>plus</w:t>
      </w:r>
    </w:p>
    <w:p>
      <w:pPr>
        <w:spacing w:after="0" w:line="252"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 xml:space="preserve">all of our cash receipts (including our proportionate share of cash receipts of any subsidiaries we do not wholly own; provided, that cash receipts from the termination of an interest rate, currency or commodity hedge contract prior to its specified termination date will be included in operating surplus in equal quarterly installments over the remaining scheduled life of such hedge contract), excluding cash from (1) borrowings, other than working capital borrowings, (2) sales of equity and debt securities, (3) sales or other dispositions of assets outside the ordinary course of business, (4) capital contributions or (5) corporate reorganizations or restructurings; </w:t>
      </w:r>
      <w:r>
        <w:rPr>
          <w:rFonts w:ascii="Arial" w:cs="Arial" w:eastAsia="Arial" w:hAnsi="Arial"/>
          <w:sz w:val="16"/>
          <w:szCs w:val="16"/>
          <w:i w:val="1"/>
          <w:iCs w:val="1"/>
          <w:color w:val="auto"/>
        </w:rPr>
        <w:t>plus</w:t>
      </w:r>
    </w:p>
    <w:p>
      <w:pPr>
        <w:spacing w:after="0" w:line="169"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 xml:space="preserve">working capital borrowings (including our proportionate share of working capital borrowings for any subsidiaries we do not wholly own) made after the end of a quarter but before the date of determination of operating surplus for the quarter; </w:t>
      </w:r>
      <w:r>
        <w:rPr>
          <w:rFonts w:ascii="Arial" w:cs="Arial" w:eastAsia="Arial" w:hAnsi="Arial"/>
          <w:sz w:val="18"/>
          <w:szCs w:val="18"/>
          <w:i w:val="1"/>
          <w:iCs w:val="1"/>
          <w:color w:val="auto"/>
        </w:rPr>
        <w:t>plus</w:t>
      </w:r>
    </w:p>
    <w:p>
      <w:pPr>
        <w:spacing w:after="0" w:line="1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w:t>
      </w:r>
    </w:p>
    <w:p>
      <w:pPr>
        <w:spacing w:after="0" w:line="19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2">
            <w:col w:w="800" w:space="280"/>
            <w:col w:w="10480"/>
          </w:cols>
          <w:pgMar w:left="160" w:top="51" w:right="179" w:bottom="1440" w:gutter="0" w:footer="0" w:header="0"/>
          <w:type w:val="continuous"/>
        </w:sectPr>
      </w:pPr>
    </w:p>
    <w:bookmarkStart w:id="101" w:name="page102"/>
    <w:bookmarkEnd w:id="101"/>
    <w:p>
      <w:pPr>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Table of Contents</w:t>
        </w:r>
      </w:hyperlink>
    </w:p>
    <w:p>
      <w:pPr>
        <w:sectPr>
          <w:pgSz w:w="11900" w:h="16838" w:orient="portrait"/>
          <w:cols w:equalWidth="0" w:num="1">
            <w:col w:w="11560"/>
          </w:cols>
          <w:pgMar w:left="160" w:top="51" w:right="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120"/>
        <w:spacing w:after="0" w:line="331" w:lineRule="auto"/>
        <w:rPr>
          <w:sz w:val="20"/>
          <w:szCs w:val="20"/>
          <w:color w:val="auto"/>
        </w:rPr>
      </w:pPr>
      <w:r>
        <w:rPr>
          <w:rFonts w:ascii="Arial" w:cs="Arial" w:eastAsia="Arial" w:hAnsi="Arial"/>
          <w:sz w:val="16"/>
          <w:szCs w:val="16"/>
          <w:color w:val="auto"/>
        </w:rPr>
        <w:t xml:space="preserve">case, to finance all or any portion of the construction, replacement or improvement of a capital asset (such as a vessel) in respect of the period from such financing until the earlier to occur of the date the capital asset is put into service or the date that it is abandoned or disposed of; </w:t>
      </w:r>
      <w:r>
        <w:rPr>
          <w:rFonts w:ascii="Arial" w:cs="Arial" w:eastAsia="Arial" w:hAnsi="Arial"/>
          <w:sz w:val="16"/>
          <w:szCs w:val="16"/>
          <w:i w:val="1"/>
          <w:iCs w:val="1"/>
          <w:color w:val="auto"/>
        </w:rPr>
        <w:t>plus</w:t>
      </w:r>
    </w:p>
    <w:p>
      <w:pPr>
        <w:spacing w:after="0" w:line="15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pay the construction period interest on debt incurred (including periodic net payments under related interest rate swap agreements), or to pay construction period distributions on equity issued, to finance the construction projects described in the immediately preceding bullet; </w:t>
      </w:r>
      <w:r>
        <w:rPr>
          <w:rFonts w:ascii="Arial" w:cs="Arial" w:eastAsia="Arial" w:hAnsi="Arial"/>
          <w:sz w:val="16"/>
          <w:szCs w:val="16"/>
          <w:i w:val="1"/>
          <w:iCs w:val="1"/>
          <w:color w:val="auto"/>
        </w:rPr>
        <w:t>less</w:t>
      </w:r>
    </w:p>
    <w:p>
      <w:pPr>
        <w:spacing w:after="0" w:line="1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 xml:space="preserve">all of our "operating expenditures" (which includes estimated maintenance and replacement capital expenditures and is further described below) (including our proportionate share of operating expenditures by any subsidiaries we do not wholly own); </w:t>
      </w:r>
      <w:r>
        <w:rPr>
          <w:rFonts w:ascii="Arial" w:cs="Arial" w:eastAsia="Arial" w:hAnsi="Arial"/>
          <w:sz w:val="18"/>
          <w:szCs w:val="18"/>
          <w:i w:val="1"/>
          <w:iCs w:val="1"/>
          <w:color w:val="auto"/>
        </w:rPr>
        <w:t>less</w:t>
      </w:r>
    </w:p>
    <w:p>
      <w:pPr>
        <w:spacing w:after="0" w:line="1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amount of cash reserves (including our proportionate share of cash reserves for any subsidiaries we do not wholly own) established by our board of directors to provide funds for future operating expenditures; </w:t>
      </w:r>
      <w:r>
        <w:rPr>
          <w:rFonts w:ascii="Arial" w:cs="Arial" w:eastAsia="Arial" w:hAnsi="Arial"/>
          <w:sz w:val="18"/>
          <w:szCs w:val="18"/>
          <w:i w:val="1"/>
          <w:iCs w:val="1"/>
          <w:color w:val="auto"/>
        </w:rPr>
        <w:t>less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any cash loss realized on dispositions of assets acquired using investment capital expenditures; </w:t>
      </w:r>
      <w:r>
        <w:rPr>
          <w:rFonts w:ascii="Arial" w:cs="Arial" w:eastAsia="Arial" w:hAnsi="Arial"/>
          <w:sz w:val="18"/>
          <w:szCs w:val="18"/>
          <w:i w:val="1"/>
          <w:iCs w:val="1"/>
          <w:color w:val="auto"/>
        </w:rPr>
        <w:t>less</w:t>
      </w:r>
    </w:p>
    <w:p>
      <w:pPr>
        <w:spacing w:after="0" w:line="25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all working capital borrowings (including our proportionate share of working capital borrowings by any subsidiaries we do not wholly own) not repaid within twelve months after having been incurred.</w:t>
      </w:r>
    </w:p>
    <w:p>
      <w:pPr>
        <w:spacing w:after="0" w:line="186"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jc w:val="both"/>
        <w:ind w:right="280" w:firstLine="351"/>
        <w:spacing w:after="0" w:line="306" w:lineRule="auto"/>
        <w:rPr>
          <w:sz w:val="20"/>
          <w:szCs w:val="20"/>
          <w:color w:val="auto"/>
        </w:rPr>
      </w:pPr>
      <w:r>
        <w:rPr>
          <w:rFonts w:ascii="Arial" w:cs="Arial" w:eastAsia="Arial" w:hAnsi="Arial"/>
          <w:sz w:val="16"/>
          <w:szCs w:val="16"/>
          <w:color w:val="auto"/>
        </w:rPr>
        <w:t>If a working capital borrowing, which increases operating surplus, is not repaid during the twelve-month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160"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described above, operating surplus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we receive from non-operating sources.</w:t>
      </w:r>
    </w:p>
    <w:p>
      <w:pPr>
        <w:spacing w:after="0" w:line="169"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Operating expenditures generally means all of our cash expenditures, including but not limited to taxes, employee and director compensation, reimbursement of expenses to our general partner, repayment of working capital borrowings, debt service payments and payments made under any interest rate, currency or commodity hedge contracts (provided that payments made in connection with the termination of any hedge contract prior to the expiration of its specified termination date be included in operating expenditures in equal quarterly installments over the remaining scheduled life of such hedge contract) and Series A Preference Unit distributions, provided that operating expenditures will not include:</w:t>
      </w:r>
    </w:p>
    <w:p>
      <w:pPr>
        <w:sectPr>
          <w:pgSz w:w="11900" w:h="16838" w:orient="portrait"/>
          <w:cols w:equalWidth="0" w:num="1">
            <w:col w:w="11560"/>
          </w:cols>
          <w:pgMar w:left="160" w:top="51" w:right="179" w:bottom="1440" w:gutter="0" w:footer="0" w:header="0"/>
          <w:type w:val="continuous"/>
        </w:sectPr>
      </w:pPr>
    </w:p>
    <w:p>
      <w:pPr>
        <w:spacing w:after="0" w:line="16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deemed repayments of working capital borrowings deducted from operating surplus pursuant to the last bullet point of the definition of operating surplus above when such repayment actually occurs;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payments (including prepayments and payment penalties) of principal of and premium on indebtedness, other than working capital borrowings;</w:t>
      </w:r>
    </w:p>
    <w:p>
      <w:pPr>
        <w:spacing w:after="0" w:line="24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2">
            <w:col w:w="800" w:space="280"/>
            <w:col w:w="10480"/>
          </w:cols>
          <w:pgMar w:left="160" w:top="51" w:right="17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hanging="539"/>
        <w:spacing w:after="0" w:line="268"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8"/>
          <w:szCs w:val="18"/>
          <w:color w:val="auto"/>
        </w:rPr>
        <w:t>expansion capital expenditures, investment capital expenditures or actual maintenance and replacement capital expenditures (which are discussed in further detail under "â€”Capital Expenditures" below);</w:t>
      </w:r>
    </w:p>
    <w:p>
      <w:pPr>
        <w:sectPr>
          <w:pgSz w:w="11900" w:h="16838" w:orient="portrait"/>
          <w:cols w:equalWidth="0" w:num="1">
            <w:col w:w="11520"/>
          </w:cols>
          <w:pgMar w:left="160" w:top="51" w:right="219" w:bottom="1440" w:gutter="0" w:footer="0" w:header="0"/>
        </w:sectPr>
      </w:pPr>
    </w:p>
    <w:p>
      <w:pPr>
        <w:spacing w:after="0" w:line="19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payment of transaction expenses (including taxes) relating to interim capital transactions;</w:t>
      </w:r>
    </w:p>
    <w:p>
      <w:pPr>
        <w:spacing w:after="0" w:line="23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Series A Preference Unit redemption payments and payments made to holders of Series A Preference Units to purchase or otherwise acquire preference units; or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distributions to partners.</w:t>
      </w:r>
    </w:p>
    <w:p>
      <w:pPr>
        <w:spacing w:after="0" w:line="200" w:lineRule="exact"/>
        <w:rPr>
          <w:sz w:val="20"/>
          <w:szCs w:val="20"/>
          <w:color w:val="auto"/>
        </w:rPr>
      </w:pPr>
    </w:p>
    <w:p>
      <w:pPr>
        <w:sectPr>
          <w:pgSz w:w="11900" w:h="16838" w:orient="portrait"/>
          <w:cols w:equalWidth="0" w:num="2">
            <w:col w:w="800" w:space="280"/>
            <w:col w:w="10440"/>
          </w:cols>
          <w:pgMar w:left="160" w:top="51" w:right="2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Adjusted Operating Surplus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Adjusted operating surplus for any period generally means:</w:t>
      </w:r>
    </w:p>
    <w:p>
      <w:pPr>
        <w:sectPr>
          <w:pgSz w:w="11900" w:h="16838" w:orient="portrait"/>
          <w:cols w:equalWidth="0" w:num="1">
            <w:col w:w="11520"/>
          </w:cols>
          <w:pgMar w:left="160" w:top="51" w:right="219" w:bottom="1440" w:gutter="0" w:footer="0" w:header="0"/>
          <w:type w:val="continuous"/>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operating surplus generated with respect to that period (excluding any amounts attributable to the item described in the first bullet point under "â€”Operating Surplus and Capital Surplusâ€”Definition of Operating Surplus" above); </w:t>
      </w:r>
      <w:r>
        <w:rPr>
          <w:rFonts w:ascii="Arial" w:cs="Arial" w:eastAsia="Arial" w:hAnsi="Arial"/>
          <w:sz w:val="18"/>
          <w:szCs w:val="18"/>
          <w:i w:val="1"/>
          <w:iCs w:val="1"/>
          <w:color w:val="auto"/>
        </w:rPr>
        <w:t>less</w:t>
      </w:r>
    </w:p>
    <w:p>
      <w:pPr>
        <w:spacing w:after="0" w:line="1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the amount of any net increase in working capital borrowings (including our proportionate share of any changes in working capital borrowings of any subsidiaries we do not wholly own) with respect to that period; </w:t>
      </w:r>
      <w:r>
        <w:rPr>
          <w:rFonts w:ascii="Arial" w:cs="Arial" w:eastAsia="Arial" w:hAnsi="Arial"/>
          <w:sz w:val="18"/>
          <w:szCs w:val="18"/>
          <w:i w:val="1"/>
          <w:iCs w:val="1"/>
          <w:color w:val="auto"/>
        </w:rPr>
        <w:t>less</w:t>
      </w:r>
    </w:p>
    <w:p>
      <w:pPr>
        <w:spacing w:after="0" w:line="19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the amount of any net reduction in cash reserves for operating expenditures (including our proportionate share of cash reserves of any subsidiaries we do not wholly own) over that period not relating to an operating expenditure made during that period; </w:t>
      </w:r>
      <w:r>
        <w:rPr>
          <w:rFonts w:ascii="Arial" w:cs="Arial" w:eastAsia="Arial" w:hAnsi="Arial"/>
          <w:sz w:val="18"/>
          <w:szCs w:val="18"/>
          <w:i w:val="1"/>
          <w:iCs w:val="1"/>
          <w:color w:val="auto"/>
        </w:rPr>
        <w:t>plus</w:t>
      </w:r>
    </w:p>
    <w:p>
      <w:pPr>
        <w:spacing w:after="0" w:line="2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the amount of any net decrease in working capital borrowings (including our proportionate share of any changes in working capital borrowings of any subsidiaries we do not wholly own) with respect to that period; </w:t>
      </w:r>
      <w:r>
        <w:rPr>
          <w:rFonts w:ascii="Arial" w:cs="Arial" w:eastAsia="Arial" w:hAnsi="Arial"/>
          <w:sz w:val="18"/>
          <w:szCs w:val="18"/>
          <w:i w:val="1"/>
          <w:iCs w:val="1"/>
          <w:color w:val="auto"/>
        </w:rPr>
        <w:t>plus</w:t>
      </w:r>
    </w:p>
    <w:p>
      <w:pPr>
        <w:spacing w:after="0" w:line="199"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color w:val="auto"/>
        </w:rPr>
        <w:t xml:space="preserve">the amount of any net increase in cash reserves for operating expenditures (including our proportionate share of cash reserves of any subsidiaries we do not wholly own) over that period required by any debt instrument for the repayment of principal, interest or premium; </w:t>
      </w:r>
      <w:r>
        <w:rPr>
          <w:rFonts w:ascii="Arial" w:cs="Arial" w:eastAsia="Arial" w:hAnsi="Arial"/>
          <w:sz w:val="16"/>
          <w:szCs w:val="16"/>
          <w:i w:val="1"/>
          <w:iCs w:val="1"/>
          <w:color w:val="auto"/>
        </w:rPr>
        <w:t>plus</w:t>
      </w:r>
    </w:p>
    <w:p>
      <w:pPr>
        <w:spacing w:after="0" w:line="154" w:lineRule="exact"/>
        <w:rPr>
          <w:sz w:val="20"/>
          <w:szCs w:val="20"/>
          <w:color w:val="auto"/>
        </w:rPr>
      </w:pPr>
    </w:p>
    <w:p>
      <w:pPr>
        <w:ind w:right="360"/>
        <w:spacing w:after="0" w:line="331" w:lineRule="auto"/>
        <w:rPr>
          <w:sz w:val="20"/>
          <w:szCs w:val="20"/>
          <w:color w:val="auto"/>
        </w:rPr>
      </w:pPr>
      <w:r>
        <w:rPr>
          <w:rFonts w:ascii="Arial" w:cs="Arial" w:eastAsia="Arial" w:hAnsi="Arial"/>
          <w:sz w:val="16"/>
          <w:szCs w:val="16"/>
          <w:color w:val="auto"/>
        </w:rPr>
        <w:t>the amount of any net decrease made in subsequent periods to cash reserves for operating expenditures initially established with respect to such period to the extent such decrease results in a reduction in adjusted operating surplus in subsequent periods.</w:t>
      </w:r>
    </w:p>
    <w:p>
      <w:pPr>
        <w:spacing w:after="0" w:line="141" w:lineRule="exact"/>
        <w:rPr>
          <w:sz w:val="20"/>
          <w:szCs w:val="20"/>
          <w:color w:val="auto"/>
        </w:rPr>
      </w:pPr>
    </w:p>
    <w:p>
      <w:pPr>
        <w:sectPr>
          <w:pgSz w:w="11900" w:h="16838" w:orient="portrait"/>
          <w:cols w:equalWidth="0" w:num="2">
            <w:col w:w="800" w:space="280"/>
            <w:col w:w="10440"/>
          </w:cols>
          <w:pgMar w:left="160" w:top="51" w:right="219" w:bottom="1440" w:gutter="0" w:footer="0" w:header="0"/>
          <w:type w:val="continuous"/>
        </w:sectPr>
      </w:pPr>
    </w:p>
    <w:p>
      <w:pPr>
        <w:ind w:right="80" w:firstLine="341"/>
        <w:spacing w:after="0" w:line="268" w:lineRule="auto"/>
        <w:rPr>
          <w:sz w:val="20"/>
          <w:szCs w:val="20"/>
          <w:color w:val="auto"/>
        </w:rPr>
      </w:pPr>
      <w:r>
        <w:rPr>
          <w:rFonts w:ascii="Arial" w:cs="Arial" w:eastAsia="Arial" w:hAnsi="Arial"/>
          <w:sz w:val="18"/>
          <w:szCs w:val="18"/>
          <w:color w:val="auto"/>
        </w:rPr>
        <w:t>Adjusted operating surplus is intended to reflect the cash generated from operations during a particular period and therefore excludes net increases in working capital borrowings and net drawdowns of reserves of cash generated in prior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purposes of determining operating surplus, capital expenditures are classified as either maintenance and replacement capital expenditures, expansion capital expenditures or investment capital expenditures. Maintenance and replacement capital expenditures are those capital expenditures required to maintain, over the long-term, the operating capacity of or the revenue generated by our capital assets.</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Expansion capital expenditures are those capital expenditures that increase the operating capacity of or the revenue generated by our capital assets. To the extent, however, that capital expenditures associated with acquiring a new vessel or improving an existing vessel increase the revenues or the operating capacity of our fleet, those capital expenditures would be classified as expansion capital expenditures.</w:t>
      </w:r>
    </w:p>
    <w:p>
      <w:pPr>
        <w:spacing w:after="0" w:line="194" w:lineRule="exact"/>
        <w:rPr>
          <w:sz w:val="20"/>
          <w:szCs w:val="20"/>
          <w:color w:val="auto"/>
        </w:rPr>
      </w:pPr>
    </w:p>
    <w:p>
      <w:pPr>
        <w:ind w:right="580" w:firstLine="351"/>
        <w:spacing w:after="0" w:line="306" w:lineRule="auto"/>
        <w:rPr>
          <w:sz w:val="20"/>
          <w:szCs w:val="20"/>
          <w:color w:val="auto"/>
        </w:rPr>
      </w:pPr>
      <w:r>
        <w:rPr>
          <w:rFonts w:ascii="Arial" w:cs="Arial" w:eastAsia="Arial" w:hAnsi="Arial"/>
          <w:sz w:val="16"/>
          <w:szCs w:val="16"/>
          <w:color w:val="auto"/>
        </w:rPr>
        <w:t>Investment capital expenditures are those capital expenditures that are neither maintenance and replacement capital expenditures nor expansion capital expenditures. Investment capital expenditures largely will consist of capital expenditures made for investment purposes. Examples of investment capital expenditures include traditional capital expenditures for investment purposes, such as purchases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of equity securities, as well as other capital expenditures that might be made in lieu of such traditional investment capital expenditures, such as the acquisition of a capital asset for investment purposes.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(including the amount of any incremental distributions made to the holders of our incentive distribution rights) to finance the acquisition or construction of a replacement vessel and paid in respect of the construction period. We define construction period as the period beginning on the date that we enter into a binding acquisition or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(including the amount of any incremental distributions made to the holders of our incentive distribution rights) will also be considered maintenance and replacement capital expenditures.</w:t>
      </w:r>
    </w:p>
    <w:p>
      <w:pPr>
        <w:spacing w:after="0" w:line="178"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Because our maintenance and replacement capital expenditures can be very large and vary significantly in timing, the amount of our actual maintenance and replacement capital expenditures may differ substantially from period to period. In order to avoid these fluctuations having a similar effect on operating surplus, adjusted operating surplus and available cash for distribution to our unitholders, our partnership agreement will require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our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will be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will be prospective only. For a discussion of the amounts we have allocated toward estimated maintenance and replacement capital expenditures, see "Our Cash Distribution Policy and Restrictions on Distributions".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use of estimated maintenance and replacement capital expenditures in calculating operating surplus will have the following effects:</w:t>
      </w:r>
    </w:p>
    <w:p>
      <w:pPr>
        <w:sectPr>
          <w:pgSz w:w="11900" w:h="16838" w:orient="portrait"/>
          <w:cols w:equalWidth="0" w:num="1">
            <w:col w:w="11560"/>
          </w:cols>
          <w:pgMar w:left="160" w:top="51" w:right="17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520"/>
        <w:spacing w:after="0" w:line="331" w:lineRule="auto"/>
        <w:rPr>
          <w:sz w:val="20"/>
          <w:szCs w:val="20"/>
          <w:color w:val="auto"/>
        </w:rPr>
      </w:pPr>
      <w:r>
        <w:rPr>
          <w:rFonts w:ascii="Arial" w:cs="Arial" w:eastAsia="Arial" w:hAnsi="Arial"/>
          <w:sz w:val="16"/>
          <w:szCs w:val="16"/>
          <w:color w:val="auto"/>
        </w:rPr>
        <w:t>it will reduce the risk that actual maintenance and replacement capital expenditures in any one quarter will be large enough to make operating surplus less than the minimum quarterly distribution to be paid on all the units for that quarter and subsequent quarters;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it may reduce the need for us to borrow to pay distributions;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it will be more difficult for us to raise our distribution above the minimum quarterly distribution and pay incentive distributions to GasLog; and</w:t>
      </w:r>
    </w:p>
    <w:p>
      <w:pPr>
        <w:spacing w:after="0" w:line="2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it will reduce the likelihood that a large maintenance and replacement capital expenditure in a period will prevent GasLog from being able to convert some or all of its subordinated units into Common Units since the effect of an estimate is to spread the expected expense over several periods, mitigating the effect of the actual payment of the expenditure on any single period.</w:t>
      </w:r>
    </w:p>
    <w:p>
      <w:pPr>
        <w:spacing w:after="0" w:line="194"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Definition of Capital Surplus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Capital surplus generally will be generated only by:</w:t>
      </w:r>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borrowings other than working capital borrowings;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34187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104" w:name="page105"/>
    <w:bookmarkEnd w:id="104"/>
    <w:p>
      <w:pPr>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Table of Contents</w:t>
        </w:r>
      </w:hyperlink>
    </w:p>
    <w:p>
      <w:pPr>
        <w:sectPr>
          <w:pgSz w:w="11900" w:h="16838" w:orient="portrait"/>
          <w:cols w:equalWidth="0" w:num="1">
            <w:col w:w="11560"/>
          </w:cols>
          <w:pgMar w:left="160" w:top="51" w:right="17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sales of debt and equity securities; and</w:t>
      </w:r>
    </w:p>
    <w:p>
      <w:pPr>
        <w:spacing w:after="0" w:line="20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line="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186"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Characterization of Cash Distributions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does not reflect actual cash on hand that is available for distribution to our unitholders. For example, it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We do not anticipate that we will make any distributions from capital surplus.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 From Operating Surplus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will make distributions of available cash from operating surplus in the following manner, subject to distributions with respect to Series A Preference Units as described under "â€”Series A Preference Unit Distributions":</w:t>
      </w:r>
    </w:p>
    <w:p>
      <w:pPr>
        <w:spacing w:after="0" w:line="186" w:lineRule="exact"/>
        <w:rPr>
          <w:sz w:val="20"/>
          <w:szCs w:val="20"/>
          <w:color w:val="auto"/>
        </w:rPr>
      </w:pPr>
    </w:p>
    <w:p>
      <w:pPr>
        <w:ind w:left="1080" w:right="240" w:hanging="539"/>
        <w:spacing w:after="0" w:line="268"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unit an amount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minimum quarterly distribution for that quarter; and</w:t>
      </w:r>
    </w:p>
    <w:p>
      <w:pPr>
        <w:spacing w:after="0" w:line="19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i w:val="1"/>
          <w:iCs w:val="1"/>
          <w:color w:val="auto"/>
        </w:rPr>
        <w:t>thereafter</w:t>
      </w:r>
      <w:r>
        <w:rPr>
          <w:rFonts w:ascii="Arial" w:cs="Arial" w:eastAsia="Arial" w:hAnsi="Arial"/>
          <w:sz w:val="16"/>
          <w:szCs w:val="16"/>
          <w:color w:val="auto"/>
        </w:rPr>
        <w:t>, in the manner described in "â€”General Partner Interest" and "â€”Incentive Distribution Rights" below.</w:t>
      </w:r>
    </w:p>
    <w:p>
      <w:pPr>
        <w:spacing w:after="0" w:line="239"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units. Our general partner's 2.0% interest, and the percentage of our cash distributions to which it is entitled, will be proportionately reduced if we issue additional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GasLog will hold the incentive distribution rights following completion of the offering. The incentive distribution rights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2019. Any transfer by GasLog of the incentive distribution rights would not change the percentage allocations of quarterly distributions with respect to such rights.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9940"/>
        <w:spacing w:after="0"/>
        <w:rPr>
          <w:sz w:val="20"/>
          <w:szCs w:val="20"/>
          <w:color w:val="auto"/>
        </w:rPr>
      </w:pPr>
      <w:r>
        <w:rPr>
          <w:rFonts w:ascii="Arial" w:cs="Arial" w:eastAsia="Arial" w:hAnsi="Arial"/>
          <w:sz w:val="18"/>
          <w:szCs w:val="18"/>
          <w:color w:val="auto"/>
        </w:rPr>
        <w:t>If for any quarter:</w:t>
      </w:r>
    </w:p>
    <w:p>
      <w:pPr>
        <w:sectPr>
          <w:pgSz w:w="11900" w:h="16838" w:orient="portrait"/>
          <w:cols w:equalWidth="0" w:num="1">
            <w:col w:w="11560"/>
          </w:cols>
          <w:pgMar w:left="160" w:top="51" w:right="17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have distributed available cash from operating surplus to the common unitholders in an amount equal to the minimum quarterly distribution; and</w:t>
      </w:r>
    </w:p>
    <w:p>
      <w:pPr>
        <w:spacing w:after="0" w:line="2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distributed available cash from operating surplus on outstanding Common Units in an amount necessary to eliminate any cumulative arrearages in payment of the minimum quarterly distribution; then, we will distribute any additional available cash from operating surplus for that quarter among the unitholders and our general partner in the following manner:</w:t>
      </w:r>
    </w:p>
    <w:p>
      <w:pPr>
        <w:spacing w:after="0" w:line="194"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each unitholder receives a total of $0.43125 per unit for that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(the "first target distribution");</w:t>
      </w:r>
    </w:p>
    <w:p>
      <w:pPr>
        <w:spacing w:after="0" w:line="199" w:lineRule="exact"/>
        <w:rPr>
          <w:sz w:val="20"/>
          <w:szCs w:val="20"/>
          <w:color w:val="auto"/>
        </w:rPr>
      </w:pPr>
    </w:p>
    <w:p>
      <w:pPr>
        <w:ind w:right="320"/>
        <w:spacing w:after="0" w:line="331" w:lineRule="auto"/>
        <w:rPr>
          <w:sz w:val="20"/>
          <w:szCs w:val="20"/>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85.0% to the common unitholders, pro rata, 2.0% to our general partner and 13.0%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 total of $0.46875 per unit for that quarter (the "second target distribution");</w:t>
      </w:r>
    </w:p>
    <w:p>
      <w:pPr>
        <w:spacing w:after="0" w:line="168" w:lineRule="exact"/>
        <w:rPr>
          <w:sz w:val="20"/>
          <w:szCs w:val="20"/>
          <w:color w:val="auto"/>
        </w:rPr>
      </w:pPr>
    </w:p>
    <w:p>
      <w:pPr>
        <w:ind w:right="120"/>
        <w:spacing w:after="0" w:line="331" w:lineRule="auto"/>
        <w:rPr>
          <w:sz w:val="20"/>
          <w:szCs w:val="20"/>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75.0% to the common unitholders, pro rata, 2.0% to our general partner and 23.0% to the holders of the incentive distribution rights, pro rata,</w:t>
      </w:r>
      <w:r>
        <w:rPr>
          <w:rFonts w:ascii="Arial" w:cs="Arial" w:eastAsia="Arial" w:hAnsi="Arial"/>
          <w:sz w:val="16"/>
          <w:szCs w:val="16"/>
          <w:i w:val="1"/>
          <w:iCs w:val="1"/>
          <w:color w:val="auto"/>
        </w:rPr>
        <w:t xml:space="preserve"> </w:t>
      </w:r>
      <w:r>
        <w:rPr>
          <w:rFonts w:ascii="Arial" w:cs="Arial" w:eastAsia="Arial" w:hAnsi="Arial"/>
          <w:sz w:val="16"/>
          <w:szCs w:val="16"/>
          <w:color w:val="auto"/>
        </w:rPr>
        <w:t>until each unitholder receives a total of $0.5625 per unit for that quarter (the "third target distribution"); and</w:t>
      </w:r>
    </w:p>
    <w:p>
      <w:pPr>
        <w:spacing w:after="0" w:line="15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the common unitholders, pro rata, 2.0% to our general partner and 48.0% to the holders of the incentive distribution rights, pro</w:t>
      </w:r>
      <w:r>
        <w:rPr>
          <w:rFonts w:ascii="Arial" w:cs="Arial" w:eastAsia="Arial" w:hAnsi="Arial"/>
          <w:sz w:val="18"/>
          <w:szCs w:val="18"/>
          <w:i w:val="1"/>
          <w:iCs w:val="1"/>
          <w:color w:val="auto"/>
        </w:rPr>
        <w:t xml:space="preserve"> </w:t>
      </w:r>
      <w:r>
        <w:rPr>
          <w:rFonts w:ascii="Arial" w:cs="Arial" w:eastAsia="Arial" w:hAnsi="Arial"/>
          <w:sz w:val="18"/>
          <w:szCs w:val="18"/>
          <w:color w:val="auto"/>
        </w:rPr>
        <w:t>rata.</w:t>
      </w:r>
    </w:p>
    <w:p>
      <w:pPr>
        <w:spacing w:after="0" w:line="186"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ind w:right="260" w:firstLine="351"/>
        <w:spacing w:after="0" w:line="259" w:lineRule="auto"/>
        <w:rPr>
          <w:sz w:val="20"/>
          <w:szCs w:val="20"/>
          <w:color w:val="auto"/>
        </w:rPr>
      </w:pPr>
      <w:r>
        <w:rPr>
          <w:rFonts w:ascii="Arial" w:cs="Arial" w:eastAsia="Arial" w:hAnsi="Arial"/>
          <w:sz w:val="18"/>
          <w:szCs w:val="18"/>
          <w:color w:val="auto"/>
        </w:rPr>
        <w:t>In each case, the amount of the target distribution set forth above is exclusive of any distributions to common unitholders to eliminate any cumulative arrearages in payment of the minimum quarterly distribution. The percentage interests set forth above assume that our general partner maintains its 2.0% general partner interest and that we do not issue additional classes of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Allocations of Available Cash From Operating Surplus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common unitholders, our general partner and the holders of the incentive distribution rights up to the various target distribution levels. The amounts set forth under "Marginal Percentage Interest in Distributions" are the percentage interests of the common unitholders, our general partner and the holders of the incentive distribution rights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common unitholders, our general partner and the holders of the incentive distribution rights for the minimum quarterly distribution are also applicable to quarterly distribution amounts that are less than the minimum quarterly distribution. The percentage interests shown for our general partner include its 2.0% general partner interest only and assume that our general partner has contributed any capital necessary to maintain its 2.0% general partner interest.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5"/>
              </w:rPr>
              <w:t>Marginal Percentage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3"/>
              </w:rPr>
              <w:t>Interest in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9"/>
              </w:rPr>
              <w:t>Total Quarterly</w:t>
            </w:r>
          </w:p>
        </w:tc>
        <w:tc>
          <w:tcPr>
            <w:tcW w:w="1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Distributions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Distribution</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Common</w:t>
            </w: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General</w:t>
            </w:r>
          </w:p>
        </w:tc>
        <w:tc>
          <w:tcPr>
            <w:tcW w:w="2080" w:type="dxa"/>
            <w:vAlign w:val="bottom"/>
            <w:gridSpan w:val="3"/>
          </w:tcPr>
          <w:p>
            <w:pPr>
              <w:jc w:val="center"/>
              <w:ind w:right="1320"/>
              <w:spacing w:after="0"/>
              <w:rPr>
                <w:sz w:val="20"/>
                <w:szCs w:val="20"/>
                <w:color w:val="auto"/>
              </w:rPr>
            </w:pPr>
            <w:r>
              <w:rPr>
                <w:rFonts w:ascii="Arial" w:cs="Arial" w:eastAsia="Arial" w:hAnsi="Arial"/>
                <w:sz w:val="13"/>
                <w:szCs w:val="13"/>
                <w:b w:val="1"/>
                <w:bCs w:val="1"/>
                <w:color w:val="auto"/>
                <w:w w:val="93"/>
              </w:rPr>
              <w:t>Holders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Target Amount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Unitholders</w:t>
            </w:r>
          </w:p>
        </w:tc>
        <w:tc>
          <w:tcPr>
            <w:tcW w:w="160" w:type="dxa"/>
            <w:vAlign w:val="bottom"/>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Partner</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IDRs</w:t>
            </w:r>
          </w:p>
        </w:tc>
        <w:tc>
          <w:tcPr>
            <w:tcW w:w="1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940" w:type="dxa"/>
            <w:vAlign w:val="bottom"/>
            <w:gridSpan w:val="3"/>
            <w:shd w:val="clear" w:color="auto" w:fill="CCEEFF"/>
          </w:tcPr>
          <w:p>
            <w:pPr>
              <w:jc w:val="center"/>
              <w:ind w:left="1652"/>
              <w:spacing w:after="0"/>
              <w:rPr>
                <w:sz w:val="20"/>
                <w:szCs w:val="20"/>
                <w:color w:val="auto"/>
              </w:rPr>
            </w:pPr>
            <w:r>
              <w:rPr>
                <w:rFonts w:ascii="Arial" w:cs="Arial" w:eastAsia="Arial" w:hAnsi="Arial"/>
                <w:sz w:val="18"/>
                <w:szCs w:val="18"/>
                <w:color w:val="auto"/>
                <w:w w:val="87"/>
              </w:rPr>
              <w:t>$0.375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up to $0.43125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above $0.43125</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6"/>
              </w:rPr>
              <w:t>up to $0.46875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6"/>
              </w:rPr>
              <w:t>above $0.46875</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up to $0.5625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above $0.5625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8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GasLog's Right to Reset Incentive Distribution Levels</w:t>
      </w:r>
    </w:p>
    <w:p>
      <w:pPr>
        <w:spacing w:after="0" w:line="231"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GasLog, as the initial holder of our incentive distribution rights, has the right under our partnership agreement to elect to relinquish the right of the holders of our incentive distribution rights to receive incentive distribution payments based on the initial cash target distribution levels and to reset, at higher levels, the minimum quarterly distribution amount and cash target distribution levels upon which the incentive distribution payments to GasLog would be set. GasLog's right to reset the minimum quarterly distribution amount and the cash target distribution levels upon which the incentive distributions payable to GasLog are based may be exercised, without approval of our unitholders or the conflicts committee of our board of directors, at any time when we have made cash distributions to the holders of the incentive distribution rights at the highest level of incentive distribution for each of the prior four consecutive fiscal quarters. If at the time of any election to reset the minimum quarterly distribution amount and the cash target distribution levels GasLog and its affiliates are not the holders of a majority of the incentive distribution rights, then any such election to reset shall be subject to the prior written concurrence of our board of directors that the conditions described in the immediately preceding sentence have been satisfied. The reset minimum quarterly distribution amount and cash target distribution levels will be higher than the minimum quarterly distribution amount and the cash target distribution levels prior to the reset such that there will be no incentive distributions paid under the reset cash target distribution levels until cash distributions per unit following this event increase as described below. We anticipate that GasLog would exercise this reset right in order to facilitate acquisitions or internal growth projects that would otherwise not be sufficiently accretive to cash distributions per Common Unit, taking into account the existing levels of incentive distribution payments being made to GasLog.</w:t>
      </w:r>
    </w:p>
    <w:p>
      <w:pPr>
        <w:spacing w:after="0" w:line="18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connection with the resetting of the minimum quarterly distribution amount and the cash target distribution levels and the corresponding relinquishment by GasLog of incentive distribution payments based on the cash target distribution levels prior to the reset, GasLog will be entitled to receive a number of newly issued Common Units based on a predetermined formula described below that takes into account the "cash parity" value of the average cash distributions related to the incentive distribution rights received by GasLog for the two quarters prior to the reset event as compared to the average cash distributions per Common Unit during this period. We will also issue an additional amount of general partner units in order to maintain the general partner's ownership interest in us relative to the issuance of the additional Common Units.</w:t>
      </w:r>
    </w:p>
    <w:p>
      <w:pPr>
        <w:spacing w:after="0" w:line="198"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number of Common Units that GasLog would be entitled to receive from us in connection with a resetting of the minimum quarterly distribution amount and the cash target distribution levels then in effect would be equal to (x) the average amount of cash distributions received by GasLog in respect of its incentive distribution rights during the two consecutive fiscal quarters ended immediately prior to the date of such reset election divided by (y) the average of the amount of cash distributed per Common Unit during each of these two quarters. The issuance of the additional Common Units will be conditioned upon approval of the listing or admission for trading of such Common Units by the national securities exchange on which the Common Units are then listed or admitted for trading.</w:t>
      </w:r>
    </w:p>
    <w:p>
      <w:pPr>
        <w:spacing w:after="0" w:line="16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Following a reset election, the minimum quarterly distribution amount will be reset to an amount equal to the average cash distribution amount per unit for the two fiscal quarters immediately preceding the reset election (such amount is referred to as the "reset minimum quarterly distribution") and the cash target distribution levels will be reset to be correspondingly higher such that we would distribute all of our available cash from operating surplus for each quarter thereafter as follows:</w:t>
      </w:r>
    </w:p>
    <w:p>
      <w:pPr>
        <w:sectPr>
          <w:pgSz w:w="11900" w:h="16838" w:orient="portrait"/>
          <w:cols w:equalWidth="0" w:num="1">
            <w:col w:w="11560"/>
          </w:cols>
          <w:pgMar w:left="160" w:top="51" w:right="179" w:bottom="1440"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each unitholder receives an amount equal to 115.0%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reset minimum quarterly distribution for that quarter;</w:t>
      </w:r>
    </w:p>
    <w:p>
      <w:pPr>
        <w:spacing w:after="0" w:line="213" w:lineRule="exact"/>
        <w:rPr>
          <w:sz w:val="20"/>
          <w:szCs w:val="20"/>
          <w:color w:val="auto"/>
        </w:rPr>
      </w:pPr>
    </w:p>
    <w:p>
      <w:pPr>
        <w:ind w:right="320"/>
        <w:spacing w:after="0" w:line="331" w:lineRule="auto"/>
        <w:rPr>
          <w:sz w:val="20"/>
          <w:szCs w:val="20"/>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85.0% to the common unitholders, pro rata, 2.0% to our general partner and 13.0%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an amount per unit equal to 125.0% of the reset minimum quarterly distribution for that quarter;</w:t>
      </w:r>
    </w:p>
    <w:p>
      <w:pPr>
        <w:spacing w:after="0" w:line="1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34187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2">
            <w:col w:w="800" w:space="280"/>
            <w:col w:w="10480"/>
          </w:cols>
          <w:pgMar w:left="160" w:top="51" w:right="17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hanging="539"/>
        <w:spacing w:after="0" w:line="331"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i w:val="1"/>
          <w:iCs w:val="1"/>
          <w:color w:val="auto"/>
        </w:rPr>
        <w:t>third</w:t>
      </w:r>
      <w:r>
        <w:rPr>
          <w:rFonts w:ascii="Arial" w:cs="Arial" w:eastAsia="Arial" w:hAnsi="Arial"/>
          <w:sz w:val="16"/>
          <w:szCs w:val="16"/>
          <w:color w:val="auto"/>
        </w:rPr>
        <w:t>, 75.0% to the common unitholders, pro rata, 2.0% to our general partner and 23.0% to the holders of the incentive distribution rights, pro rata,</w:t>
      </w:r>
      <w:r>
        <w:rPr>
          <w:rFonts w:ascii="Arial" w:cs="Arial" w:eastAsia="Arial" w:hAnsi="Arial"/>
          <w:sz w:val="16"/>
          <w:szCs w:val="16"/>
          <w:i w:val="1"/>
          <w:iCs w:val="1"/>
          <w:color w:val="auto"/>
        </w:rPr>
        <w:t xml:space="preserve"> </w:t>
      </w:r>
      <w:r>
        <w:rPr>
          <w:rFonts w:ascii="Arial" w:cs="Arial" w:eastAsia="Arial" w:hAnsi="Arial"/>
          <w:sz w:val="16"/>
          <w:szCs w:val="16"/>
          <w:color w:val="auto"/>
        </w:rPr>
        <w:t>until each unitholder receives an amount per unit equal to 150.0% of the reset minimum quarterly distribution for that quarter; and</w:t>
      </w:r>
    </w:p>
    <w:p>
      <w:pPr>
        <w:spacing w:after="0" w:line="15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i w:val="1"/>
          <w:iCs w:val="1"/>
          <w:color w:val="auto"/>
        </w:rPr>
        <w:t>thereafter</w:t>
      </w:r>
      <w:r>
        <w:rPr>
          <w:rFonts w:ascii="Arial" w:cs="Arial" w:eastAsia="Arial" w:hAnsi="Arial"/>
          <w:sz w:val="16"/>
          <w:szCs w:val="16"/>
          <w:color w:val="auto"/>
        </w:rPr>
        <w:t>, 50.0% to the common unitholders, pro rata, 2.0% to our general partner and 48.0% to the holders of the incentive distribution rights, pro</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Distributions From Capital Surplus Will Be Made</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will make distributions of available cash from capital surplus, if any, in the following manner, subject to distributions with respect to Series A Preference Units as described under "â€”Series A Preference Unit Distributions":</w:t>
      </w:r>
    </w:p>
    <w:p>
      <w:pPr>
        <w:sectPr>
          <w:pgSz w:w="11900" w:h="16838" w:orient="portrait"/>
          <w:cols w:equalWidth="0" w:num="1">
            <w:col w:w="11560"/>
          </w:cols>
          <w:pgMar w:left="160" w:top="51" w:right="179" w:bottom="144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the minimum quarterly distribution is reduced to zero,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w:t>
      </w:r>
    </w:p>
    <w:p>
      <w:pPr>
        <w:spacing w:after="0" w:line="199" w:lineRule="exact"/>
        <w:rPr>
          <w:sz w:val="20"/>
          <w:szCs w:val="20"/>
          <w:color w:val="auto"/>
        </w:rPr>
      </w:pPr>
    </w:p>
    <w:p>
      <w:pPr>
        <w:ind w:right="360"/>
        <w:spacing w:after="0" w:line="331" w:lineRule="auto"/>
        <w:rPr>
          <w:sz w:val="20"/>
          <w:szCs w:val="20"/>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98.0% to the common unitholders, pro rata, and 2.0% to our general partner, until we distribute for each Common Unit an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cash from capital surplus equal to any unpaid arrearages in payment of the minimum quarterly distribution on the Common Units; and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we will make all distributions of available cash from capital surplus as if they were from operating surplus.</w:t>
      </w:r>
    </w:p>
    <w:p>
      <w:pPr>
        <w:spacing w:after="0" w:line="200" w:lineRule="exact"/>
        <w:rPr>
          <w:sz w:val="20"/>
          <w:szCs w:val="20"/>
          <w:color w:val="auto"/>
        </w:rPr>
      </w:pPr>
    </w:p>
    <w:p>
      <w:pPr>
        <w:sectPr>
          <w:pgSz w:w="11900" w:h="16838" w:orient="portrait"/>
          <w:cols w:equalWidth="0" w:num="2">
            <w:col w:w="800" w:space="280"/>
            <w:col w:w="10480"/>
          </w:cols>
          <w:pgMar w:left="160" w:top="51" w:right="179" w:bottom="1440" w:gutter="0" w:footer="0" w:header="0"/>
          <w:type w:val="continuous"/>
        </w:sectPr>
      </w:pPr>
    </w:p>
    <w:p>
      <w:pPr>
        <w:spacing w:after="0" w:line="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 Distribution from Capital Surplus</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partnership agreement treats a distribution of capital surplus as the repayment of the consideration for the issuance of the units, which is a return of capital. Each time a distribution of capital surplus is made, the minimum quarterly distribution and the cash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GasLog to receive incentive distributions. However, any distribution of capital surplus before the minimum quarterly distribution is reduced to zero cannot be applied to the payment of the minimum quarterly distribution or any arrearages.</w:t>
      </w:r>
    </w:p>
    <w:p>
      <w:pPr>
        <w:spacing w:after="0" w:line="19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Once we reduce the minimum quarterly distribution and the cash target distribution levels to zero, we will then make all future distributions 50.0% to the common unitholders, 2.0% to our general partner and 48.0% to the holders of the incentive distribution rights (currently, GasLog). The 2.0% interest shown for our general partner assumes that our general partner maintains its 2.0% general partner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to adjusting the minimum quarterly distribution and cash target distribution levels to reflect a distribution of capital surplus, if we combine our units into fewer units or subdivide our units into a greater number of units, we will proportionately adjust:</w:t>
      </w:r>
    </w:p>
    <w:p>
      <w:pPr>
        <w:spacing w:after="0" w:line="186"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minimum quarterly distribution;</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the cash target distribution levels; and</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initial unit price.</w:t>
      </w:r>
    </w:p>
    <w:p>
      <w:pPr>
        <w:spacing w:after="0" w:line="252" w:lineRule="exact"/>
        <w:rPr>
          <w:sz w:val="20"/>
          <w:szCs w:val="20"/>
          <w:color w:val="auto"/>
        </w:rPr>
      </w:pPr>
    </w:p>
    <w:p>
      <w:pPr>
        <w:jc w:val="both"/>
        <w:ind w:right="280" w:firstLine="351"/>
        <w:spacing w:after="0" w:line="331" w:lineRule="auto"/>
        <w:rPr>
          <w:sz w:val="20"/>
          <w:szCs w:val="20"/>
          <w:color w:val="auto"/>
        </w:rPr>
      </w:pPr>
      <w:r>
        <w:rPr>
          <w:rFonts w:ascii="Arial" w:cs="Arial" w:eastAsia="Arial" w:hAnsi="Arial"/>
          <w:sz w:val="16"/>
          <w:szCs w:val="16"/>
          <w:color w:val="auto"/>
        </w:rPr>
        <w:t>For example, if a two-for-one split of the Common Units should occur, the minimum quarterly distribution, the cash target distribution levels and the initial unit price would each be reduced to 50.0% of its initial level. We will not make any adjustment by reason of the issuance of additional units for cash or property.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apply the proceeds of liquidation in the manner set forth below, subject to distributions with respect to Series A Preference Units as described under "â€”Series A Preference Unit Liquidation Rights".</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186"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 xml:space="preserve">any arrearages in payment of the minimum quarterly distribution on the Common Units for any prior quarters during the subordination period; </w:t>
      </w:r>
      <w:r>
        <w:rPr>
          <w:rFonts w:ascii="Arial" w:cs="Arial" w:eastAsia="Arial" w:hAnsi="Arial"/>
          <w:sz w:val="16"/>
          <w:szCs w:val="16"/>
          <w:i w:val="1"/>
          <w:iCs w:val="1"/>
          <w:color w:val="auto"/>
        </w:rPr>
        <w:t>plus</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initial unit price (less any prior capital surplus distributions and any prior cash distributions made in connection with a partial liquidation);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then the proceeds of the liquidation will be applied as follows:</w:t>
      </w:r>
    </w:p>
    <w:p>
      <w:pPr>
        <w:spacing w:after="0" w:line="225" w:lineRule="exact"/>
        <w:rPr>
          <w:sz w:val="20"/>
          <w:szCs w:val="20"/>
          <w:color w:val="auto"/>
        </w:rPr>
      </w:pPr>
    </w:p>
    <w:p>
      <w:pPr>
        <w:ind w:left="1080" w:right="60" w:hanging="539"/>
        <w:spacing w:after="0" w:line="268"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current market price of our common units; and</w:t>
      </w:r>
    </w:p>
    <w:p>
      <w:pPr>
        <w:spacing w:after="0" w:line="19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i w:val="1"/>
          <w:iCs w:val="1"/>
          <w:color w:val="auto"/>
        </w:rPr>
        <w:t>thereafter</w:t>
      </w:r>
      <w:r>
        <w:rPr>
          <w:rFonts w:ascii="Arial" w:cs="Arial" w:eastAsia="Arial" w:hAnsi="Arial"/>
          <w:sz w:val="15"/>
          <w:szCs w:val="15"/>
          <w:color w:val="auto"/>
        </w:rPr>
        <w:t>, 50.0% to the common unitholders, pro rata, 48.0% to holders of incentive distribution rights and 2.0% to our general partner.</w:t>
      </w:r>
    </w:p>
    <w:p>
      <w:pPr>
        <w:spacing w:after="0" w:line="23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If, as of the date three trading days prior to the announcement of the proposed liquidation, the current market price of our Common Units is equal to or less than the sum of:</w:t>
      </w:r>
    </w:p>
    <w:p>
      <w:pPr>
        <w:spacing w:after="0" w:line="186"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 xml:space="preserve">any arrearages in payment of the minimum quarterly distribution on the Common Units for any prior quarters during the subordination period; </w:t>
      </w:r>
      <w:r>
        <w:rPr>
          <w:rFonts w:ascii="Arial" w:cs="Arial" w:eastAsia="Arial" w:hAnsi="Arial"/>
          <w:sz w:val="16"/>
          <w:szCs w:val="16"/>
          <w:i w:val="1"/>
          <w:iCs w:val="1"/>
          <w:color w:val="auto"/>
        </w:rPr>
        <w:t>plus</w:t>
      </w:r>
    </w:p>
    <w:p>
      <w:pPr>
        <w:spacing w:after="0" w:line="25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the initial unit price (less any prior capital surplus distributions and any prior cash distributions made in connection with a partial liquidation);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then the proceeds of the liquidation will be applied as follows:</w:t>
      </w:r>
    </w:p>
    <w:p>
      <w:pPr>
        <w:sectPr>
          <w:pgSz w:w="11900" w:h="16838" w:orient="portrait"/>
          <w:cols w:equalWidth="0" w:num="1">
            <w:col w:w="11500"/>
          </w:cols>
          <w:pgMar w:left="160" w:top="51" w:right="23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initial unit price (less any prior capital surplus distributions and any prior cash distributions made in connection with a partial liquidation);</w:t>
      </w:r>
    </w:p>
    <w:p>
      <w:pPr>
        <w:spacing w:after="0" w:line="2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any arrearages in payment of the minimum quarterly distribution on the Common Units for any prior quarters during the subordination period; and</w:t>
      </w:r>
    </w:p>
    <w:p>
      <w:pPr>
        <w:spacing w:after="0" w:line="194" w:lineRule="exact"/>
        <w:rPr>
          <w:sz w:val="20"/>
          <w:szCs w:val="20"/>
          <w:color w:val="auto"/>
        </w:rPr>
      </w:pPr>
    </w:p>
    <w:p>
      <w:pPr>
        <w:sectPr>
          <w:pgSz w:w="11900" w:h="16838" w:orient="portrait"/>
          <w:cols w:equalWidth="0" w:num="2">
            <w:col w:w="800" w:space="280"/>
            <w:col w:w="10420"/>
          </w:cols>
          <w:pgMar w:left="160" w:top="51" w:right="239" w:bottom="1440" w:gutter="0" w:footer="0" w:header="0"/>
          <w:type w:val="continuous"/>
        </w:sect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i w:val="1"/>
          <w:iCs w:val="1"/>
          <w:color w:val="auto"/>
        </w:rPr>
        <w:t>thereafter</w:t>
      </w:r>
      <w:r>
        <w:rPr>
          <w:rFonts w:ascii="Arial" w:cs="Arial" w:eastAsia="Arial" w:hAnsi="Arial"/>
          <w:sz w:val="15"/>
          <w:szCs w:val="15"/>
          <w:color w:val="auto"/>
        </w:rPr>
        <w:t>, 50.0% to the common unitholders, pro rata, 48.0% to holders of incentive distribution rights and 2.0% to our general partner.</w:t>
      </w:r>
    </w:p>
    <w:p>
      <w:pPr>
        <w:spacing w:after="0" w:line="239" w:lineRule="exact"/>
        <w:rPr>
          <w:sz w:val="20"/>
          <w:szCs w:val="20"/>
          <w:color w:val="auto"/>
        </w:rPr>
      </w:pPr>
    </w:p>
    <w:p>
      <w:pPr>
        <w:ind w:right="120" w:firstLine="348"/>
        <w:spacing w:after="0" w:line="331" w:lineRule="auto"/>
        <w:rPr>
          <w:sz w:val="20"/>
          <w:szCs w:val="20"/>
          <w:color w:val="auto"/>
        </w:rPr>
      </w:pPr>
      <w:r>
        <w:rPr>
          <w:rFonts w:ascii="Arial" w:cs="Arial" w:eastAsia="Arial" w:hAnsi="Arial"/>
          <w:sz w:val="16"/>
          <w:szCs w:val="16"/>
          <w:color w:val="auto"/>
        </w:rPr>
        <w:t>The immediately preceding paragraph is based on the assumption that our general partner maintains its 2.0% general partner interest and that we do not issue additional classes of equity securities (other than the Series A Preference Units, which are discussed in the following section).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Preference Unit Liquidation Rights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holders of Series A Preference Units will be entitled, in the event of a dissolution,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or any other Junior Securities (as defined in the partnership agreement). In the event that our assets available for distribution to holders of the outstanding Series A Preference Units and any other Parity Securities (if applicable) are insufficient to permit payment of all required amounts, our assets then remaining will be distributed among the Series A Preference Units and any Parity Securities, as applicable, ratably on</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basis of their relative aggregate liquidation preferences. After payment of all required amounts to the holders of the outstanding Series A Preference Units and other Parity Securities (if applicable), our remaining assets and funds will be distributed among the holders of the common units and any other Junior Securities then outstanding according to their respective rights.</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360"/>
          </w:cols>
          <w:pgMar w:left="160" w:top="51" w:right="3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the material U.S. federal income tax considerations that may be relevant to prospective investors in Common Units. The applicable prospectus supplement may also contain information about any material U.S. federal income tax considerations relating to the securities covered by such prospectus supplement.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Marshall Islands tax consequences that may be relevant to prospective investors in Common Units. The applicable prospectus supplement may also contain information about any non-U.S. tax considerations relating to the securities covered by such prospectus supplement.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ectPr>
          <w:pgSz w:w="11900" w:h="16838" w:orient="portrait"/>
          <w:cols w:equalWidth="0" w:num="1">
            <w:col w:w="11520"/>
          </w:cols>
          <w:pgMar w:left="160" w:top="51" w:right="21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on the NYSE or any other national securities exchange or U.S. inter-dealer system of a registered national securities association on which our Common Units may be listed or quoted at the time of sale;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 the over-the-counter market;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privately negotiated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an exchange distribution in accordance with the rules of the applicable exchange;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settlement of short sales entered into after the date of the prospectus;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through the writing or settlement of options or other hedging transactions, whether through an options exchange or otherwise;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through broker-dealers, who may act as agents or principals;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through sales "at the market" to or through a market-maker;</w:t>
      </w:r>
    </w:p>
    <w:p>
      <w:pPr>
        <w:spacing w:after="0" w:line="23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a block trade, in which a broker-dealer will attempt to sell a block as agent but may position and resell a portion of the block as principal to facilitate the transaction;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through one or more underwriters on a firm commitment or best-efforts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directly to one or more purchasers;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through agents;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options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over the Internet;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any other method permitted pursuant to applicable law; 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any combination of the above.</w:t>
      </w:r>
    </w:p>
    <w:p>
      <w:pPr>
        <w:spacing w:after="0" w:line="200" w:lineRule="exact"/>
        <w:rPr>
          <w:sz w:val="20"/>
          <w:szCs w:val="20"/>
          <w:color w:val="auto"/>
        </w:rPr>
      </w:pPr>
    </w:p>
    <w:p>
      <w:pPr>
        <w:sectPr>
          <w:pgSz w:w="11900" w:h="16838" w:orient="portrait"/>
          <w:cols w:equalWidth="0" w:num="2">
            <w:col w:w="800" w:space="280"/>
            <w:col w:w="10440"/>
          </w:cols>
          <w:pgMar w:left="160" w:top="51" w:right="219" w:bottom="1440" w:gutter="0" w:footer="0" w:header="0"/>
          <w:type w:val="continuous"/>
        </w:sectPr>
      </w:pPr>
    </w:p>
    <w:p>
      <w:pPr>
        <w:spacing w:after="0" w:line="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effecting sales, brokers or dealers engaged by us may arrange for other brokers or dealers to participate. Broker-dealer transactions may include:</w:t>
      </w:r>
    </w:p>
    <w:p>
      <w:pPr>
        <w:spacing w:after="0" w:line="260" w:lineRule="exact"/>
        <w:rPr>
          <w:sz w:val="20"/>
          <w:szCs w:val="20"/>
          <w:color w:val="auto"/>
        </w:rPr>
      </w:pPr>
    </w:p>
    <w:p>
      <w:pPr>
        <w:ind w:left="1080" w:right="780" w:hanging="539"/>
        <w:spacing w:after="0" w:line="268" w:lineRule="auto"/>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8"/>
          <w:szCs w:val="18"/>
          <w:color w:val="auto"/>
        </w:rPr>
        <w:t>purchases of the securities by a broker-dealer as principal and resales of the securities by the broker-dealer for its account pursuant to this prospectus;</w:t>
      </w:r>
    </w:p>
    <w:p>
      <w:pPr>
        <w:spacing w:after="0" w:line="19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ordinary brokerage transactions; or</w:t>
      </w:r>
    </w:p>
    <w:p>
      <w:pPr>
        <w:sectPr>
          <w:pgSz w:w="11900" w:h="16838" w:orient="portrait"/>
          <w:cols w:equalWidth="0" w:num="1">
            <w:col w:w="11520"/>
          </w:cols>
          <w:pgMar w:left="160" w:top="51" w:right="219" w:bottom="1440" w:gutter="0" w:footer="0" w:header="0"/>
          <w:type w:val="continuous"/>
        </w:sect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34187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5"/>
          <w:szCs w:val="15"/>
          <w:color w:val="auto"/>
        </w:rPr>
        <w:t>transactions in which the broker-dealer solicits purchasers.</w:t>
      </w:r>
    </w:p>
    <w:p>
      <w:pPr>
        <w:spacing w:after="0" w:line="2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addition, we may sell any securities covered by this prospectus in private transactions or under Rule 144 of the Securities Act of 1933, as amended, rather than pursuant to this prospectus.</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173"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178"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any discounts, commissions or concessions allowed or reallowed or paid to dealers and the number of securities being offered by them.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7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spacing w:after="0" w:line="369" w:lineRule="auto"/>
        <w:rPr>
          <w:sz w:val="20"/>
          <w:szCs w:val="20"/>
          <w:color w:val="auto"/>
        </w:rPr>
      </w:pPr>
      <w:r>
        <w:rPr>
          <w:rFonts w:ascii="Arial" w:cs="Arial" w:eastAsia="Arial" w:hAnsi="Arial"/>
          <w:sz w:val="15"/>
          <w:szCs w:val="15"/>
          <w:color w:val="auto"/>
        </w:rPr>
        <w:t>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118"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Pursuant to a requirement by the Financial Industry Regulatory Authority, or "FINRA",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bear all costs relating to all of the securities being registered under the registration statement of which this prospectus is a part.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following are the expenses estimated to be incurred by us in connection with a possible offering of the securities registered under this registration statement.</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4"/>
              </w:rPr>
              <w:t>86,925</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Printing</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Accountants' Fees and Expenses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Fees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line="203" w:lineRule="exact"/>
              <w:rPr>
                <w:sz w:val="20"/>
                <w:szCs w:val="20"/>
                <w:color w:val="auto"/>
              </w:rPr>
            </w:pPr>
            <w:r>
              <w:rPr>
                <w:rFonts w:ascii="Arial" w:cs="Arial" w:eastAsia="Arial" w:hAnsi="Arial"/>
                <w:sz w:val="18"/>
                <w:szCs w:val="18"/>
                <w:color w:val="auto"/>
              </w:rPr>
              <w:t>Miscellaneous Costs</w:t>
            </w: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
        </w:trPr>
        <w:tc>
          <w:tcPr>
            <w:tcW w:w="4680" w:type="dxa"/>
            <w:vAlign w:val="bottom"/>
            <w:gridSpan w:val="2"/>
          </w:tcPr>
          <w:p>
            <w:pPr>
              <w:spacing w:after="0" w:line="33" w:lineRule="exact"/>
              <w:rPr>
                <w:sz w:val="20"/>
                <w:szCs w:val="20"/>
                <w:color w:val="auto"/>
              </w:rPr>
            </w:pPr>
            <w:r>
              <w:rPr>
                <w:rFonts w:ascii="Arial" w:cs="Arial" w:eastAsia="Arial" w:hAnsi="Arial"/>
                <w:sz w:val="3"/>
                <w:szCs w:val="3"/>
                <w:color w:val="auto"/>
              </w:rPr>
              <w:t>â€‹</w:t>
            </w:r>
          </w:p>
        </w:tc>
        <w:tc>
          <w:tcPr>
            <w:tcW w:w="2540" w:type="dxa"/>
            <w:vAlign w:val="bottom"/>
          </w:tcPr>
          <w:p>
            <w:pPr>
              <w:ind w:left="2380"/>
              <w:spacing w:after="0" w:line="33"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27" w:lineRule="exact"/>
              <w:rPr>
                <w:sz w:val="20"/>
                <w:szCs w:val="20"/>
                <w:color w:val="auto"/>
              </w:rPr>
            </w:pPr>
            <w:r>
              <w:rPr>
                <w:rFonts w:ascii="Arial" w:cs="Arial" w:eastAsia="Arial" w:hAnsi="Arial"/>
                <w:sz w:val="3"/>
                <w:szCs w:val="3"/>
                <w:color w:val="auto"/>
              </w:rPr>
              <w:t>â€‹</w:t>
            </w:r>
          </w:p>
        </w:tc>
        <w:tc>
          <w:tcPr>
            <w:tcW w:w="700" w:type="dxa"/>
            <w:vAlign w:val="bottom"/>
          </w:tcPr>
          <w:p>
            <w:pPr>
              <w:jc w:val="right"/>
              <w:ind w:right="55"/>
              <w:spacing w:after="0" w:line="27" w:lineRule="exact"/>
              <w:rPr>
                <w:sz w:val="20"/>
                <w:szCs w:val="20"/>
                <w:color w:val="auto"/>
              </w:rPr>
            </w:pPr>
            <w:r>
              <w:rPr>
                <w:rFonts w:ascii="Arial" w:cs="Arial" w:eastAsia="Arial" w:hAnsi="Arial"/>
                <w:sz w:val="3"/>
                <w:szCs w:val="3"/>
                <w:color w:val="auto"/>
              </w:rPr>
              <w:t>â€‹â€‹</w:t>
            </w:r>
          </w:p>
        </w:tc>
        <w:tc>
          <w:tcPr>
            <w:tcW w:w="0" w:type="dxa"/>
            <w:vAlign w:val="bottom"/>
          </w:tcPr>
          <w:p>
            <w:pPr>
              <w:spacing w:after="0" w:line="20" w:lineRule="exact"/>
              <w:rPr>
                <w:sz w:val="1"/>
                <w:szCs w:val="1"/>
                <w:color w:val="auto"/>
              </w:rPr>
            </w:pPr>
          </w:p>
        </w:tc>
      </w:tr>
      <w:tr>
        <w:trPr>
          <w:trHeight w:val="197"/>
        </w:trPr>
        <w:tc>
          <w:tcPr>
            <w:tcW w:w="4680" w:type="dxa"/>
            <w:vAlign w:val="bottom"/>
            <w:gridSpan w:val="2"/>
          </w:tcPr>
          <w:p>
            <w:pPr>
              <w:spacing w:after="0" w:line="197" w:lineRule="exact"/>
              <w:rPr>
                <w:sz w:val="20"/>
                <w:szCs w:val="20"/>
                <w:color w:val="auto"/>
              </w:rPr>
            </w:pPr>
            <w:r>
              <w:rPr>
                <w:rFonts w:ascii="Arial" w:cs="Arial" w:eastAsia="Arial" w:hAnsi="Arial"/>
                <w:sz w:val="18"/>
                <w:szCs w:val="18"/>
                <w:color w:val="auto"/>
              </w:rPr>
              <w:t>Total</w:t>
            </w:r>
          </w:p>
        </w:tc>
        <w:tc>
          <w:tcPr>
            <w:tcW w:w="2540" w:type="dxa"/>
            <w:vAlign w:val="bottom"/>
          </w:tcPr>
          <w:p>
            <w:pPr>
              <w:spacing w:after="0"/>
              <w:rPr>
                <w:sz w:val="17"/>
                <w:szCs w:val="17"/>
                <w:color w:val="auto"/>
              </w:rPr>
            </w:pPr>
          </w:p>
        </w:tc>
        <w:tc>
          <w:tcPr>
            <w:tcW w:w="160" w:type="dxa"/>
            <w:vAlign w:val="bottom"/>
          </w:tcPr>
          <w:p>
            <w:pPr>
              <w:spacing w:after="0" w:line="197"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680" w:type="dxa"/>
            <w:vAlign w:val="bottom"/>
            <w:gridSpan w:val="2"/>
          </w:tcPr>
          <w:p>
            <w:pPr>
              <w:spacing w:after="0"/>
              <w:rPr>
                <w:sz w:val="20"/>
                <w:szCs w:val="20"/>
                <w:color w:val="auto"/>
              </w:rPr>
            </w:pPr>
            <w:r>
              <w:rPr>
                <w:rFonts w:ascii="Arial" w:cs="Arial" w:eastAsia="Arial" w:hAnsi="Arial"/>
                <w:sz w:val="1"/>
                <w:szCs w:val="1"/>
                <w:color w:val="auto"/>
              </w:rPr>
              <w:t>â€‹</w:t>
            </w:r>
          </w:p>
        </w:tc>
        <w:tc>
          <w:tcPr>
            <w:tcW w:w="2540" w:type="dxa"/>
            <w:vAlign w:val="bottom"/>
          </w:tcPr>
          <w:p>
            <w:pPr>
              <w:ind w:left="2380"/>
              <w:spacing w:after="0"/>
              <w:rPr>
                <w:sz w:val="20"/>
                <w:szCs w:val="20"/>
                <w:color w:val="auto"/>
              </w:rPr>
            </w:pPr>
            <w:r>
              <w:rPr>
                <w:rFonts w:ascii="Arial" w:cs="Arial" w:eastAsia="Arial" w:hAnsi="Arial"/>
                <w:sz w:val="1"/>
                <w:szCs w:val="1"/>
                <w:color w:val="auto"/>
              </w:rPr>
              <w:t>â€‹</w:t>
            </w:r>
          </w:p>
        </w:tc>
        <w:tc>
          <w:tcPr>
            <w:tcW w:w="160" w:type="dxa"/>
            <w:vAlign w:val="bottom"/>
          </w:tcPr>
          <w:p>
            <w:pPr>
              <w:spacing w:after="0"/>
              <w:rPr>
                <w:sz w:val="20"/>
                <w:szCs w:val="20"/>
                <w:color w:val="auto"/>
              </w:rPr>
            </w:pPr>
            <w:r>
              <w:rPr>
                <w:rFonts w:ascii="Arial" w:cs="Arial" w:eastAsia="Arial" w:hAnsi="Arial"/>
                <w:sz w:val="3"/>
                <w:szCs w:val="3"/>
                <w:color w:val="auto"/>
              </w:rPr>
              <w:t>â€‹</w:t>
            </w:r>
          </w:p>
        </w:tc>
        <w:tc>
          <w:tcPr>
            <w:tcW w:w="700" w:type="dxa"/>
            <w:vAlign w:val="bottom"/>
          </w:tcPr>
          <w:p>
            <w:pPr>
              <w:jc w:val="right"/>
              <w:ind w:right="55"/>
              <w:spacing w:after="0"/>
              <w:rPr>
                <w:sz w:val="20"/>
                <w:szCs w:val="20"/>
                <w:color w:val="auto"/>
              </w:rPr>
            </w:pPr>
            <w:r>
              <w:rPr>
                <w:rFonts w:ascii="Arial" w:cs="Arial" w:eastAsia="Arial" w:hAnsi="Arial"/>
                <w:sz w:val="3"/>
                <w:szCs w:val="3"/>
                <w:color w:val="auto"/>
              </w:rPr>
              <w:t>â€‹â€‹</w:t>
            </w:r>
          </w:p>
        </w:tc>
        <w:tc>
          <w:tcPr>
            <w:tcW w:w="0" w:type="dxa"/>
            <w:vAlign w:val="bottom"/>
          </w:tcPr>
          <w:p>
            <w:pPr>
              <w:spacing w:after="0" w:line="20" w:lineRule="exact"/>
              <w:rPr>
                <w:sz w:val="1"/>
                <w:szCs w:val="1"/>
                <w:color w:val="auto"/>
              </w:rPr>
            </w:pPr>
          </w:p>
        </w:tc>
      </w:tr>
      <w:tr>
        <w:trPr>
          <w:trHeight w:val="13"/>
        </w:trPr>
        <w:tc>
          <w:tcPr>
            <w:tcW w:w="4680" w:type="dxa"/>
            <w:vAlign w:val="bottom"/>
            <w:gridSpan w:val="2"/>
            <w:vMerge w:val="restart"/>
          </w:tcPr>
          <w:p>
            <w:pPr>
              <w:spacing w:after="0"/>
              <w:rPr>
                <w:sz w:val="20"/>
                <w:szCs w:val="20"/>
                <w:color w:val="auto"/>
              </w:rPr>
            </w:pPr>
            <w:r>
              <w:rPr>
                <w:rFonts w:ascii="Arial" w:cs="Arial" w:eastAsia="Arial" w:hAnsi="Arial"/>
                <w:sz w:val="3"/>
                <w:szCs w:val="3"/>
                <w:color w:val="auto"/>
              </w:rPr>
              <w:t>â€‹</w:t>
            </w:r>
          </w:p>
        </w:tc>
        <w:tc>
          <w:tcPr>
            <w:tcW w:w="2540" w:type="dxa"/>
            <w:vAlign w:val="bottom"/>
            <w:vMerge w:val="restart"/>
          </w:tcPr>
          <w:p>
            <w:pPr>
              <w:ind w:left="2380"/>
              <w:spacing w:after="0"/>
              <w:rPr>
                <w:sz w:val="20"/>
                <w:szCs w:val="20"/>
                <w:color w:val="auto"/>
              </w:rPr>
            </w:pPr>
            <w:r>
              <w:rPr>
                <w:rFonts w:ascii="Arial" w:cs="Arial" w:eastAsia="Arial" w:hAnsi="Arial"/>
                <w:sz w:val="3"/>
                <w:szCs w:val="3"/>
                <w:color w:val="auto"/>
              </w:rPr>
              <w:t>â€‹</w:t>
            </w:r>
          </w:p>
        </w:tc>
        <w:tc>
          <w:tcPr>
            <w:tcW w:w="16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â€‹</w:t>
            </w:r>
          </w:p>
        </w:tc>
        <w:tc>
          <w:tcPr>
            <w:tcW w:w="700" w:type="dxa"/>
            <w:vAlign w:val="bottom"/>
            <w:shd w:val="clear" w:color="auto" w:fill="000000"/>
          </w:tcPr>
          <w:p>
            <w:pPr>
              <w:jc w:val="right"/>
              <w:ind w:right="55"/>
              <w:spacing w:after="0" w:line="7" w:lineRule="exact"/>
              <w:rPr>
                <w:sz w:val="20"/>
                <w:szCs w:val="20"/>
                <w:color w:val="auto"/>
              </w:rPr>
            </w:pPr>
            <w:r>
              <w:rPr>
                <w:rFonts w:ascii="Arial" w:cs="Arial" w:eastAsia="Arial" w:hAnsi="Arial"/>
                <w:sz w:val="1"/>
                <w:szCs w:val="1"/>
                <w:color w:val="auto"/>
              </w:rPr>
              <w:t>â€‹â€‹</w:t>
            </w:r>
          </w:p>
        </w:tc>
        <w:tc>
          <w:tcPr>
            <w:tcW w:w="0" w:type="dxa"/>
            <w:vAlign w:val="bottom"/>
          </w:tcPr>
          <w:p>
            <w:pPr>
              <w:spacing w:after="0" w:line="20" w:lineRule="exact"/>
              <w:rPr>
                <w:sz w:val="1"/>
                <w:szCs w:val="1"/>
                <w:color w:val="auto"/>
              </w:rPr>
            </w:pPr>
          </w:p>
        </w:tc>
      </w:tr>
      <w:tr>
        <w:trPr>
          <w:trHeight w:val="22"/>
        </w:trPr>
        <w:tc>
          <w:tcPr>
            <w:tcW w:w="4680" w:type="dxa"/>
            <w:vAlign w:val="bottom"/>
            <w:gridSpan w:val="2"/>
            <w:vMerge w:val="continue"/>
          </w:tcPr>
          <w:p>
            <w:pPr>
              <w:spacing w:after="0" w:line="20" w:lineRule="exact"/>
              <w:rPr>
                <w:sz w:val="1"/>
                <w:szCs w:val="1"/>
                <w:color w:val="auto"/>
              </w:rPr>
            </w:pPr>
          </w:p>
        </w:tc>
        <w:tc>
          <w:tcPr>
            <w:tcW w:w="25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120" w:type="dxa"/>
            <w:vAlign w:val="bottom"/>
            <w:tcBorders>
              <w:bottom w:val="single" w:sz="8" w:color="auto"/>
            </w:tcBorders>
          </w:tcPr>
          <w:p>
            <w:pPr>
              <w:spacing w:after="0"/>
              <w:rPr>
                <w:sz w:val="7"/>
                <w:szCs w:val="7"/>
                <w:color w:val="auto"/>
              </w:rPr>
            </w:pPr>
          </w:p>
        </w:tc>
        <w:tc>
          <w:tcPr>
            <w:tcW w:w="256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-248285</wp:posOffset>
            </wp:positionV>
            <wp:extent cx="513461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34610" cy="154305"/>
                    </a:xfrm>
                    <a:prstGeom prst="rect">
                      <a:avLst/>
                    </a:prstGeom>
                    <a:noFill/>
                  </pic:spPr>
                </pic:pic>
              </a:graphicData>
            </a:graphic>
          </wp:anchor>
        </w:drawing>
      </w:r>
    </w:p>
    <w:p>
      <w:pPr>
        <w:spacing w:after="0" w:line="201" w:lineRule="exact"/>
        <w:rPr>
          <w:sz w:val="20"/>
          <w:szCs w:val="20"/>
          <w:color w:val="auto"/>
        </w:rPr>
      </w:pPr>
    </w:p>
    <w:p>
      <w:pPr>
        <w:ind w:left="2280" w:right="400" w:hanging="539"/>
        <w:spacing w:after="0" w:line="268" w:lineRule="auto"/>
        <w:tabs>
          <w:tab w:leader="none" w:pos="2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validity of the securities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consolidated financial statements as of December 31, 2015 and December 31, 2016 and for each of the three years in the period ended December 31, 2016 incorporated in this prospectus by reference from the Company's Current Report on Form 6-K filed on September 29, 2017 have been audited by Deloitte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2 New Street Square, London, EC4A 3BZ, United Kingdom.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33806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3806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59"/>
        <w:spacing w:after="0"/>
        <w:rPr>
          <w:sz w:val="20"/>
          <w:szCs w:val="20"/>
          <w:color w:val="auto"/>
        </w:rPr>
      </w:pPr>
      <w:r>
        <w:rPr>
          <w:rFonts w:ascii="Arial" w:cs="Arial" w:eastAsia="Arial" w:hAnsi="Arial"/>
          <w:sz w:val="24"/>
          <w:szCs w:val="24"/>
          <w:b w:val="1"/>
          <w:bCs w:val="1"/>
          <w:color w:val="auto"/>
        </w:rPr>
        <w:t>Up to $250,000,000</w:t>
      </w:r>
    </w:p>
    <w:p>
      <w:pPr>
        <w:spacing w:after="0" w:line="211" w:lineRule="exact"/>
        <w:rPr>
          <w:sz w:val="20"/>
          <w:szCs w:val="20"/>
          <w:color w:val="auto"/>
        </w:rPr>
      </w:pPr>
    </w:p>
    <w:p>
      <w:pPr>
        <w:jc w:val="center"/>
        <w:ind w:right="-1159"/>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923290</wp:posOffset>
            </wp:positionV>
            <wp:extent cx="19202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160020</wp:posOffset>
            </wp:positionV>
            <wp:extent cx="1337310" cy="6261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3731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79"/>
        <w:spacing w:after="0"/>
        <w:tabs>
          <w:tab w:leader="none" w:pos="180" w:val="left"/>
        </w:tabs>
        <w:rPr>
          <w:sz w:val="20"/>
          <w:szCs w:val="20"/>
          <w:color w:val="auto"/>
        </w:rPr>
      </w:pPr>
      <w:r>
        <w:rPr>
          <w:rFonts w:ascii="Arial" w:cs="Arial" w:eastAsia="Arial" w:hAnsi="Arial"/>
          <w:sz w:val="22"/>
          <w:szCs w:val="22"/>
          <w:b w:val="1"/>
          <w:bCs w:val="1"/>
          <w:color w:val="auto"/>
        </w:rPr>
        <w:t>P R O S P E C T U S</w:t>
      </w:r>
      <w:r>
        <w:rPr>
          <w:sz w:val="20"/>
          <w:szCs w:val="20"/>
          <w:color w:val="auto"/>
        </w:rPr>
        <w:tab/>
      </w:r>
      <w:r>
        <w:rPr>
          <w:rFonts w:ascii="Arial" w:cs="Arial" w:eastAsia="Arial" w:hAnsi="Arial"/>
          <w:sz w:val="21"/>
          <w:szCs w:val="21"/>
          <w:b w:val="1"/>
          <w:bCs w:val="1"/>
          <w:color w:val="auto"/>
        </w:rPr>
        <w:t>S U P P L E M E N T</w:t>
      </w:r>
    </w:p>
    <w:p>
      <w:pPr>
        <w:spacing w:after="0" w:line="21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151765</wp:posOffset>
            </wp:positionV>
            <wp:extent cx="19202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1160"/>
        <w:spacing w:after="0"/>
        <w:tabs>
          <w:tab w:leader="none" w:pos="3360" w:val="left"/>
          <w:tab w:leader="none" w:pos="5400" w:val="left"/>
        </w:tabs>
        <w:rPr>
          <w:sz w:val="20"/>
          <w:szCs w:val="20"/>
          <w:color w:val="auto"/>
        </w:rPr>
      </w:pP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19"/>
          <w:szCs w:val="19"/>
          <w:b w:val="1"/>
          <w:bCs w:val="1"/>
          <w:color w:val="auto"/>
        </w:rPr>
        <w:t>Credit Suisse Morgan Stanley 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3380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380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33806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3806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514985</wp:posOffset>
            </wp:positionV>
            <wp:extent cx="734187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400"/>
          </w:cols>
          <w:pgMar w:left="160" w:top="51" w:right="1339" w:bottom="1440" w:gutter="0" w:footer="0" w:header="0"/>
        </w:sectPr>
      </w:pPr>
    </w:p>
    <w:bookmarkStart w:id="114" w:name="page115"/>
    <w:bookmarkEnd w:id="1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3"/>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lvl w:ilvl="1">
      <w:lvlJc w:val="left"/>
      <w:lvlText w:val="**"/>
      <w:numFmt w:val="bullet"/>
      <w:start w:val="1"/>
    </w:lvl>
  </w:abstractNum>
  <w:abstractNum w:abstractNumId="10">
    <w:nsid w:val="721DA317"/>
    <w:multiLevelType w:val="hybridMultilevel"/>
    <w:lvl w:ilvl="0">
      <w:lvlJc w:val="left"/>
      <w:lvlText w:val="(%1)"/>
      <w:numFmt w:val="decimal"/>
      <w:start w:val="5"/>
    </w:lvl>
    <w:lvl w:ilvl="1">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6"/>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lowerRoman"/>
      <w:start w:val="1"/>
    </w:lvl>
  </w:abstractNum>
  <w:abstractNum w:abstractNumId="20">
    <w:nsid w:val="54E49EB4"/>
    <w:multiLevelType w:val="hybridMultilevel"/>
    <w:lvl w:ilvl="0">
      <w:lvlJc w:val="left"/>
      <w:lvlText w:val="(%1)"/>
      <w:numFmt w:val="lowerRoman"/>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6"/>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2"/>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2019-12-20T12:43:07Z</dcterms:created>
  <dcterms:modified xsi:type="dcterms:W3CDTF">2019-12-20T12:43:07Z</dcterms:modified>
</cp:coreProperties>
</file>