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340" w:right="11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GasLog Partners LP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517"/>
        </w:trPr>
        <w:tc>
          <w:tcPr>
            <w:tcW w:w="99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20-FForm 40-F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r>
      <w:tr>
        <w:trPr>
          <w:trHeight w:val="448"/>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99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8"/>
        </w:trPr>
        <w:tc>
          <w:tcPr>
            <w:tcW w:w="9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459"/>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1" w:name="page2"/>
    <w:bookmarkEnd w:id="1"/>
    <w:p>
      <w:pPr>
        <w:ind w:right="300" w:firstLine="324"/>
        <w:spacing w:after="0" w:line="298" w:lineRule="auto"/>
        <w:rPr>
          <w:sz w:val="20"/>
          <w:szCs w:val="20"/>
          <w:color w:val="auto"/>
        </w:rPr>
      </w:pPr>
      <w:r>
        <w:rPr>
          <w:rFonts w:ascii="Times New Roman" w:cs="Times New Roman" w:eastAsia="Times New Roman" w:hAnsi="Times New Roman"/>
          <w:sz w:val="16"/>
          <w:szCs w:val="16"/>
          <w:color w:val="auto"/>
        </w:rPr>
        <w:t>The press release issued by GasLog Partners LP on April 27, 2023 relating to its results for the three-month period ended March 31, 2023 and the related financial report are attached hereto as Exhibits 99.1, 99.2 and 99.3, respectively.</w:t>
      </w:r>
    </w:p>
    <w:p>
      <w:pPr>
        <w:spacing w:after="0" w:line="1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INCORPORATION BY REFERENCE</w:t>
      </w:r>
    </w:p>
    <w:p>
      <w:pPr>
        <w:spacing w:after="0" w:line="235"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6"/>
          <w:szCs w:val="16"/>
          <w:color w:val="auto"/>
        </w:rPr>
        <w:t>Exhibits 99.2 and 99.3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EXHIBIT LIST</w:t>
            </w:r>
          </w:p>
        </w:tc>
      </w:tr>
      <w:tr>
        <w:trPr>
          <w:trHeight w:val="418"/>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w:t>
            </w: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397"/>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0000EE"/>
                <w:w w:val="99"/>
              </w:rPr>
              <w:t>99.</w:t>
            </w:r>
            <w:r>
              <w:rPr>
                <w:rFonts w:ascii="Times New Roman" w:cs="Times New Roman" w:eastAsia="Times New Roman" w:hAnsi="Times New Roman"/>
                <w:sz w:val="16"/>
                <w:szCs w:val="16"/>
                <w:u w:val="single" w:color="auto"/>
                <w:color w:val="0000EE"/>
                <w:w w:val="99"/>
              </w:rPr>
              <w:t>1</w:t>
            </w:r>
          </w:p>
        </w:tc>
        <w:tc>
          <w:tcPr>
            <w:tcW w:w="84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Press Release dated April 27, 2023</w:t>
            </w:r>
          </w:p>
        </w:tc>
      </w:tr>
      <w:tr>
        <w:trPr>
          <w:trHeight w:val="20"/>
        </w:trPr>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99.</w:t>
            </w:r>
            <w:r>
              <w:rPr>
                <w:rFonts w:ascii="Times New Roman" w:cs="Times New Roman" w:eastAsia="Times New Roman" w:hAnsi="Times New Roman"/>
                <w:sz w:val="16"/>
                <w:szCs w:val="16"/>
                <w:u w:val="single" w:color="auto"/>
                <w:color w:val="0000EE"/>
                <w:w w:val="99"/>
              </w:rPr>
              <w:t>2</w:t>
            </w:r>
          </w:p>
        </w:tc>
        <w:tc>
          <w:tcPr>
            <w:tcW w:w="840" w:type="dxa"/>
            <w:vAlign w:val="bottom"/>
          </w:tcPr>
          <w:p>
            <w:pPr>
              <w:spacing w:after="0"/>
              <w:rPr>
                <w:sz w:val="24"/>
                <w:szCs w:val="24"/>
                <w:color w:val="auto"/>
              </w:rPr>
            </w:pPr>
          </w:p>
        </w:tc>
        <w:tc>
          <w:tcPr>
            <w:tcW w:w="4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Financial Report for the Three Months Ended March 31, 2023</w:t>
            </w:r>
          </w:p>
        </w:tc>
        <w:tc>
          <w:tcPr>
            <w:tcW w:w="1720" w:type="dxa"/>
            <w:vAlign w:val="bottom"/>
          </w:tcPr>
          <w:p>
            <w:pPr>
              <w:spacing w:after="0"/>
              <w:rPr>
                <w:sz w:val="24"/>
                <w:szCs w:val="24"/>
                <w:color w:val="auto"/>
              </w:rPr>
            </w:pPr>
          </w:p>
        </w:tc>
      </w:tr>
      <w:tr>
        <w:trPr>
          <w:trHeight w:val="447"/>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w:t>
            </w:r>
          </w:p>
        </w:tc>
      </w:tr>
      <w:tr>
        <w:trPr>
          <w:trHeight w:val="397"/>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0000EE"/>
                <w:w w:val="99"/>
              </w:rPr>
              <w:t>99.</w:t>
            </w:r>
            <w:r>
              <w:rPr>
                <w:rFonts w:ascii="Times New Roman" w:cs="Times New Roman" w:eastAsia="Times New Roman" w:hAnsi="Times New Roman"/>
                <w:sz w:val="16"/>
                <w:szCs w:val="16"/>
                <w:u w:val="single" w:color="auto"/>
                <w:color w:val="0000EE"/>
                <w:w w:val="99"/>
              </w:rPr>
              <w:t>3</w:t>
            </w:r>
          </w:p>
        </w:tc>
        <w:tc>
          <w:tcPr>
            <w:tcW w:w="84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Unaudited Condensed Consolidated Financial Statements</w:t>
            </w:r>
          </w:p>
        </w:tc>
      </w:tr>
      <w:tr>
        <w:trPr>
          <w:trHeight w:val="20"/>
        </w:trPr>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9" w:right="4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color w:val="auto"/>
        </w:rPr>
        <w:t>SIGNATURES</w:t>
      </w:r>
    </w:p>
    <w:p>
      <w:pPr>
        <w:spacing w:after="0" w:line="235"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27, 2023</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PARTNERS LP</w:t>
      </w:r>
    </w:p>
    <w:p>
      <w:pPr>
        <w:spacing w:after="0" w:line="248" w:lineRule="exact"/>
        <w:rPr>
          <w:sz w:val="20"/>
          <w:szCs w:val="20"/>
          <w:color w:val="auto"/>
        </w:rPr>
      </w:pPr>
    </w:p>
    <w:p>
      <w:pPr>
        <w:ind w:left="5980"/>
        <w:spacing w:after="0"/>
        <w:tabs>
          <w:tab w:leader="none" w:pos="630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26" w:lineRule="exact"/>
        <w:rPr>
          <w:sz w:val="20"/>
          <w:szCs w:val="20"/>
          <w:color w:val="auto"/>
        </w:rPr>
      </w:pPr>
    </w:p>
    <w:tbl>
      <w:tblPr>
        <w:tblLayout w:type="fixed"/>
        <w:tblInd w:w="6320" w:type="dxa"/>
        <w:tblCellMar>
          <w:top w:w="0" w:type="dxa"/>
          <w:left w:w="0" w:type="dxa"/>
          <w:bottom w:w="0" w:type="dxa"/>
          <w:right w:w="0" w:type="dxa"/>
        </w:tblCellMar>
      </w:tblPr>
      <w:tr>
        <w:trPr>
          <w:trHeight w:val="202"/>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w:t>
            </w:r>
          </w:p>
        </w:tc>
        <w:tc>
          <w:tcPr>
            <w:tcW w:w="37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Paolo Enoizi</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9"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Partners LP Reports Financial Results for the Three-Month Period Ended March 31, 2023 and Declares Cash Distribution</w:t>
      </w:r>
    </w:p>
    <w:p>
      <w:pPr>
        <w:spacing w:after="0" w:line="235"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Majuro, Marshall Islands, April 27, 2023, GasLog Partners LP (“GasLog Partners” or the “Partnership”) (NYSE: GLOP), </w:t>
      </w:r>
      <w:r>
        <w:rPr>
          <w:rFonts w:ascii="Times New Roman" w:cs="Times New Roman" w:eastAsia="Times New Roman" w:hAnsi="Times New Roman"/>
          <w:sz w:val="16"/>
          <w:szCs w:val="16"/>
          <w:color w:val="auto"/>
        </w:rPr>
        <w:t>an international owner and operator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liquefied natural gas (“LNG”) carriers, today reported its financial results for the three-month period ended March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Highlights</w:t>
      </w:r>
    </w:p>
    <w:p>
      <w:pPr>
        <w:spacing w:after="0" w:line="237" w:lineRule="exact"/>
        <w:rPr>
          <w:sz w:val="20"/>
          <w:szCs w:val="20"/>
          <w:color w:val="auto"/>
        </w:rPr>
      </w:pPr>
    </w:p>
    <w:p>
      <w:pPr>
        <w:jc w:val="both"/>
        <w:ind w:left="340" w:right="420" w:hanging="332"/>
        <w:spacing w:after="0" w:line="267"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Announced an Agreement and Plan of Merger pursuant to which GasLog Ltd. (“GasLog”) will acquire all of the outstanding common units of the Partnership not beneficially owned by GasLog (the “Transaction”), subject to approval of the Transaction by holders of a majority of the common units of the Partnership and the satisfaction of certain closing conditions.</w:t>
      </w:r>
    </w:p>
    <w:p>
      <w:pPr>
        <w:spacing w:after="0" w:line="1" w:lineRule="exact"/>
        <w:rPr>
          <w:rFonts w:ascii="Times New Roman" w:cs="Times New Roman" w:eastAsia="Times New Roman" w:hAnsi="Times New Roman"/>
          <w:sz w:val="16"/>
          <w:szCs w:val="16"/>
          <w:color w:val="auto"/>
        </w:rPr>
      </w:pPr>
    </w:p>
    <w:p>
      <w:pPr>
        <w:ind w:left="340" w:right="62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Completed the sale and lease-back of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a tri-fuel diesel electric propulsion (“TFDE”) LNG carrier with a wholly-owned subsidiary of China Development Bank Leasing (“CDBL”), with no repurchase option or obligation.</w:t>
      </w:r>
    </w:p>
    <w:p>
      <w:pPr>
        <w:ind w:left="340" w:right="10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time charter agreement of the </w:t>
      </w:r>
      <w:r>
        <w:rPr>
          <w:rFonts w:ascii="Times New Roman" w:cs="Times New Roman" w:eastAsia="Times New Roman" w:hAnsi="Times New Roman"/>
          <w:sz w:val="16"/>
          <w:szCs w:val="16"/>
          <w:i w:val="1"/>
          <w:iCs w:val="1"/>
          <w:color w:val="auto"/>
        </w:rPr>
        <w:t>GasLog Geneva</w:t>
      </w:r>
      <w:r>
        <w:rPr>
          <w:rFonts w:ascii="Times New Roman" w:cs="Times New Roman" w:eastAsia="Times New Roman" w:hAnsi="Times New Roman"/>
          <w:sz w:val="16"/>
          <w:szCs w:val="16"/>
          <w:color w:val="auto"/>
        </w:rPr>
        <w:t>, a TFDE LNG carrier, with a wholly-owned subsidiary of Shell plc (“Shell”) was extended by five years, following the exercise of their extension option.</w:t>
      </w:r>
    </w:p>
    <w:p>
      <w:pPr>
        <w:ind w:left="340" w:right="36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Repaid $32.1 million of debt and lease liabilities during the first three months of 2023 and prepaid $87.8 million pursuant to the sale and lease-back of the </w:t>
      </w:r>
      <w:r>
        <w:rPr>
          <w:rFonts w:ascii="Times New Roman" w:cs="Times New Roman" w:eastAsia="Times New Roman" w:hAnsi="Times New Roman"/>
          <w:sz w:val="16"/>
          <w:szCs w:val="16"/>
          <w:i w:val="1"/>
          <w:iCs w:val="1"/>
          <w:color w:val="auto"/>
        </w:rPr>
        <w:t>GasLog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Sydney</w:t>
      </w:r>
      <w:r>
        <w:rPr>
          <w:rFonts w:ascii="Times New Roman" w:cs="Times New Roman" w:eastAsia="Times New Roman" w:hAnsi="Times New Roman"/>
          <w:sz w:val="16"/>
          <w:szCs w:val="16"/>
          <w:color w:val="auto"/>
        </w:rPr>
        <w:t>.</w:t>
      </w:r>
    </w:p>
    <w:p>
      <w:pPr>
        <w:ind w:left="340" w:hanging="332"/>
        <w:spacing w:after="0" w:line="191" w:lineRule="auto"/>
        <w:tabs>
          <w:tab w:leader="none" w:pos="340" w:val="left"/>
        </w:tabs>
        <w:numPr>
          <w:ilvl w:val="0"/>
          <w:numId w:val="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Quarterly Revenues, Profit, Adjusted Profit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and 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$99.1 million, $36.4 million, $39.3 million and $76.3 million, respectively.</w:t>
      </w:r>
    </w:p>
    <w:p>
      <w:pPr>
        <w:ind w:left="340" w:hanging="332"/>
        <w:spacing w:after="0" w:line="183" w:lineRule="auto"/>
        <w:tabs>
          <w:tab w:leader="none" w:pos="34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Quarterly Earnings per unit (“EPU”) of $0.56 and Adjusted EPU</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3"/>
          <w:szCs w:val="13"/>
          <w:color w:val="auto"/>
        </w:rPr>
        <w:t xml:space="preserve"> of $0.62.</w:t>
      </w: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Declared cash distribution of $0.01 per common unit for the first quarter of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CEO Statement</w:t>
      </w:r>
    </w:p>
    <w:p>
      <w:pPr>
        <w:spacing w:after="0" w:line="23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Paolo Enoizi, Chief Executive Officer, commented: “The entering into an Agreement and Plan of Merger with GasLog is a transformative transaction for the Partnership that will enable its unitholders to take advantage of a significant premium to the unit trading price. Both the conflicts committee and the Partnership’s board of directors have unanimously approved and determined the transaction to be fair and in the best interests of the Partnership and the common unitholders unaffiliated with GasLog. Subject to the affirmative vote of the majority of the common unitholders, we expect the transaction to close in the third quarter of this year. We are excited to join GasLog and look forward to continuing to build our business while maintaining our focus on operational excellence and our strategy execution.</w:t>
      </w:r>
    </w:p>
    <w:p>
      <w:pPr>
        <w:spacing w:after="0" w:line="18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auto"/>
        </w:rPr>
        <w:t>Overall, the term fixtures executed so far have enabled the execution of our capital allocation strategy, helping us make meaningful progress towards our leverage targets and strengthening our balance sheet with the repurchase of $49.2 million in preference units in the past year, or approximately $68.0 million since inception of the repurchase plan in August 2021, which is also improving the Partnership’s all-in break-even levels in our fleet. The Partnership has capitalized on the strong LNG market through profitable fixtures, exercised charterers’ options and sale and lease-backs.”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Financial Summary</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40" w:type="dxa"/>
            <w:vAlign w:val="bottom"/>
            <w:gridSpan w:val="3"/>
            <w:vMerge w:val="restart"/>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80" w:type="dxa"/>
            <w:vAlign w:val="bottom"/>
          </w:tcPr>
          <w:p>
            <w:pPr>
              <w:spacing w:after="0"/>
              <w:rPr>
                <w:sz w:val="24"/>
                <w:szCs w:val="24"/>
                <w:color w:val="auto"/>
              </w:rPr>
            </w:pPr>
          </w:p>
        </w:tc>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All amounts expressed in thousands of U.S. dollars,</w:t>
            </w:r>
          </w:p>
        </w:tc>
        <w:tc>
          <w:tcPr>
            <w:tcW w:w="38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860" w:type="dxa"/>
            <w:vAlign w:val="bottom"/>
            <w:gridSpan w:val="2"/>
            <w:vMerge w:val="continue"/>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except per unit amounts</w:t>
            </w:r>
            <w:r>
              <w:rPr>
                <w:rFonts w:ascii="Times New Roman" w:cs="Times New Roman" w:eastAsia="Times New Roman" w:hAnsi="Times New Roman"/>
                <w:sz w:val="16"/>
                <w:szCs w:val="16"/>
                <w:color w:val="auto"/>
              </w:rPr>
              <w:t>)</w:t>
            </w:r>
          </w:p>
        </w:tc>
        <w:tc>
          <w:tcPr>
            <w:tcW w:w="20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60" w:type="dxa"/>
            <w:vAlign w:val="bottom"/>
            <w:tcBorders>
              <w:top w:val="single" w:sz="8" w:color="E5FFFF"/>
            </w:tcBorders>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9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85,459</w:t>
            </w:r>
          </w:p>
        </w:tc>
        <w:tc>
          <w:tcPr>
            <w:tcW w:w="12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99,069</w:t>
            </w:r>
          </w:p>
        </w:tc>
        <w:tc>
          <w:tcPr>
            <w:tcW w:w="10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34,981</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8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EPU, common (basic)</w:t>
            </w:r>
          </w:p>
        </w:tc>
        <w:tc>
          <w:tcPr>
            <w:tcW w:w="19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shd w:val="clear" w:color="auto" w:fill="E5FFFF"/>
          </w:tcPr>
          <w:p>
            <w:pPr>
              <w:spacing w:after="0"/>
              <w:rPr>
                <w:sz w:val="19"/>
                <w:szCs w:val="19"/>
                <w:color w:val="auto"/>
              </w:rPr>
            </w:pPr>
          </w:p>
        </w:tc>
        <w:tc>
          <w:tcPr>
            <w:tcW w:w="1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Adjusted Profit</w:t>
            </w:r>
            <w:r>
              <w:rPr>
                <w:rFonts w:ascii="Times New Roman" w:cs="Times New Roman" w:eastAsia="Times New Roman" w:hAnsi="Times New Roman"/>
                <w:sz w:val="26"/>
                <w:szCs w:val="26"/>
                <w:color w:val="auto"/>
                <w:vertAlign w:val="superscript"/>
              </w:rPr>
              <w:t>(1)</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28,326</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6"/>
                <w:szCs w:val="26"/>
                <w:color w:val="auto"/>
                <w:vertAlign w:val="superscript"/>
              </w:rPr>
              <w:t>(1)</w:t>
            </w:r>
          </w:p>
        </w:tc>
        <w:tc>
          <w:tcPr>
            <w:tcW w:w="19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60,901</w:t>
            </w:r>
          </w:p>
        </w:tc>
        <w:tc>
          <w:tcPr>
            <w:tcW w:w="120" w:type="dxa"/>
            <w:vAlign w:val="bottom"/>
            <w:shd w:val="clear" w:color="auto" w:fill="E5FFFF"/>
          </w:tcPr>
          <w:p>
            <w:pPr>
              <w:spacing w:after="0"/>
              <w:rPr>
                <w:sz w:val="21"/>
                <w:szCs w:val="21"/>
                <w:color w:val="auto"/>
              </w:rPr>
            </w:pPr>
          </w:p>
        </w:tc>
        <w:tc>
          <w:tcPr>
            <w:tcW w:w="1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76,324</w:t>
            </w:r>
          </w:p>
        </w:tc>
        <w:tc>
          <w:tcPr>
            <w:tcW w:w="1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EPU, common (basic)</w:t>
            </w:r>
            <w:r>
              <w:rPr>
                <w:rFonts w:ascii="Times New Roman" w:cs="Times New Roman" w:eastAsia="Times New Roman" w:hAnsi="Times New Roman"/>
                <w:sz w:val="26"/>
                <w:szCs w:val="26"/>
                <w:color w:val="auto"/>
                <w:vertAlign w:val="superscript"/>
              </w:rPr>
              <w:t>(1)</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right="80"/>
        <w:spacing w:after="0" w:line="235" w:lineRule="auto"/>
        <w:rPr>
          <w:sz w:val="20"/>
          <w:szCs w:val="20"/>
          <w:color w:val="auto"/>
        </w:rPr>
      </w:pPr>
      <w:r>
        <w:rPr>
          <w:rFonts w:ascii="Times New Roman" w:cs="Times New Roman" w:eastAsia="Times New Roman" w:hAnsi="Times New Roman"/>
          <w:sz w:val="16"/>
          <w:szCs w:val="16"/>
          <w:color w:val="auto"/>
        </w:rPr>
        <w:t xml:space="preserve">There were 1,203 available days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for the quarter ended March 31, 2023, as compared to 1,350 available days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for the quarter ended March 31, 2022. The quarter-over-quarter decrease is attributable to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in September 2022 and the scheduled dry-docking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in the first quarter of 2023.</w:t>
      </w:r>
    </w:p>
    <w:p>
      <w:pPr>
        <w:spacing w:after="0" w:line="21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 xml:space="preserve">Revenues were $99.1 million for the quarter ended March 31, 2023, compared to $85.5 million for the same period in 2022. The increase of $13.6 million is mainly attributable to a net increase in revenues from our vessels operating in the spot and short-term markets in the first quarter of 2023, under time charters that were executed in 2022. This net increase was partially offset by a decrease in revenues due to the off-charter days of the scheduled dry-docking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and also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in the third quarter of 2022.</w:t>
      </w:r>
    </w:p>
    <w:p>
      <w:pPr>
        <w:spacing w:after="0" w:line="183"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6"/>
          <w:szCs w:val="16"/>
          <w:color w:val="auto"/>
        </w:rPr>
        <w:t>Vessel operating costs were $15.9 million for the quarter ended March 31, 2023, compared to $18.6 million for the same period in 2022. The decrease of $2.7 million in vessel operating costs is mainly attributable to a decrease of $1.5 million in crew costs, largely related to cost savings in 2023 following the relaxation of our COVID-19 enhanced protocols and a more favorable EUR/USD exchange rate in the first quarter of 2023 compared to the same period in 2022. There was also a decrease of $0.7 million in technical maintenance costs, mainly due to timing of the fleet</w:t>
      </w:r>
    </w:p>
    <w:p>
      <w:pPr>
        <w:sectPr>
          <w:pgSz w:w="11900" w:h="16838" w:orient="portrait"/>
          <w:cols w:equalWidth="0" w:num="1">
            <w:col w:w="11240"/>
          </w:cols>
          <w:pgMar w:left="320" w:top="124"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 w:name="page5"/>
    <w:bookmarkEnd w:id="4"/>
    <w:p>
      <w:pPr>
        <w:ind w:right="300"/>
        <w:spacing w:after="0" w:line="298" w:lineRule="auto"/>
        <w:rPr>
          <w:sz w:val="20"/>
          <w:szCs w:val="20"/>
          <w:color w:val="auto"/>
        </w:rPr>
      </w:pPr>
      <w:r>
        <w:rPr>
          <w:rFonts w:ascii="Times New Roman" w:cs="Times New Roman" w:eastAsia="Times New Roman" w:hAnsi="Times New Roman"/>
          <w:sz w:val="16"/>
          <w:szCs w:val="16"/>
          <w:color w:val="auto"/>
        </w:rPr>
        <w:t>maintenance needs in the first quarter of 2023, compared to the same period in 2022. As a result, daily operating costs per vessel decreased from $14,741 per day for the quarter ended March 31, 2022, to $12,640 per day for the quarter ended March 31, 2023.</w:t>
      </w:r>
    </w:p>
    <w:p>
      <w:pPr>
        <w:spacing w:after="0" w:line="164"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6"/>
          <w:szCs w:val="16"/>
          <w:color w:val="auto"/>
        </w:rPr>
        <w:t>General and administrative expenses were $5.6 million for the quarter ended March 31, 2023, compared to $4.7 million for the same period in 2022. The increase of $0.9 million in general and administrative expenses is mainly attributable to transaction costs of $0.8 million incurred by the Partnership in the first quarter of 2023, mainly comprising legal and other professional fees in connection with the evaluation of the terms of GasLog’s offer to acquire all of the outstanding common units representing limited partner interests of the Partnership not already beneficially owned by GasLog. As a result, daily general and administrative expenses increased from $3,472 per vessel ownership day for the quarter ended March 31, 2022, to $4,482 per vessel ownership day for the quarter ended March 31, 2023.</w:t>
      </w:r>
    </w:p>
    <w:p>
      <w:pPr>
        <w:spacing w:after="0" w:line="187" w:lineRule="exact"/>
        <w:rPr>
          <w:sz w:val="20"/>
          <w:szCs w:val="20"/>
          <w:color w:val="auto"/>
        </w:rPr>
      </w:pPr>
    </w:p>
    <w:p>
      <w:pPr>
        <w:ind w:right="380"/>
        <w:spacing w:after="0" w:line="224" w:lineRule="auto"/>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was $76.3 million for the quarter ended March 31, 2023, compared to $60.9 million for the same period in 2022. The increase of $15.4 million is mainly attributable to the increase in revenues of $13.6 million and the decrease in vessel operating costs of $2.7 million described above.</w:t>
      </w:r>
    </w:p>
    <w:p>
      <w:pPr>
        <w:spacing w:after="0" w:line="21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Financial costs were $17.4 million for the quarter ended March 31, 2023, compared to $8.8 million for the same period in 2022. The increase of $8.6 million in financial costs is mainly attributable to an increase of $8.9 million in interest expense on loans, primarily due to an increase in base interest rates (London Interbank Offered Rate, “LIBOR”, and Secured Overnight Financing Rate, “SOFR”) year-over-year. During the quarter ended March 31, 2023, we had an average of $872.4 million of bank borrowings outstanding under our credit facilities with a weighted average interest rate of 7.2%, compared to an average of $1,083.4 million of bank borrowings outstanding under our credit facilities with a weighted average interest rate of 2.5% during the quarter ended March 31, 2022.</w:t>
      </w:r>
    </w:p>
    <w:p>
      <w:pPr>
        <w:spacing w:after="0" w:line="18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Loss on derivatives was $0.2 million for the quarter ended March 31, 2023, compared to a gain of $5.0 million for the same period in 2022. The decrease in gain of $5.2 million is attributable to a net decrease of $7.6 million in unrealized gain from the mark-to-market valuation of derivatives (interest rate swaps and forward foreign exchange contracts) held for trading, which were carried at fair value through profit or loss, mainly due to changes in the forward yield curve, partially offset by a decrease of $2.4 million in realized loss on derivatives held for trading.</w:t>
      </w:r>
    </w:p>
    <w:p>
      <w:pPr>
        <w:spacing w:after="0" w:line="183"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6"/>
          <w:szCs w:val="16"/>
          <w:color w:val="auto"/>
        </w:rPr>
        <w:t xml:space="preserve">Profit was $36.4 million for the quarter ended March 31, 2023, compared to $35.0 million for the same period in 2022. The increase in profit of $1.4 million is mainly attributable to the increase in revenues of $13.6 million and the decrease in vessel operating costs of $2.7 million, partially offset by an increase of $8.6 million in financial costs and a decrease of $5.2 million in gain on derivatives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an increase of $0.9 million in general and administrative expenses, as described above.</w:t>
      </w:r>
    </w:p>
    <w:p>
      <w:pPr>
        <w:spacing w:after="0" w:line="16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6"/>
          <w:szCs w:val="16"/>
          <w:color w:val="auto"/>
        </w:rPr>
        <w:t xml:space="preserve">Adjusted Profit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was $39.3 million for the quarter ended March 31, 2023, compared to $28.3 million for the same period in 2022. The increase in Adjusted Profit of $11.0 million is mainly attributable to the increase in revenues of $13.6 million, a decrease in operating costs of $2.7 million and an increase in financial income of $2.3 million, partially offset by the increase in interest expense on loans of $8.9 million discussed above.</w:t>
      </w:r>
    </w:p>
    <w:p>
      <w:pPr>
        <w:spacing w:after="0" w:line="21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As of March 31, 2023, we had $225.6 million of cash and cash equivalents, of which $80.1 million was held in current accounts and $145.5 million was held in time deposits with an original duration of up to three months. An additional amount of $57.0 million of time deposits with an original duration of greater than three months was classified under short-term cash deposits.</w:t>
      </w:r>
    </w:p>
    <w:p>
      <w:pPr>
        <w:spacing w:after="0" w:line="177"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 xml:space="preserve">As of March 31, 2023, we had an aggregate of $805.6 million of bank borrowings outstanding under our credit facilities, of which $224.2 million was repayable within one year, and an aggregate of $114.8 million of lease liabilities mainly related to the sale and lease-backs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Sydney</w:t>
      </w:r>
      <w:r>
        <w:rPr>
          <w:rFonts w:ascii="Times New Roman" w:cs="Times New Roman" w:eastAsia="Times New Roman" w:hAnsi="Times New Roman"/>
          <w:sz w:val="16"/>
          <w:szCs w:val="16"/>
          <w:color w:val="auto"/>
        </w:rPr>
        <w:t>, of which $27.9 million was payable within one year.</w:t>
      </w:r>
    </w:p>
    <w:p>
      <w:pPr>
        <w:spacing w:after="0" w:line="1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As of March 31, 2023, our current assets totaled $309.9 million and current liabilities totaled $312.1 million, resulting in a negative working capital position of $2.2 million. Current liabilities include $25.9 million of unearned revenue in relation to hires received in advance (which represents a non-cash liability that will be recognized as revenues after March 31, 2023, as the services are rendered). Current liabilities also include $156.2 million of current debt (net of fees) related to the loan facility with Credit Suisse AG, Nordea Bank Abp, filial i Norge, Iyo Bank Ltd., Singapore Branch and the Development Bank of Japan, Inc., which matures in February 2024.</w:t>
      </w:r>
    </w:p>
    <w:p>
      <w:pPr>
        <w:spacing w:after="0" w:line="174" w:lineRule="exact"/>
        <w:rPr>
          <w:sz w:val="20"/>
          <w:szCs w:val="20"/>
          <w:color w:val="auto"/>
        </w:rPr>
      </w:pPr>
    </w:p>
    <w:p>
      <w:pPr>
        <w:ind w:left="340" w:right="400" w:hanging="332"/>
        <w:spacing w:after="0" w:line="229"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Adjusted Profit, Adjusted EBITDA and Adjusted EPU are non-GAAP financial measures and should not be used in isolation or as substitutes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ind w:left="340" w:right="20" w:hanging="332"/>
        <w:spacing w:after="0" w:line="239"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Available days represent total calendar days in the period after deducting off-hire days where vessels are undergoing dry-dockings and unavailable days (for example, days before and after a dry-docking where the vessel has limited practical ability for chartering opportunities).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Merger Agreement with GasLog</w:t>
      </w:r>
    </w:p>
    <w:p>
      <w:pPr>
        <w:spacing w:after="0" w:line="23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On April 6, 2023, the Partnership entered into an Agreement and Plan of Merger (the “Merger Agreement”) with GasLog and subsidiaries of GasLog. Pursuant to the Merger Agreement, GasLog will acquire the outstanding common units of the Partnership not beneficially owned by GasLog for overall consideration of $8.65 per common unit in cash, consisting in part of a special distribution by the Partnership of $3.28 per common unit in cash that will be distributed to the Partnership’s unitholders in connection with the closing of the Transaction and the remainder to be paid by GasLog as merger consideration at the closing of the Transaction.</w:t>
      </w:r>
    </w:p>
    <w:p>
      <w:pPr>
        <w:spacing w:after="0" w:line="18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5" w:name="page6"/>
    <w:bookmarkEnd w:id="5"/>
    <w:p>
      <w:pPr>
        <w:ind w:right="40"/>
        <w:spacing w:after="0" w:line="275" w:lineRule="auto"/>
        <w:rPr>
          <w:sz w:val="20"/>
          <w:szCs w:val="20"/>
          <w:color w:val="auto"/>
        </w:rPr>
      </w:pPr>
      <w:r>
        <w:rPr>
          <w:rFonts w:ascii="Times New Roman" w:cs="Times New Roman" w:eastAsia="Times New Roman" w:hAnsi="Times New Roman"/>
          <w:sz w:val="16"/>
          <w:szCs w:val="16"/>
          <w:color w:val="auto"/>
        </w:rPr>
        <w:t>The Transaction is expected to close by the end of the third quarter of 2023, subject to approval of the Transaction by holders of a majority of the common units of the Partnership and the satisfaction of certain closing conditions. GasLog owns 30.2% of the common units of the Partnership and has entered into a support agreement with the Partnership committing to vote its common units in favor of the Transaction. Upon closing of the Transaction, the Partnership’s preference units will continue to trade on the New York Stock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 xml:space="preserve">Sale and Lease-Back of the </w:t>
      </w:r>
      <w:r>
        <w:rPr>
          <w:rFonts w:ascii="Times New Roman" w:cs="Times New Roman" w:eastAsia="Times New Roman" w:hAnsi="Times New Roman"/>
          <w:sz w:val="16"/>
          <w:szCs w:val="16"/>
          <w:b w:val="1"/>
          <w:bCs w:val="1"/>
          <w:i w:val="1"/>
          <w:iCs w:val="1"/>
          <w:u w:val="single" w:color="auto"/>
          <w:color w:val="auto"/>
        </w:rPr>
        <w:t>GasLog Sydney</w:t>
      </w:r>
    </w:p>
    <w:p>
      <w:pPr>
        <w:spacing w:after="0" w:line="237"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 xml:space="preserve">On March 30, 2023, GasLog Partners completed the sale and lease-back of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a 155,000 cubic meter (“cbm”) TFDE LNG carrier, built in 2013, with CDBL. The vessel was sold and leased back under a bareboat charter with CDBL for a period of five years with no repurchase option or obligation, at a price of $140.0 million. The completion of the transaction resulted in the recognition of an impairment loss of $0.1 million and a loss on disposal of $1.0 million in the three months ended March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LNG Market Update and Outlook</w:t>
      </w:r>
    </w:p>
    <w:p>
      <w:pPr>
        <w:spacing w:after="0" w:line="23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Global LNG demand was estimated to be 103.5 million tonnes (“mt”) in the first quarter of 2023, according to Wood Mackenzie, Energy Research and Consultancy (“WoodMac”), compared to 103.7 mt in the first quarter of 2022, a decrease of approximately 0.2%. The continuing disruption of Russian pipeline imports was outweighed by mild weather in Europe, reduced consumption initiatives and lower demand from Asia, especially from China as a result of continuing lockdowns and fuel switching. This resulted in European inventories reaching seasonal highs of 55.65% on March 31, 2023.</w:t>
      </w:r>
    </w:p>
    <w:p>
      <w:pPr>
        <w:spacing w:after="0" w:line="18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Global LNG supply was approximately 103.3 mt in the first quarter of 2023, growing by 2.5 mt, or 2.4%, compared to the first quarter of 2022, according to WoodMac. Over 2023, WoodMac estimates LNG supply will rise by about 12.2 mt, or 3%, with the majority of the increase coming from the United States (“U.S.”). During the first quarter of 2023, an average of 75% of U.S. exports were directed to Europe, a further increase from the 69% observed in 2022, according to Kpler Analytics.</w:t>
      </w:r>
    </w:p>
    <w:p>
      <w:pPr>
        <w:spacing w:after="0" w:line="17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Headline spot rates in the first quarter of 2023 for 160,000 cbm TFDE vessels fell to an average of about $71,560 per day as per weekly assessment by Clarksons Research Services Limited (“Clarksons”), or about 78% lower compared to the average of the fourth quarter of 2022 ($330,330 per day). This fall in rates is mainly due to the seasonal downturn, high inventories, continuing strong flows from the U.S. to Europe and bearish sentiments caused by delays in the operation of Freeport and Calcasieu pass. This has been compounded by increased availability of relets.</w:t>
      </w:r>
    </w:p>
    <w:p>
      <w:pPr>
        <w:spacing w:after="0" w:line="183"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6"/>
          <w:szCs w:val="16"/>
          <w:color w:val="auto"/>
        </w:rPr>
        <w:t>One-year time charter rates for TFDE LNG carriers averaged $155,000 per day in the first quarter of 2023, about 18% lower than rates in the fourth quarter of 2022, reflecting the seasonal downturn. One-year time charter rates for Steam LNG carriers averaged $71,550 per day in the first quarter of 2023, 13% lower than the fourth quarter of 2022.</w:t>
      </w:r>
    </w:p>
    <w:p>
      <w:pPr>
        <w:spacing w:after="0" w:line="17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6"/>
          <w:szCs w:val="16"/>
          <w:color w:val="auto"/>
        </w:rPr>
        <w:t>As of March 31, 2023, Poten &amp; Partners Group Inc. estimated that the orderbook totaled 300 dedicated LNG carriers (&gt;100,000 cbm) with deliveries between 2023 and 2028 representing 49.5% of the on-the-water fleet. Of these, 264 vessels (or 88%) have multi-year charters already contracted, leaving 36 vessels uncommitted with deliveries clustered between 2023 and 2027.</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Preference Unit Distributions</w:t>
      </w:r>
    </w:p>
    <w:p>
      <w:pPr>
        <w:spacing w:after="0" w:line="237"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6"/>
          <w:szCs w:val="16"/>
          <w:color w:val="auto"/>
        </w:rPr>
        <w:t>On January 25, 2023, the board of directors of GasLog Partners approved and declared a distribution on the 8.625% Series A Cumulative Redeemable Perpetual Fixed to Floating Rate Preference Units (the “Series A Preference Units”) of $0.5390625 per preference unit, a distribution on the 8.200% Series B Cumulative Redeemable Perpetual Fixed to Floating Rate Preference Units (the “Series B Preference Units”) of $0.5125 per preference unit and a distribution on the 8.500% Series C Cumulative Redeemable Perpetual Fixed to Floating Rate Preference Units (the “Series C Preference Units”) of $0.53125 per preference unit. The cash distributions were paid on March 15, 2023 to all unitholders of record as of March 8, 2023.</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Since March 15, 2023, the Series B Preference Units are redeemable, wholly or partially, at our option, while distributions have been accruing based on a floating rate equal to three-month LIBOR plus a spread of 5.839% per annum. As a result, the Series B distribution for the period from March 15, 2023 to June 15, 2023 will be accrued based on an aggregate rate of 10.78% on an annualized basis (or $0.67375 per preference unit for this quarter) and will be reset every three months going forward.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Common Unit Distribution</w:t>
      </w:r>
    </w:p>
    <w:p>
      <w:pPr>
        <w:spacing w:after="0" w:line="23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On April 26, 2023, the board of directors of GasLog Partners approved and declared a quarterly cash distribution of $0.01 per common unit for the quarter ended March 31, 2023. The cash distribution is payable on May 11, 2023 to all unitholders of record as of May 8,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Preference Unit Repurchase Programme (“Repurchase Programme”)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three months ended March 31, 2023, there were no repurchases of preference units, due to an extended blackout period in relation to the Transaction.</w:t>
      </w:r>
    </w:p>
    <w:p>
      <w:pPr>
        <w:spacing w:after="0" w:line="23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Since inception of the Repurchase Programme and up to April 27, 2023, GasLog Partners has repurchased and cancelled 665,016 Series A Preference Units, 1,103,618 Series B Preference Units and 938,955 Series C Preference Units at a weighted average price of $24.64, $25.01 and $25.03 per preference unit for Series A, Series B and Series C, respectively, for an aggregate amount of $67.6 million including commissions.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237" w:lineRule="exact"/>
        <w:rPr>
          <w:sz w:val="20"/>
          <w:szCs w:val="20"/>
          <w:color w:val="auto"/>
        </w:rPr>
      </w:pPr>
    </w:p>
    <w:p>
      <w:pPr>
        <w:ind w:right="700"/>
        <w:spacing w:after="0" w:line="298" w:lineRule="auto"/>
        <w:rPr>
          <w:sz w:val="20"/>
          <w:szCs w:val="20"/>
          <w:color w:val="auto"/>
        </w:rPr>
      </w:pPr>
      <w:r>
        <w:rPr>
          <w:rFonts w:ascii="Times New Roman" w:cs="Times New Roman" w:eastAsia="Times New Roman" w:hAnsi="Times New Roman"/>
          <w:sz w:val="16"/>
          <w:szCs w:val="16"/>
          <w:color w:val="auto"/>
        </w:rPr>
        <w:t>GasLog Partners will host a conference call to discuss its results for the first quarter of 2023 at 8.00 a.m. EDT (3.00 p.m. EEST) on Thursday, April 27, 2023. The Partnership’s senior management will review the operational and financial performance for the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live webcast of the conference call will also be available on the Investor Relations page of the GasLog Partners website (</w:t>
      </w:r>
      <w:r>
        <w:rPr>
          <w:rFonts w:ascii="Times New Roman" w:cs="Times New Roman" w:eastAsia="Times New Roman" w:hAnsi="Times New Roman"/>
          <w:sz w:val="16"/>
          <w:szCs w:val="16"/>
          <w:u w:val="single" w:color="auto"/>
          <w:color w:val="auto"/>
        </w:rPr>
        <w:t>http://www.gaslogmlp.com/investors</w:t>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 xml:space="preserve">The conference call will be accessible domestically or internationally, by pre-registering using the link provided at </w:t>
      </w:r>
      <w:r>
        <w:rPr>
          <w:rFonts w:ascii="Times New Roman" w:cs="Times New Roman" w:eastAsia="Times New Roman" w:hAnsi="Times New Roman"/>
          <w:sz w:val="16"/>
          <w:szCs w:val="16"/>
          <w:u w:val="single" w:color="auto"/>
          <w:color w:val="auto"/>
        </w:rPr>
        <w:t>http://www.gaslogmlp.com/investors</w:t>
      </w:r>
      <w:r>
        <w:rPr>
          <w:rFonts w:ascii="Times New Roman" w:cs="Times New Roman" w:eastAsia="Times New Roman" w:hAnsi="Times New Roman"/>
          <w:sz w:val="16"/>
          <w:szCs w:val="16"/>
          <w:color w:val="auto"/>
        </w:rPr>
        <w:t>. Upon registering, each participant will be provided with a Participant Dial-in Number, and a unique Personal PIN.</w:t>
      </w:r>
    </w:p>
    <w:p>
      <w:pPr>
        <w:spacing w:after="0" w:line="164" w:lineRule="exact"/>
        <w:rPr>
          <w:sz w:val="20"/>
          <w:szCs w:val="20"/>
          <w:color w:val="auto"/>
        </w:rPr>
      </w:pPr>
    </w:p>
    <w:p>
      <w:pPr>
        <w:ind w:right="1040"/>
        <w:spacing w:after="0" w:line="298" w:lineRule="auto"/>
        <w:rPr>
          <w:sz w:val="20"/>
          <w:szCs w:val="20"/>
          <w:color w:val="auto"/>
        </w:rPr>
      </w:pPr>
      <w:r>
        <w:rPr>
          <w:rFonts w:ascii="Times New Roman" w:cs="Times New Roman" w:eastAsia="Times New Roman" w:hAnsi="Times New Roman"/>
          <w:sz w:val="16"/>
          <w:szCs w:val="16"/>
          <w:color w:val="auto"/>
        </w:rPr>
        <w:t>For those unable to participate in the conference call, a replay of the webcast will be available on the Investor Relations page of the GasLog Partners website (</w:t>
      </w:r>
      <w:r>
        <w:rPr>
          <w:rFonts w:ascii="Times New Roman" w:cs="Times New Roman" w:eastAsia="Times New Roman" w:hAnsi="Times New Roman"/>
          <w:sz w:val="16"/>
          <w:szCs w:val="16"/>
          <w:u w:val="single" w:color="auto"/>
          <w:color w:val="auto"/>
        </w:rPr>
        <w:t>http://www.gaslogmlp.com/investors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 Partners</w:t>
      </w:r>
    </w:p>
    <w:p>
      <w:pPr>
        <w:spacing w:after="0" w:line="23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 xml:space="preserve">GasLog Partners is an owner, operator and acquirer of LNG carriers. The Partnership’s fleet consists of eleven wholly-owned LNG carriers as well as three vessels on bareboat charters,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Times New Roman" w:cs="Times New Roman" w:eastAsia="Times New Roman" w:hAnsi="Times New Roman"/>
          <w:sz w:val="16"/>
          <w:szCs w:val="16"/>
          <w:u w:val="single" w:color="auto"/>
          <w:color w:val="auto"/>
        </w:rPr>
        <w:t>http://www.gaslogmlp.com</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300" w:hanging="328"/>
        <w:spacing w:after="0" w:line="269"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right="60" w:hanging="328"/>
        <w:spacing w:after="0" w:line="26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GasLog Partners to consummate the acquisition by GasLog of all of the outstanding common units of the Partnership not beneficially owned by GasLog for overall consideration of $8.65 per common unit in cash per unit, which is difficult to predict and which involves uncertainties that are beyond the control of GasLog Partners, including, but not limited to, the satisfaction of the conditions to the closing of the Transaction or the occurrence of any event, change or other circumstance that could give rise to the termination of the Merger Agreement or cause delays in the consummation of the Transaction;</w:t>
      </w: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secure new multi-year charters at economically attractive rates;</w:t>
      </w:r>
    </w:p>
    <w:p>
      <w:pPr>
        <w:spacing w:after="0" w:line="18" w:lineRule="exact"/>
        <w:rPr>
          <w:rFonts w:ascii="Times New Roman" w:cs="Times New Roman" w:eastAsia="Times New Roman" w:hAnsi="Times New Roman"/>
          <w:sz w:val="16"/>
          <w:szCs w:val="16"/>
          <w:color w:val="auto"/>
        </w:rPr>
      </w:pPr>
    </w:p>
    <w:p>
      <w:pPr>
        <w:jc w:val="both"/>
        <w:ind w:left="660" w:right="160" w:hanging="328"/>
        <w:spacing w:after="0" w:line="26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operating costs, including crew costs, maintenance, dry-docking and insurance costs and bunker prices;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duration and effects of COVID-19 and any other pandemics on our workforce, business, operations and financial condition;</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prices for crude oil, petroleum products and natural gas, including LNG;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especially the U.S. dollar and Euro;</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portfolio by acquiring vessels through our drop-down pipeline with GasLog or by acquiring other assets from third parties;</w:t>
      </w:r>
    </w:p>
    <w:p>
      <w:pPr>
        <w:spacing w:after="0" w:line="18" w:lineRule="exact"/>
        <w:rPr>
          <w:rFonts w:ascii="Times New Roman" w:cs="Times New Roman" w:eastAsia="Times New Roman" w:hAnsi="Times New Roman"/>
          <w:sz w:val="16"/>
          <w:szCs w:val="16"/>
          <w:color w:val="auto"/>
        </w:rPr>
      </w:pPr>
    </w:p>
    <w:p>
      <w:pPr>
        <w:ind w:left="660" w:right="300" w:hanging="328"/>
        <w:spacing w:after="0" w:line="26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ind w:left="660" w:right="140" w:hanging="328"/>
        <w:spacing w:after="0" w:line="26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ownership of our charterers;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performance, financial condition, liquidity and cash available for distributions;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7" w:name="page8"/>
    <w:bookmarkEnd w:id="7"/>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distribution policy and our ability to make cash distributions on our units or the impact of changes to cash distributions on our financial position;</w:t>
      </w:r>
    </w:p>
    <w:p>
      <w:pPr>
        <w:spacing w:after="0" w:line="26" w:lineRule="exact"/>
        <w:rPr>
          <w:rFonts w:ascii="Times New Roman" w:cs="Times New Roman" w:eastAsia="Times New Roman" w:hAnsi="Times New Roman"/>
          <w:sz w:val="16"/>
          <w:szCs w:val="16"/>
          <w:color w:val="auto"/>
        </w:rPr>
      </w:pPr>
    </w:p>
    <w:p>
      <w:pPr>
        <w:ind w:left="660" w:right="160" w:hanging="328"/>
        <w:spacing w:after="0" w:line="264"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pending or recent acquisitions of ships or other assets, business strategy, areas of possible expansion and expected capital spending;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w:t>
      </w:r>
    </w:p>
    <w:p>
      <w:pPr>
        <w:spacing w:after="0" w:line="18" w:lineRule="exact"/>
        <w:rPr>
          <w:rFonts w:ascii="Times New Roman" w:cs="Times New Roman" w:eastAsia="Times New Roman" w:hAnsi="Times New Roman"/>
          <w:sz w:val="16"/>
          <w:szCs w:val="16"/>
          <w:color w:val="auto"/>
        </w:rPr>
      </w:pPr>
    </w:p>
    <w:p>
      <w:pPr>
        <w:ind w:left="660" w:right="40" w:hanging="328"/>
        <w:spacing w:after="0" w:line="264"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cost of and our ability to comply with environmental and regulatory requirements related to climate change, including regulatory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from future litigation; and</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risks and uncertainties described in the Partnership’s Annual Report on Form 20-F filed with the SEC on March 6, 2023, available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Robert Brinberg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Rose &amp;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+1 212-517-0810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gaslog@roseandco.com</w:t>
      </w: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9"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I – Unaudited Interim Financial Information</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09"/>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 and March 31, 2023</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09"/>
        </w:trPr>
        <w:tc>
          <w:tcPr>
            <w:tcW w:w="7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5"/>
        </w:trPr>
        <w:tc>
          <w:tcPr>
            <w:tcW w:w="7780" w:type="dxa"/>
            <w:vAlign w:val="bottom"/>
          </w:tcPr>
          <w:p>
            <w:pPr>
              <w:spacing w:after="0"/>
              <w:rPr>
                <w:sz w:val="18"/>
                <w:szCs w:val="18"/>
                <w:color w:val="auto"/>
              </w:rPr>
            </w:pPr>
          </w:p>
        </w:tc>
        <w:tc>
          <w:tcPr>
            <w:tcW w:w="19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7780" w:type="dxa"/>
            <w:vAlign w:val="bottom"/>
            <w:tcBorders>
              <w:top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8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instruments—non-current portion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1,677,771</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1,507,584</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93,325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153,424</w:t>
            </w:r>
          </w:p>
        </w:tc>
      </w:tr>
      <w:tr>
        <w:trPr>
          <w:trHeight w:val="202"/>
        </w:trPr>
        <w:tc>
          <w:tcPr>
            <w:tcW w:w="77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1,772,401</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1,661,793</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2020" w:type="dxa"/>
            <w:vAlign w:val="bottom"/>
            <w:gridSpan w:val="3"/>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11,185</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18,628</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Due from related parties</w:t>
            </w:r>
          </w:p>
        </w:tc>
        <w:tc>
          <w:tcPr>
            <w:tcW w:w="58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instruments—current portion</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2,438</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Short-term cash deposits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57,000</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198,122</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225,618</w:t>
            </w:r>
          </w:p>
        </w:tc>
      </w:tr>
      <w:tr>
        <w:trPr>
          <w:trHeight w:val="196"/>
        </w:trPr>
        <w:tc>
          <w:tcPr>
            <w:tcW w:w="77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243,033</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309,875</w:t>
            </w:r>
          </w:p>
        </w:tc>
      </w:tr>
      <w:tr>
        <w:trPr>
          <w:trHeight w:val="216"/>
        </w:trPr>
        <w:tc>
          <w:tcPr>
            <w:tcW w:w="77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80" w:type="dxa"/>
            <w:vAlign w:val="bottom"/>
            <w:tcBorders>
              <w:bottom w:val="single" w:sz="8" w:color="E5FFFF"/>
            </w:tcBorders>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2,015,434</w:t>
            </w:r>
          </w:p>
        </w:tc>
        <w:tc>
          <w:tcPr>
            <w:tcW w:w="120" w:type="dxa"/>
            <w:vAlign w:val="bottom"/>
            <w:tcBorders>
              <w:bottom w:val="single" w:sz="8" w:color="E5FFFF"/>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1,971,668</w:t>
            </w:r>
          </w:p>
        </w:tc>
      </w:tr>
      <w:tr>
        <w:trPr>
          <w:trHeight w:val="200"/>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Partners’ equity and liabilities</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580" w:type="dxa"/>
            <w:vAlign w:val="bottom"/>
            <w:shd w:val="clear" w:color="auto" w:fill="E5FFFF"/>
          </w:tcPr>
          <w:p>
            <w:pPr>
              <w:spacing w:after="0"/>
              <w:rPr>
                <w:sz w:val="19"/>
                <w:szCs w:val="19"/>
                <w:color w:val="auto"/>
              </w:rPr>
            </w:pPr>
          </w:p>
        </w:tc>
        <w:tc>
          <w:tcPr>
            <w:tcW w:w="13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Common unitholders (51,687,865 units issued and outstanding as of December 31, 2022 and March 31, 2023)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668,953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697,620</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(1,080,263 units issued and outstanding as of December 31, 2022 and March 31, 2023)</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13,207</w:t>
            </w: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Preference unitholders (5,084,984 Series A Preference Units, 3,496,382 Series B Preference Units and 3,061,045</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0"/>
        </w:trPr>
        <w:tc>
          <w:tcPr>
            <w:tcW w:w="7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Series C Preference Units issued and outstanding as of December 31, 2022 and March 31, 2023)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279,349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279,913</w:t>
            </w:r>
          </w:p>
        </w:tc>
      </w:tr>
      <w:tr>
        <w:trPr>
          <w:trHeight w:val="202"/>
        </w:trPr>
        <w:tc>
          <w:tcPr>
            <w:tcW w:w="77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partners’ equity</w:t>
            </w:r>
          </w:p>
        </w:tc>
        <w:tc>
          <w:tcPr>
            <w:tcW w:w="5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960,910</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990,740</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9,300</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6,790</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57,266</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50,528</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Borrowings—current portion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90,358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224,199</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27,916</w:t>
            </w:r>
          </w:p>
        </w:tc>
      </w:tr>
      <w:tr>
        <w:trPr>
          <w:trHeight w:val="196"/>
        </w:trPr>
        <w:tc>
          <w:tcPr>
            <w:tcW w:w="77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177,230</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312,123</w:t>
            </w:r>
          </w:p>
        </w:tc>
      </w:tr>
      <w:tr>
        <w:trPr>
          <w:trHeight w:val="210"/>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58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Borrowings—non-current portion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831,588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581,390</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45,136</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86,858</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02"/>
        </w:trPr>
        <w:tc>
          <w:tcPr>
            <w:tcW w:w="77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5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877,294</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668,805</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partners’ equity and liabilities</w:t>
            </w:r>
          </w:p>
        </w:tc>
        <w:tc>
          <w:tcPr>
            <w:tcW w:w="5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2,015,434</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1,971,668</w:t>
            </w:r>
          </w:p>
        </w:tc>
      </w:tr>
    </w:tbl>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7" w:right="439" w:bottom="1440" w:gutter="0" w:footer="0" w:header="0"/>
        </w:sectPr>
      </w:pPr>
    </w:p>
    <w:bookmarkStart w:id="9" w:name="page10"/>
    <w:bookmarkEnd w:id="9"/>
    <w:p>
      <w:pPr>
        <w:ind w:right="3460"/>
        <w:spacing w:after="0" w:line="270" w:lineRule="auto"/>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 For the three months ended March 31, 2022 and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9951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Voyage expenses and commissions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Vessel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9951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69951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on disposal of vessel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 loss 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9951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9951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Gain/(loss)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Profit and total comprehensive income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699516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unit,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 basic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995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0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32" w:lineRule="exact"/>
        <w:rPr>
          <w:sz w:val="20"/>
          <w:szCs w:val="20"/>
          <w:color w:val="auto"/>
        </w:rPr>
      </w:pPr>
    </w:p>
    <w:p>
      <w:pPr>
        <w:jc w:val="center"/>
        <w:ind w:right="60"/>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March 31, 2022</w:t>
      </w:r>
      <w:r>
        <w:rPr>
          <w:sz w:val="20"/>
          <w:szCs w:val="20"/>
          <w:color w:val="auto"/>
        </w:rPr>
        <w:tab/>
      </w:r>
      <w:r>
        <w:rPr>
          <w:rFonts w:ascii="Times New Roman" w:cs="Times New Roman" w:eastAsia="Times New Roman" w:hAnsi="Times New Roman"/>
          <w:sz w:val="15"/>
          <w:szCs w:val="15"/>
          <w:b w:val="1"/>
          <w:bCs w:val="1"/>
          <w:color w:val="auto"/>
        </w:rPr>
        <w:t>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6287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4" w:lineRule="exact"/>
        <w:rPr>
          <w:sz w:val="20"/>
          <w:szCs w:val="20"/>
          <w:color w:val="auto"/>
        </w:rPr>
      </w:pPr>
    </w:p>
    <w:p>
      <w:pPr>
        <w:ind w:left="780"/>
        <w:spacing w:after="0"/>
        <w:tabs>
          <w:tab w:leader="none" w:pos="2100" w:val="left"/>
        </w:tabs>
        <w:rPr>
          <w:sz w:val="20"/>
          <w:szCs w:val="20"/>
          <w:color w:val="auto"/>
        </w:rPr>
      </w:pPr>
      <w:r>
        <w:rPr>
          <w:rFonts w:ascii="Times New Roman" w:cs="Times New Roman" w:eastAsia="Times New Roman" w:hAnsi="Times New Roman"/>
          <w:sz w:val="16"/>
          <w:szCs w:val="16"/>
          <w:color w:val="auto"/>
        </w:rPr>
        <w:t>85,459</w:t>
      </w:r>
      <w:r>
        <w:rPr>
          <w:sz w:val="20"/>
          <w:szCs w:val="20"/>
          <w:color w:val="auto"/>
        </w:rPr>
        <w:tab/>
      </w:r>
      <w:r>
        <w:rPr>
          <w:rFonts w:ascii="Times New Roman" w:cs="Times New Roman" w:eastAsia="Times New Roman" w:hAnsi="Times New Roman"/>
          <w:sz w:val="16"/>
          <w:szCs w:val="16"/>
          <w:color w:val="auto"/>
        </w:rPr>
        <w:t>99,069</w:t>
      </w:r>
    </w:p>
    <w:p>
      <w:pPr>
        <w:spacing w:after="0" w:line="26" w:lineRule="exact"/>
        <w:rPr>
          <w:sz w:val="20"/>
          <w:szCs w:val="20"/>
          <w:color w:val="auto"/>
        </w:rPr>
      </w:pPr>
    </w:p>
    <w:p>
      <w:pPr>
        <w:jc w:val="right"/>
        <w:spacing w:after="0"/>
        <w:tabs>
          <w:tab w:leader="none" w:pos="460" w:val="left"/>
        </w:tabs>
        <w:rPr>
          <w:sz w:val="20"/>
          <w:szCs w:val="20"/>
          <w:color w:val="auto"/>
        </w:rPr>
      </w:pPr>
      <w:r>
        <w:rPr>
          <w:rFonts w:ascii="Times New Roman" w:cs="Times New Roman" w:eastAsia="Times New Roman" w:hAnsi="Times New Roman"/>
          <w:sz w:val="16"/>
          <w:szCs w:val="16"/>
          <w:color w:val="auto"/>
        </w:rPr>
        <w:t>(1,461)</w:t>
      </w:r>
      <w:r>
        <w:rPr>
          <w:sz w:val="20"/>
          <w:szCs w:val="20"/>
          <w:color w:val="auto"/>
        </w:rPr>
        <w:tab/>
      </w:r>
      <w:r>
        <w:rPr>
          <w:rFonts w:ascii="Times New Roman" w:cs="Times New Roman" w:eastAsia="Times New Roman" w:hAnsi="Times New Roman"/>
          <w:sz w:val="16"/>
          <w:szCs w:val="16"/>
          <w:color w:val="auto"/>
        </w:rPr>
        <w:t>(1,996)</w:t>
      </w:r>
    </w:p>
    <w:p>
      <w:pPr>
        <w:spacing w:after="0" w:line="32" w:lineRule="exact"/>
        <w:rPr>
          <w:sz w:val="20"/>
          <w:szCs w:val="20"/>
          <w:color w:val="auto"/>
        </w:rPr>
      </w:pPr>
    </w:p>
    <w:p>
      <w:pPr>
        <w:jc w:val="right"/>
        <w:spacing w:after="0"/>
        <w:tabs>
          <w:tab w:leader="none" w:pos="540" w:val="left"/>
        </w:tabs>
        <w:rPr>
          <w:sz w:val="20"/>
          <w:szCs w:val="20"/>
          <w:color w:val="auto"/>
        </w:rPr>
      </w:pPr>
      <w:r>
        <w:rPr>
          <w:rFonts w:ascii="Times New Roman" w:cs="Times New Roman" w:eastAsia="Times New Roman" w:hAnsi="Times New Roman"/>
          <w:sz w:val="16"/>
          <w:szCs w:val="16"/>
          <w:color w:val="auto"/>
        </w:rPr>
        <w:t>(18,574)</w:t>
      </w:r>
      <w:r>
        <w:rPr>
          <w:sz w:val="20"/>
          <w:szCs w:val="20"/>
          <w:color w:val="auto"/>
        </w:rPr>
        <w:tab/>
      </w:r>
      <w:r>
        <w:rPr>
          <w:rFonts w:ascii="Times New Roman" w:cs="Times New Roman" w:eastAsia="Times New Roman" w:hAnsi="Times New Roman"/>
          <w:sz w:val="16"/>
          <w:szCs w:val="16"/>
          <w:color w:val="auto"/>
        </w:rPr>
        <w:t>(15,926)</w:t>
      </w:r>
    </w:p>
    <w:p>
      <w:pPr>
        <w:spacing w:after="0" w:line="32" w:lineRule="exact"/>
        <w:rPr>
          <w:sz w:val="20"/>
          <w:szCs w:val="20"/>
          <w:color w:val="auto"/>
        </w:rPr>
      </w:pPr>
    </w:p>
    <w:p>
      <w:pPr>
        <w:jc w:val="right"/>
        <w:spacing w:after="0"/>
        <w:tabs>
          <w:tab w:leader="none" w:pos="540" w:val="left"/>
        </w:tabs>
        <w:rPr>
          <w:sz w:val="20"/>
          <w:szCs w:val="20"/>
          <w:color w:val="auto"/>
        </w:rPr>
      </w:pPr>
      <w:r>
        <w:rPr>
          <w:rFonts w:ascii="Times New Roman" w:cs="Times New Roman" w:eastAsia="Times New Roman" w:hAnsi="Times New Roman"/>
          <w:sz w:val="16"/>
          <w:szCs w:val="16"/>
          <w:color w:val="auto"/>
        </w:rPr>
        <w:t>(21,987)</w:t>
      </w:r>
      <w:r>
        <w:rPr>
          <w:sz w:val="20"/>
          <w:szCs w:val="20"/>
          <w:color w:val="auto"/>
        </w:rPr>
        <w:tab/>
      </w:r>
      <w:r>
        <w:rPr>
          <w:rFonts w:ascii="Times New Roman" w:cs="Times New Roman" w:eastAsia="Times New Roman" w:hAnsi="Times New Roman"/>
          <w:sz w:val="16"/>
          <w:szCs w:val="16"/>
          <w:color w:val="auto"/>
        </w:rPr>
        <w:t>(22,712)</w:t>
      </w:r>
    </w:p>
    <w:p>
      <w:pPr>
        <w:spacing w:after="0" w:line="32" w:lineRule="exact"/>
        <w:rPr>
          <w:sz w:val="20"/>
          <w:szCs w:val="20"/>
          <w:color w:val="auto"/>
        </w:rPr>
      </w:pPr>
    </w:p>
    <w:p>
      <w:pPr>
        <w:jc w:val="right"/>
        <w:spacing w:after="0"/>
        <w:tabs>
          <w:tab w:leader="none" w:pos="460" w:val="left"/>
        </w:tabs>
        <w:rPr>
          <w:sz w:val="20"/>
          <w:szCs w:val="20"/>
          <w:color w:val="auto"/>
        </w:rPr>
      </w:pPr>
      <w:r>
        <w:rPr>
          <w:rFonts w:ascii="Times New Roman" w:cs="Times New Roman" w:eastAsia="Times New Roman" w:hAnsi="Times New Roman"/>
          <w:sz w:val="16"/>
          <w:szCs w:val="16"/>
          <w:color w:val="auto"/>
        </w:rPr>
        <w:t>(4,691)</w:t>
      </w:r>
      <w:r>
        <w:rPr>
          <w:sz w:val="20"/>
          <w:szCs w:val="20"/>
          <w:color w:val="auto"/>
        </w:rPr>
        <w:tab/>
      </w:r>
      <w:r>
        <w:rPr>
          <w:rFonts w:ascii="Times New Roman" w:cs="Times New Roman" w:eastAsia="Times New Roman" w:hAnsi="Times New Roman"/>
          <w:sz w:val="16"/>
          <w:szCs w:val="16"/>
          <w:color w:val="auto"/>
        </w:rPr>
        <w:t>(5,647)</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—(1,033)</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—(142)</w:t>
      </w:r>
    </w:p>
    <w:p>
      <w:pPr>
        <w:spacing w:after="0" w:line="3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38,74651,613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16287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60" w:type="dxa"/>
            <w:vAlign w:val="bottom"/>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4,977</w:t>
            </w: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2"/>
        </w:trPr>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(15,238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3"/>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34,981</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36,375</w:t>
            </w:r>
          </w:p>
        </w:tc>
        <w:tc>
          <w:tcPr>
            <w:tcW w:w="60" w:type="dxa"/>
            <w:vAlign w:val="bottom"/>
          </w:tcPr>
          <w:p>
            <w:pPr>
              <w:spacing w:after="0"/>
              <w:rPr>
                <w:sz w:val="17"/>
                <w:szCs w:val="17"/>
                <w:color w:val="auto"/>
              </w:rPr>
            </w:pPr>
          </w:p>
        </w:tc>
      </w:tr>
      <w:tr>
        <w:trPr>
          <w:trHeight w:val="642"/>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60" w:type="dxa"/>
            <w:vAlign w:val="bottom"/>
          </w:tcPr>
          <w:p>
            <w:pPr>
              <w:spacing w:after="0"/>
              <w:rPr>
                <w:sz w:val="24"/>
                <w:szCs w:val="24"/>
                <w:color w:val="auto"/>
              </w:rPr>
            </w:pP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60" w:type="dxa"/>
            <w:vAlign w:val="bottom"/>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60" w:type="dxa"/>
            <w:vAlign w:val="bottom"/>
          </w:tcPr>
          <w:p>
            <w:pPr>
              <w:spacing w:after="0"/>
              <w:rPr>
                <w:sz w:val="18"/>
                <w:szCs w:val="18"/>
                <w:color w:val="auto"/>
              </w:rPr>
            </w:pPr>
          </w:p>
        </w:tc>
      </w:tr>
    </w:tbl>
    <w:p>
      <w:pPr>
        <w:sectPr>
          <w:pgSz w:w="11900" w:h="16838" w:orient="portrait"/>
          <w:cols w:equalWidth="0" w:num="2">
            <w:col w:w="7740" w:space="720"/>
            <w:col w:w="2620"/>
          </w:cols>
          <w:pgMar w:left="320" w:top="907"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2022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31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3"/>
        </w:trPr>
        <w:tc>
          <w:tcPr>
            <w:tcW w:w="8100" w:type="dxa"/>
            <w:vAlign w:val="bottom"/>
          </w:tcPr>
          <w:p>
            <w:pPr>
              <w:spacing w:after="0"/>
              <w:rPr>
                <w:sz w:val="17"/>
                <w:szCs w:val="17"/>
                <w:color w:val="auto"/>
              </w:rPr>
            </w:pP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5"/>
        </w:trPr>
        <w:tc>
          <w:tcPr>
            <w:tcW w:w="810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213"/>
        </w:trPr>
        <w:tc>
          <w:tcPr>
            <w:tcW w:w="8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34,981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36,375</w:t>
            </w:r>
          </w:p>
        </w:tc>
      </w:tr>
      <w:tr>
        <w:trPr>
          <w:trHeight w:val="219"/>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36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21,987</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22,712</w:t>
            </w:r>
          </w:p>
        </w:tc>
      </w:tr>
      <w:tr>
        <w:trPr>
          <w:trHeight w:val="219"/>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w:t>
            </w:r>
          </w:p>
        </w:tc>
        <w:tc>
          <w:tcPr>
            <w:tcW w:w="170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142</w:t>
            </w: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1,033</w:t>
            </w:r>
          </w:p>
        </w:tc>
      </w:tr>
      <w:tr>
        <w:trPr>
          <w:trHeight w:val="219"/>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70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8,781</w:t>
            </w:r>
          </w:p>
        </w:tc>
        <w:tc>
          <w:tcPr>
            <w:tcW w:w="1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17,353</w:t>
            </w: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(39)</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(2,282)</w:t>
            </w:r>
          </w:p>
        </w:tc>
      </w:tr>
      <w:tr>
        <w:trPr>
          <w:trHeight w:val="191"/>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(Gain)/loss on derivatives (excluding realized gain on forward foreign exchange contracts held for</w:t>
            </w:r>
          </w:p>
        </w:tc>
        <w:tc>
          <w:tcPr>
            <w:tcW w:w="136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6"/>
        </w:trPr>
        <w:tc>
          <w:tcPr>
            <w:tcW w:w="810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trading)</w:t>
            </w:r>
          </w:p>
        </w:tc>
        <w:tc>
          <w:tcPr>
            <w:tcW w:w="170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(4,977)</w:t>
            </w:r>
          </w:p>
        </w:tc>
        <w:tc>
          <w:tcPr>
            <w:tcW w:w="1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171</w:t>
            </w: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260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146</w:t>
            </w:r>
          </w:p>
        </w:tc>
      </w:tr>
      <w:tr>
        <w:trPr>
          <w:trHeight w:val="199"/>
        </w:trPr>
        <w:tc>
          <w:tcPr>
            <w:tcW w:w="81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60,993</w:t>
            </w: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75,650</w:t>
            </w:r>
          </w:p>
        </w:tc>
        <w:tc>
          <w:tcPr>
            <w:tcW w:w="100" w:type="dxa"/>
            <w:vAlign w:val="bottom"/>
            <w:tcBorders>
              <w:top w:val="single" w:sz="8" w:color="E5FFFF"/>
            </w:tcBorders>
            <w:shd w:val="clear" w:color="auto" w:fill="E5FFFF"/>
          </w:tcPr>
          <w:p>
            <w:pPr>
              <w:spacing w:after="0"/>
              <w:rPr>
                <w:sz w:val="17"/>
                <w:szCs w:val="17"/>
                <w:color w:val="auto"/>
              </w:rPr>
            </w:pP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(2,370)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(8,879)</w:t>
            </w:r>
          </w:p>
        </w:tc>
      </w:tr>
      <w:tr>
        <w:trPr>
          <w:trHeight w:val="199"/>
        </w:trPr>
        <w:tc>
          <w:tcPr>
            <w:tcW w:w="81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58,623</w:t>
            </w: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66,771</w:t>
            </w:r>
          </w:p>
        </w:tc>
        <w:tc>
          <w:tcPr>
            <w:tcW w:w="100" w:type="dxa"/>
            <w:vAlign w:val="bottom"/>
            <w:tcBorders>
              <w:top w:val="single" w:sz="8" w:color="E5FFFF"/>
            </w:tcBorders>
            <w:shd w:val="clear" w:color="auto" w:fill="E5FFFF"/>
          </w:tcPr>
          <w:p>
            <w:pPr>
              <w:spacing w:after="0"/>
              <w:rPr>
                <w:sz w:val="17"/>
                <w:szCs w:val="17"/>
                <w:color w:val="auto"/>
              </w:rPr>
            </w:pPr>
          </w:p>
        </w:tc>
      </w:tr>
      <w:tr>
        <w:trPr>
          <w:trHeight w:val="207"/>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sale and lease-back</w:t>
            </w:r>
          </w:p>
        </w:tc>
        <w:tc>
          <w:tcPr>
            <w:tcW w:w="170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140,000</w:t>
            </w: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tangible fixed assets additions</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(971)</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(2,923)</w:t>
            </w:r>
          </w:p>
        </w:tc>
      </w:tr>
      <w:tr>
        <w:trPr>
          <w:trHeight w:val="219"/>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Payments for right-of-use assets</w:t>
            </w:r>
          </w:p>
        </w:tc>
        <w:tc>
          <w:tcPr>
            <w:tcW w:w="170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(514)</w:t>
            </w: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16</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1,677</w:t>
            </w:r>
          </w:p>
        </w:tc>
      </w:tr>
      <w:tr>
        <w:trPr>
          <w:trHeight w:val="219"/>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Purchase of short-term cash deposits</w:t>
            </w:r>
          </w:p>
        </w:tc>
        <w:tc>
          <w:tcPr>
            <w:tcW w:w="170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(44,500)</w:t>
            </w: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Maturity of short-term cash deposits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12,500</w:t>
            </w:r>
          </w:p>
        </w:tc>
      </w:tr>
      <w:tr>
        <w:trPr>
          <w:trHeight w:val="199"/>
        </w:trPr>
        <w:tc>
          <w:tcPr>
            <w:tcW w:w="81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(955)</w:t>
            </w: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106,240</w:t>
            </w:r>
          </w:p>
        </w:tc>
        <w:tc>
          <w:tcPr>
            <w:tcW w:w="100" w:type="dxa"/>
            <w:vAlign w:val="bottom"/>
            <w:tcBorders>
              <w:top w:val="single" w:sz="8" w:color="E5FFFF"/>
            </w:tcBorders>
            <w:shd w:val="clear" w:color="auto" w:fill="E5FFFF"/>
          </w:tcPr>
          <w:p>
            <w:pPr>
              <w:spacing w:after="0"/>
              <w:rPr>
                <w:sz w:val="17"/>
                <w:szCs w:val="17"/>
                <w:color w:val="auto"/>
              </w:rPr>
            </w:pPr>
          </w:p>
        </w:tc>
      </w:tr>
      <w:tr>
        <w:trPr>
          <w:trHeight w:val="206"/>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 repayments</w:t>
            </w:r>
          </w:p>
        </w:tc>
        <w:tc>
          <w:tcPr>
            <w:tcW w:w="170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(34,472)</w:t>
            </w:r>
          </w:p>
        </w:tc>
        <w:tc>
          <w:tcPr>
            <w:tcW w:w="14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(117,487)</w:t>
            </w: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Principal elements of lease payments</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(2,551)</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(2,377)</w:t>
            </w:r>
          </w:p>
        </w:tc>
      </w:tr>
      <w:tr>
        <w:trPr>
          <w:trHeight w:val="219"/>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70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(12,586)</w:t>
            </w:r>
          </w:p>
        </w:tc>
        <w:tc>
          <w:tcPr>
            <w:tcW w:w="14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(19,208)</w:t>
            </w: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preference units</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(10,002)</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 of offering costs</w:t>
            </w:r>
          </w:p>
        </w:tc>
        <w:tc>
          <w:tcPr>
            <w:tcW w:w="170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(20)</w:t>
            </w:r>
          </w:p>
        </w:tc>
        <w:tc>
          <w:tcPr>
            <w:tcW w:w="1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paid (including common and preference)</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(7,634)</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(6,687)</w:t>
            </w:r>
          </w:p>
        </w:tc>
      </w:tr>
      <w:tr>
        <w:trPr>
          <w:trHeight w:val="199"/>
        </w:trPr>
        <w:tc>
          <w:tcPr>
            <w:tcW w:w="81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(67,265)</w:t>
            </w: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(145,759</w:t>
            </w:r>
          </w:p>
        </w:tc>
        <w:tc>
          <w:tcPr>
            <w:tcW w:w="100" w:type="dxa"/>
            <w:vAlign w:val="bottom"/>
            <w:tcBorders>
              <w:top w:val="single" w:sz="8" w:color="E5FFFF"/>
            </w:tcBorders>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96"/>
        </w:trPr>
        <w:tc>
          <w:tcPr>
            <w:tcW w:w="81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Borders>
              <w:bottom w:val="single" w:sz="8" w:color="E5FFFF"/>
            </w:tcBorders>
          </w:tcPr>
          <w:p>
            <w:pPr>
              <w:spacing w:after="0"/>
              <w:rPr>
                <w:sz w:val="17"/>
                <w:szCs w:val="17"/>
                <w:color w:val="auto"/>
              </w:rPr>
            </w:pPr>
          </w:p>
        </w:tc>
      </w:tr>
      <w:tr>
        <w:trPr>
          <w:trHeight w:val="196"/>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(Decrease)/increase in cash and cash equivalents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(9,597)</w:t>
            </w:r>
          </w:p>
        </w:tc>
        <w:tc>
          <w:tcPr>
            <w:tcW w:w="34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27,496</w:t>
            </w:r>
          </w:p>
        </w:tc>
        <w:tc>
          <w:tcPr>
            <w:tcW w:w="100" w:type="dxa"/>
            <w:vAlign w:val="bottom"/>
            <w:shd w:val="clear" w:color="auto" w:fill="E5FFFF"/>
          </w:tcPr>
          <w:p>
            <w:pPr>
              <w:spacing w:after="0"/>
              <w:rPr>
                <w:sz w:val="17"/>
                <w:szCs w:val="17"/>
                <w:color w:val="auto"/>
              </w:rPr>
            </w:pPr>
          </w:p>
        </w:tc>
      </w:tr>
      <w:tr>
        <w:trPr>
          <w:trHeight w:val="196"/>
        </w:trPr>
        <w:tc>
          <w:tcPr>
            <w:tcW w:w="81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145,530</w:t>
            </w:r>
          </w:p>
        </w:tc>
        <w:tc>
          <w:tcPr>
            <w:tcW w:w="34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198,122</w:t>
            </w:r>
          </w:p>
        </w:tc>
        <w:tc>
          <w:tcPr>
            <w:tcW w:w="100" w:type="dxa"/>
            <w:vAlign w:val="bottom"/>
            <w:tcBorders>
              <w:bottom w:val="single" w:sz="8" w:color="E5FFFF"/>
            </w:tcBorders>
          </w:tcPr>
          <w:p>
            <w:pPr>
              <w:spacing w:after="0"/>
              <w:rPr>
                <w:sz w:val="17"/>
                <w:szCs w:val="17"/>
                <w:color w:val="auto"/>
              </w:rPr>
            </w:pPr>
          </w:p>
        </w:tc>
      </w:tr>
      <w:tr>
        <w:trPr>
          <w:trHeight w:val="203"/>
        </w:trPr>
        <w:tc>
          <w:tcPr>
            <w:tcW w:w="81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135,933</w:t>
            </w:r>
          </w:p>
        </w:tc>
        <w:tc>
          <w:tcPr>
            <w:tcW w:w="34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225,618</w:t>
            </w:r>
          </w:p>
        </w:tc>
        <w:tc>
          <w:tcPr>
            <w:tcW w:w="100" w:type="dxa"/>
            <w:vAlign w:val="bottom"/>
            <w:tcBorders>
              <w:bottom w:val="single" w:sz="8" w:color="E5FFFF"/>
            </w:tcBorders>
            <w:shd w:val="clear" w:color="auto" w:fill="E5FF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3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EBITDA is defined as earnings before financial income and costs, gain/loss on derivatives, taxes, depreciation and amortization. Adjusted EBITDA is defined as EBITDA before impairment loss on vessels, gain/loss on disposal of vessels, restructuring costs and Transaction costs. Adjusted Profit represents earnings before (a) non-cash gain/loss on derivatives that includes unrealized gain/loss on derivatives held for trading, (b) write-off and accelerated amortization of unamortized loan fees, (c) impairment loss on vessels, (d) gain/loss on disposal of vessels, (e) restructuring costs and (f) Transaction costs. Adjusted EPU represents Adjusted Profit (as defined above), after deducting preference unit distributions and adding/deducting any difference between the carrying amount of preference units and the fair value of the consideration paid to settle them, divided by the weighted average number of units outstanding during the period.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gain/loss on disposal of vessels, restructuring costs and Transaction costs and, in the case of Adjusted Profit and Adjusted EPU, non-cash gain/loss on derivatives, write-off and accelerated amortization of unamortized loan fees, impairment loss on vessels, gain/loss on disposal of vessels, restructuring costs and Transaction costs, which items are affected by various and possibly changing financing methods, financial market conditions, general shipping market conditions, capital structure and historical cost basis and which items may significantly affect results of operations between periods. Restructuring costs are excluded from Adjusted EBITDA, Adjusted Profit and Adjusted EPU because restructuring costs represent charges reflecting specific actions taken by management to improve the Partnership’s future profitability and therefore are not considered representative of the underlying operations of the Partnership. Impairment loss is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 Gain/loss on disposal of vessels is excluded from Adjusted EBITDA, Adjusted Profit and Adjusted EPU because gain/loss on disposal of vessels represents the difference between the carrying amount and the amount that was recovered through sale and therefore is not considered representative of the underlying operations of the Partnership. In the current period, Transaction costs are excluded from Adjusted EBITDA, Adjusted Profit and Adjusted EPU because they are charges and items not considered to be reflective of the ongoing operations of the Partnership, which we believe reduce the comparability of our operating and business performance across periods.</w:t>
      </w:r>
    </w:p>
    <w:p>
      <w:pPr>
        <w:spacing w:after="0" w:line="200" w:lineRule="exact"/>
        <w:rPr>
          <w:sz w:val="20"/>
          <w:szCs w:val="20"/>
          <w:color w:val="auto"/>
        </w:rPr>
      </w:pPr>
    </w:p>
    <w:p>
      <w:pPr>
        <w:spacing w:after="0" w:line="20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9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EBITDA and Adjusted EBITDA:</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8360" w:type="dxa"/>
            <w:vAlign w:val="bottom"/>
          </w:tcPr>
          <w:p>
            <w:pPr>
              <w:spacing w:after="0"/>
              <w:rPr>
                <w:sz w:val="24"/>
                <w:szCs w:val="24"/>
                <w:color w:val="auto"/>
              </w:rPr>
            </w:pPr>
          </w:p>
        </w:tc>
        <w:tc>
          <w:tcPr>
            <w:tcW w:w="282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30"/>
        </w:trPr>
        <w:tc>
          <w:tcPr>
            <w:tcW w:w="83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02"/>
        </w:trPr>
        <w:tc>
          <w:tcPr>
            <w:tcW w:w="83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3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34,981</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36,375</w:t>
            </w:r>
          </w:p>
        </w:tc>
        <w:tc>
          <w:tcPr>
            <w:tcW w:w="40" w:type="dxa"/>
            <w:vAlign w:val="bottom"/>
          </w:tcPr>
          <w:p>
            <w:pPr>
              <w:spacing w:after="0"/>
              <w:rPr>
                <w:sz w:val="17"/>
                <w:szCs w:val="17"/>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22,712</w:t>
            </w:r>
          </w:p>
        </w:tc>
        <w:tc>
          <w:tcPr>
            <w:tcW w:w="40" w:type="dxa"/>
            <w:vAlign w:val="bottom"/>
          </w:tcPr>
          <w:p>
            <w:pPr>
              <w:spacing w:after="0"/>
              <w:rPr>
                <w:sz w:val="18"/>
                <w:szCs w:val="18"/>
                <w:color w:val="auto"/>
              </w:rPr>
            </w:pPr>
          </w:p>
        </w:tc>
      </w:tr>
      <w:tr>
        <w:trPr>
          <w:trHeight w:val="222"/>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17,353</w:t>
            </w:r>
          </w:p>
        </w:tc>
        <w:tc>
          <w:tcPr>
            <w:tcW w:w="40" w:type="dxa"/>
            <w:vAlign w:val="bottom"/>
          </w:tcPr>
          <w:p>
            <w:pPr>
              <w:spacing w:after="0"/>
              <w:rPr>
                <w:sz w:val="19"/>
                <w:szCs w:val="19"/>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40" w:type="dxa"/>
            <w:vAlign w:val="bottom"/>
          </w:tcPr>
          <w:p>
            <w:pPr>
              <w:spacing w:after="0"/>
              <w:rPr>
                <w:sz w:val="18"/>
                <w:szCs w:val="18"/>
                <w:color w:val="auto"/>
              </w:rPr>
            </w:pPr>
          </w:p>
        </w:tc>
      </w:tr>
      <w:tr>
        <w:trPr>
          <w:trHeight w:val="222"/>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(Gain)/loss on derivatives</w:t>
            </w:r>
          </w:p>
        </w:tc>
        <w:tc>
          <w:tcPr>
            <w:tcW w:w="1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(4,977)</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40" w:type="dxa"/>
            <w:vAlign w:val="bottom"/>
          </w:tcPr>
          <w:p>
            <w:pPr>
              <w:spacing w:after="0"/>
              <w:rPr>
                <w:sz w:val="19"/>
                <w:szCs w:val="19"/>
                <w:color w:val="auto"/>
              </w:rPr>
            </w:pPr>
          </w:p>
        </w:tc>
      </w:tr>
      <w:tr>
        <w:trPr>
          <w:trHeight w:val="196"/>
        </w:trPr>
        <w:tc>
          <w:tcPr>
            <w:tcW w:w="83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60,733</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74,325</w:t>
            </w:r>
          </w:p>
        </w:tc>
        <w:tc>
          <w:tcPr>
            <w:tcW w:w="40" w:type="dxa"/>
            <w:vAlign w:val="bottom"/>
          </w:tcPr>
          <w:p>
            <w:pPr>
              <w:spacing w:after="0"/>
              <w:rPr>
                <w:sz w:val="17"/>
                <w:szCs w:val="17"/>
                <w:color w:val="auto"/>
              </w:rPr>
            </w:pPr>
          </w:p>
        </w:tc>
      </w:tr>
      <w:tr>
        <w:trPr>
          <w:trHeight w:val="196"/>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4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1,033</w:t>
            </w: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202"/>
        </w:trPr>
        <w:tc>
          <w:tcPr>
            <w:tcW w:w="83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60,901</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76,324</w:t>
            </w:r>
          </w:p>
        </w:tc>
      </w:tr>
      <w:tr>
        <w:trPr>
          <w:trHeight w:val="622"/>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Adjusted Profit: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8"/>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2"/>
        </w:trPr>
        <w:tc>
          <w:tcPr>
            <w:tcW w:w="8360" w:type="dxa"/>
            <w:vAlign w:val="bottom"/>
          </w:tcPr>
          <w:p>
            <w:pPr>
              <w:spacing w:after="0"/>
              <w:rPr>
                <w:sz w:val="24"/>
                <w:szCs w:val="24"/>
                <w:color w:val="auto"/>
              </w:rPr>
            </w:pPr>
          </w:p>
        </w:tc>
        <w:tc>
          <w:tcPr>
            <w:tcW w:w="278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25"/>
        </w:trPr>
        <w:tc>
          <w:tcPr>
            <w:tcW w:w="83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03"/>
        </w:trPr>
        <w:tc>
          <w:tcPr>
            <w:tcW w:w="83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3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34,981</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36,375</w:t>
            </w: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Non-cash (gain)/loss on derivatives</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(6,823)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22"/>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Write-off of unamortized loan fees</w:t>
            </w:r>
          </w:p>
        </w:tc>
        <w:tc>
          <w:tcPr>
            <w:tcW w:w="14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22"/>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4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1,033</w:t>
            </w: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4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196"/>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Profit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28,326</w:t>
            </w: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39,299</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EPU and Adjusted EPU:</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p>
      <w:pPr>
        <w:sectPr>
          <w:pgSz w:w="11900" w:h="16838" w:orient="portrait"/>
          <w:cols w:equalWidth="0" w:num="1">
            <w:col w:w="11180"/>
          </w:cols>
          <w:pgMar w:left="320" w:top="95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637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preference unit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Differences on repurchase of preference units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Partnership’s profit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637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Weighted average units outstanding (basic)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EPU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637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32" w:lineRule="exact"/>
        <w:rPr>
          <w:sz w:val="20"/>
          <w:szCs w:val="20"/>
          <w:color w:val="auto"/>
        </w:rPr>
      </w:pPr>
    </w:p>
    <w:p>
      <w:pPr>
        <w:ind w:left="120"/>
        <w:spacing w:after="0"/>
        <w:tabs>
          <w:tab w:leader="none" w:pos="1540" w:val="left"/>
        </w:tabs>
        <w:rPr>
          <w:sz w:val="20"/>
          <w:szCs w:val="20"/>
          <w:color w:val="auto"/>
        </w:rPr>
      </w:pPr>
      <w:r>
        <w:rPr>
          <w:rFonts w:ascii="Times New Roman" w:cs="Times New Roman" w:eastAsia="Times New Roman" w:hAnsi="Times New Roman"/>
          <w:sz w:val="16"/>
          <w:szCs w:val="16"/>
          <w:b w:val="1"/>
          <w:bCs w:val="1"/>
          <w:color w:val="auto"/>
        </w:rPr>
        <w:t>March 31, 2022</w:t>
      </w:r>
      <w:r>
        <w:rPr>
          <w:sz w:val="20"/>
          <w:szCs w:val="20"/>
          <w:color w:val="auto"/>
        </w:rPr>
        <w:tab/>
      </w:r>
      <w:r>
        <w:rPr>
          <w:rFonts w:ascii="Times New Roman" w:cs="Times New Roman" w:eastAsia="Times New Roman" w:hAnsi="Times New Roman"/>
          <w:sz w:val="16"/>
          <w:szCs w:val="16"/>
          <w:b w:val="1"/>
          <w:bCs w:val="1"/>
          <w:color w:val="auto"/>
        </w:rPr>
        <w:t>March 31, 2023</w:t>
      </w:r>
    </w:p>
    <w:p>
      <w:pPr>
        <w:spacing w:after="0" w:line="46" w:lineRule="exact"/>
        <w:rPr>
          <w:sz w:val="20"/>
          <w:szCs w:val="20"/>
          <w:color w:val="auto"/>
        </w:rPr>
      </w:pPr>
    </w:p>
    <w:p>
      <w:pPr>
        <w:ind w:left="880"/>
        <w:spacing w:after="0"/>
        <w:tabs>
          <w:tab w:leader="none" w:pos="2300" w:val="left"/>
        </w:tabs>
        <w:rPr>
          <w:sz w:val="20"/>
          <w:szCs w:val="20"/>
          <w:color w:val="auto"/>
        </w:rPr>
      </w:pPr>
      <w:r>
        <w:rPr>
          <w:rFonts w:ascii="Times New Roman" w:cs="Times New Roman" w:eastAsia="Times New Roman" w:hAnsi="Times New Roman"/>
          <w:sz w:val="16"/>
          <w:szCs w:val="16"/>
          <w:b w:val="1"/>
          <w:bCs w:val="1"/>
          <w:color w:val="auto"/>
        </w:rPr>
        <w:t>34,981</w:t>
      </w:r>
      <w:r>
        <w:rPr>
          <w:sz w:val="20"/>
          <w:szCs w:val="20"/>
          <w:color w:val="auto"/>
        </w:rPr>
        <w:tab/>
      </w:r>
      <w:r>
        <w:rPr>
          <w:rFonts w:ascii="Times New Roman" w:cs="Times New Roman" w:eastAsia="Times New Roman" w:hAnsi="Times New Roman"/>
          <w:sz w:val="16"/>
          <w:szCs w:val="16"/>
          <w:b w:val="1"/>
          <w:bCs w:val="1"/>
          <w:color w:val="auto"/>
        </w:rPr>
        <w:t>36,375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(6,990)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(6,723)</w:t>
            </w:r>
          </w:p>
        </w:tc>
      </w:tr>
      <w:tr>
        <w:trPr>
          <w:trHeight w:val="219"/>
        </w:trPr>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27,909</w:t>
            </w: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29,652</w:t>
            </w:r>
          </w:p>
        </w:tc>
        <w:tc>
          <w:tcPr>
            <w:tcW w:w="40" w:type="dxa"/>
            <w:vAlign w:val="bottom"/>
          </w:tcPr>
          <w:p>
            <w:pPr>
              <w:spacing w:after="0"/>
              <w:rPr>
                <w:sz w:val="17"/>
                <w:szCs w:val="17"/>
                <w:color w:val="auto"/>
              </w:rPr>
            </w:pPr>
          </w:p>
        </w:tc>
      </w:tr>
      <w:tr>
        <w:trPr>
          <w:trHeight w:val="196"/>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27,333</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29,045</w:t>
            </w:r>
          </w:p>
        </w:tc>
        <w:tc>
          <w:tcPr>
            <w:tcW w:w="40" w:type="dxa"/>
            <w:vAlign w:val="bottom"/>
          </w:tcPr>
          <w:p>
            <w:pPr>
              <w:spacing w:after="0"/>
              <w:rPr>
                <w:sz w:val="17"/>
                <w:szCs w:val="17"/>
                <w:color w:val="auto"/>
              </w:rPr>
            </w:pPr>
          </w:p>
        </w:tc>
      </w:tr>
      <w:tr>
        <w:trPr>
          <w:trHeight w:val="210"/>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40" w:type="dxa"/>
            <w:vAlign w:val="bottom"/>
          </w:tcPr>
          <w:p>
            <w:pPr>
              <w:spacing w:after="0"/>
              <w:rPr>
                <w:sz w:val="18"/>
                <w:szCs w:val="18"/>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51,137,201</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51,687,865</w:t>
            </w:r>
          </w:p>
        </w:tc>
        <w:tc>
          <w:tcPr>
            <w:tcW w:w="40" w:type="dxa"/>
            <w:vAlign w:val="bottom"/>
          </w:tcPr>
          <w:p>
            <w:pPr>
              <w:spacing w:after="0"/>
              <w:rPr>
                <w:sz w:val="24"/>
                <w:szCs w:val="24"/>
                <w:color w:val="auto"/>
              </w:rPr>
            </w:pPr>
          </w:p>
        </w:tc>
      </w:tr>
      <w:tr>
        <w:trPr>
          <w:trHeight w:val="216"/>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1,077,494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1,080,263</w:t>
            </w:r>
          </w:p>
        </w:tc>
        <w:tc>
          <w:tcPr>
            <w:tcW w:w="40" w:type="dxa"/>
            <w:vAlign w:val="bottom"/>
          </w:tcPr>
          <w:p>
            <w:pPr>
              <w:spacing w:after="0"/>
              <w:rPr>
                <w:sz w:val="18"/>
                <w:szCs w:val="18"/>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40" w:type="dxa"/>
            <w:vAlign w:val="bottom"/>
          </w:tcPr>
          <w:p>
            <w:pPr>
              <w:spacing w:after="0"/>
              <w:rPr>
                <w:sz w:val="24"/>
                <w:szCs w:val="24"/>
                <w:color w:val="auto"/>
              </w:rPr>
            </w:pPr>
          </w:p>
        </w:tc>
      </w:tr>
      <w:tr>
        <w:trPr>
          <w:trHeight w:val="216"/>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40" w:type="dxa"/>
            <w:vAlign w:val="bottom"/>
          </w:tcPr>
          <w:p>
            <w:pPr>
              <w:spacing w:after="0"/>
              <w:rPr>
                <w:sz w:val="18"/>
                <w:szCs w:val="18"/>
                <w:color w:val="auto"/>
              </w:rPr>
            </w:pPr>
          </w:p>
        </w:tc>
      </w:tr>
      <w:tr>
        <w:trPr>
          <w:trHeight w:val="419"/>
        </w:trPr>
        <w:tc>
          <w:tcPr>
            <w:tcW w:w="282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6"/>
        </w:trPr>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March 31, 2023</w:t>
            </w:r>
          </w:p>
        </w:tc>
      </w:tr>
    </w:tbl>
    <w:p>
      <w:pPr>
        <w:spacing w:after="0" w:line="1" w:lineRule="exact"/>
        <w:rPr>
          <w:sz w:val="20"/>
          <w:szCs w:val="20"/>
          <w:color w:val="auto"/>
        </w:rPr>
      </w:pPr>
    </w:p>
    <w:p>
      <w:pPr>
        <w:sectPr>
          <w:pgSz w:w="11900" w:h="16838" w:orient="portrait"/>
          <w:cols w:equalWidth="0" w:num="2">
            <w:col w:w="7640" w:space="720"/>
            <w:col w:w="2820"/>
          </w:cols>
          <w:pgMar w:left="320" w:top="950" w:right="39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83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3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34,981</w:t>
            </w: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36,375</w:t>
            </w:r>
          </w:p>
        </w:tc>
        <w:tc>
          <w:tcPr>
            <w:tcW w:w="40" w:type="dxa"/>
            <w:vAlign w:val="bottom"/>
          </w:tcPr>
          <w:p>
            <w:pPr>
              <w:spacing w:after="0"/>
              <w:rPr>
                <w:sz w:val="18"/>
                <w:szCs w:val="18"/>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Adjustment for: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Accrued preference unit distributions</w:t>
            </w:r>
          </w:p>
        </w:tc>
        <w:tc>
          <w:tcPr>
            <w:tcW w:w="1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(6,990)</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40" w:type="dxa"/>
            <w:vAlign w:val="bottom"/>
          </w:tcPr>
          <w:p>
            <w:pPr>
              <w:spacing w:after="0"/>
              <w:rPr>
                <w:sz w:val="19"/>
                <w:szCs w:val="19"/>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Differences on repurchase of preference units</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02"/>
        </w:trPr>
        <w:tc>
          <w:tcPr>
            <w:tcW w:w="83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Partnership’s profit used in EPU calculation</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27,909</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29,652</w:t>
            </w:r>
          </w:p>
        </w:tc>
        <w:tc>
          <w:tcPr>
            <w:tcW w:w="40" w:type="dxa"/>
            <w:vAlign w:val="bottom"/>
          </w:tcPr>
          <w:p>
            <w:pPr>
              <w:spacing w:after="0"/>
              <w:rPr>
                <w:sz w:val="17"/>
                <w:szCs w:val="17"/>
                <w:color w:val="auto"/>
              </w:rPr>
            </w:pPr>
          </w:p>
        </w:tc>
      </w:tr>
      <w:tr>
        <w:trPr>
          <w:trHeight w:val="196"/>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Non-cash (gain)/loss on derivatives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40" w:type="dxa"/>
            <w:vAlign w:val="bottom"/>
          </w:tcPr>
          <w:p>
            <w:pPr>
              <w:spacing w:after="0"/>
              <w:rPr>
                <w:sz w:val="17"/>
                <w:szCs w:val="17"/>
                <w:color w:val="auto"/>
              </w:rPr>
            </w:pPr>
          </w:p>
        </w:tc>
      </w:tr>
      <w:tr>
        <w:trPr>
          <w:trHeight w:val="216"/>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Write-off of unamortized loan fees</w:t>
            </w:r>
          </w:p>
        </w:tc>
        <w:tc>
          <w:tcPr>
            <w:tcW w:w="14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40" w:type="dxa"/>
            <w:vAlign w:val="bottom"/>
          </w:tcPr>
          <w:p>
            <w:pPr>
              <w:spacing w:after="0"/>
              <w:rPr>
                <w:sz w:val="18"/>
                <w:szCs w:val="18"/>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40" w:type="dxa"/>
            <w:vAlign w:val="bottom"/>
          </w:tcPr>
          <w:p>
            <w:pPr>
              <w:spacing w:after="0"/>
              <w:rPr>
                <w:sz w:val="18"/>
                <w:szCs w:val="18"/>
                <w:color w:val="auto"/>
              </w:rPr>
            </w:pPr>
          </w:p>
        </w:tc>
      </w:tr>
      <w:tr>
        <w:trPr>
          <w:trHeight w:val="222"/>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4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40" w:type="dxa"/>
            <w:vAlign w:val="bottom"/>
          </w:tcPr>
          <w:p>
            <w:pPr>
              <w:spacing w:after="0"/>
              <w:rPr>
                <w:sz w:val="19"/>
                <w:szCs w:val="19"/>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22"/>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4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40" w:type="dxa"/>
            <w:vAlign w:val="bottom"/>
          </w:tcPr>
          <w:p>
            <w:pPr>
              <w:spacing w:after="0"/>
              <w:rPr>
                <w:sz w:val="19"/>
                <w:szCs w:val="19"/>
                <w:color w:val="auto"/>
              </w:rPr>
            </w:pPr>
          </w:p>
        </w:tc>
      </w:tr>
      <w:tr>
        <w:trPr>
          <w:trHeight w:val="196"/>
        </w:trPr>
        <w:tc>
          <w:tcPr>
            <w:tcW w:w="83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Adjusted Partnership’s profit used in EPU calculation attributable to:</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21,254</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32,576</w:t>
            </w:r>
          </w:p>
        </w:tc>
        <w:tc>
          <w:tcPr>
            <w:tcW w:w="40" w:type="dxa"/>
            <w:vAlign w:val="bottom"/>
          </w:tcPr>
          <w:p>
            <w:pPr>
              <w:spacing w:after="0"/>
              <w:rPr>
                <w:sz w:val="17"/>
                <w:szCs w:val="17"/>
                <w:color w:val="auto"/>
              </w:rPr>
            </w:pPr>
          </w:p>
        </w:tc>
      </w:tr>
      <w:tr>
        <w:trPr>
          <w:trHeight w:val="196"/>
        </w:trPr>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20,815</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31,909</w:t>
            </w:r>
          </w:p>
        </w:tc>
        <w:tc>
          <w:tcPr>
            <w:tcW w:w="40" w:type="dxa"/>
            <w:vAlign w:val="bottom"/>
          </w:tcPr>
          <w:p>
            <w:pPr>
              <w:spacing w:after="0"/>
              <w:rPr>
                <w:sz w:val="17"/>
                <w:szCs w:val="17"/>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50" w:right="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Weighted average units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6374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Adjusted EPU (basic)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200" w:lineRule="exact"/>
        <w:rPr>
          <w:sz w:val="20"/>
          <w:szCs w:val="20"/>
          <w:color w:val="auto"/>
        </w:rPr>
      </w:pPr>
    </w:p>
    <w:p>
      <w:pPr>
        <w:spacing w:after="0" w:line="260" w:lineRule="exact"/>
        <w:rPr>
          <w:sz w:val="20"/>
          <w:szCs w:val="20"/>
          <w:color w:val="auto"/>
        </w:rPr>
      </w:pPr>
    </w:p>
    <w:p>
      <w:pPr>
        <w:jc w:val="right"/>
        <w:ind w:right="25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7"/>
              </w:rPr>
              <w:t>51,137,201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51,687,865</w:t>
            </w:r>
          </w:p>
        </w:tc>
      </w:tr>
      <w:tr>
        <w:trPr>
          <w:trHeight w:val="216"/>
        </w:trPr>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1,077,494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1,080,263</w:t>
            </w:r>
          </w:p>
        </w:tc>
      </w:tr>
      <w:tr>
        <w:trPr>
          <w:trHeight w:val="432"/>
        </w:trPr>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0.41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16"/>
        </w:trPr>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0.41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r>
    </w:tbl>
    <w:p>
      <w:pPr>
        <w:sectPr>
          <w:pgSz w:w="11900" w:h="16838" w:orient="portrait"/>
          <w:cols w:equalWidth="0" w:num="2">
            <w:col w:w="8240" w:space="720"/>
            <w:col w:w="2180"/>
          </w:cols>
          <w:pgMar w:left="320" w:top="934" w:right="4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Financial Report for the Three Months Ended March 31, 2023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w:t>
      </w:r>
    </w:p>
    <w:p>
      <w:pPr>
        <w:spacing w:after="0" w:line="237"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16"/>
          <w:szCs w:val="16"/>
          <w:color w:val="auto"/>
        </w:rPr>
        <w:t>The following is a discussion of our financial condition and results of operations for the three-month periods ended March 31, 2022 and March 31, 2023.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March 6, 2023.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37" w:lineRule="exact"/>
        <w:rPr>
          <w:sz w:val="20"/>
          <w:szCs w:val="20"/>
          <w:color w:val="auto"/>
        </w:rPr>
      </w:pPr>
    </w:p>
    <w:p>
      <w:pPr>
        <w:ind w:right="80" w:firstLine="324"/>
        <w:spacing w:after="0" w:line="269" w:lineRule="auto"/>
        <w:rPr>
          <w:sz w:val="20"/>
          <w:szCs w:val="20"/>
          <w:color w:val="auto"/>
        </w:rPr>
      </w:pPr>
      <w:r>
        <w:rPr>
          <w:rFonts w:ascii="Times New Roman" w:cs="Times New Roman" w:eastAsia="Times New Roman" w:hAnsi="Times New Roman"/>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80" w:hanging="328"/>
        <w:spacing w:after="0" w:line="269"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right="16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GasLog Partners to consummate the acquisition by GasLog Ltd. (“GasLog”) of all of the outstanding common units of the Partnership not beneficially owned by GasLog for overall consideration of $8.65 per common unit in cash per unit (the “Transaction”), which is difficult to predict and which involves uncertainties that are beyond the control of GasLog Partners, including, but not limited to, the satisfaction of the conditions to the closing of the Transaction or the occurrence of any event, change or other circumstance that could give rise to the termination of the Agreement and Plan of Merger dated as of April 6, 2023 or cause delays in the consummation of the Transaction;</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secure new multi-year charters at economically attractive rates;</w:t>
      </w:r>
    </w:p>
    <w:p>
      <w:pPr>
        <w:spacing w:after="0" w:line="18" w:lineRule="exact"/>
        <w:rPr>
          <w:rFonts w:ascii="Times New Roman" w:cs="Times New Roman" w:eastAsia="Times New Roman" w:hAnsi="Times New Roman"/>
          <w:sz w:val="16"/>
          <w:szCs w:val="16"/>
          <w:color w:val="auto"/>
        </w:rPr>
      </w:pPr>
    </w:p>
    <w:p>
      <w:pPr>
        <w:jc w:val="both"/>
        <w:ind w:left="660" w:right="18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operating costs, including crew costs, maintenance, dry-docking and insurance costs and bunker prices;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duration and effects of COVID-19 and any other pandemics on our workforce, business, operations and financial condition;</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prices for crude oil, petroleum products and natural gas, including LNG;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especially the U.S. dollar and Euro;</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portfolio by acquiring vessels through our drop-down pipeline with GasLog or by acquiring other assets from third parties;</w:t>
      </w:r>
    </w:p>
    <w:p>
      <w:pPr>
        <w:spacing w:after="0" w:line="18" w:lineRule="exact"/>
        <w:rPr>
          <w:rFonts w:ascii="Times New Roman" w:cs="Times New Roman" w:eastAsia="Times New Roman" w:hAnsi="Times New Roman"/>
          <w:sz w:val="16"/>
          <w:szCs w:val="16"/>
          <w:color w:val="auto"/>
        </w:rPr>
      </w:pPr>
    </w:p>
    <w:p>
      <w:pPr>
        <w:ind w:left="660" w:right="32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ind w:left="660" w:right="16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ownership of our charterers;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performance, financial condition, liquidity and cash available for distributions;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distribution policy and our ability to make cash distributions on our units or the impact of changes to cash distributions on our financial position;</w:t>
      </w:r>
    </w:p>
    <w:p>
      <w:pPr>
        <w:spacing w:after="0" w:line="18" w:lineRule="exact"/>
        <w:rPr>
          <w:rFonts w:ascii="Times New Roman" w:cs="Times New Roman" w:eastAsia="Times New Roman" w:hAnsi="Times New Roman"/>
          <w:sz w:val="16"/>
          <w:szCs w:val="16"/>
          <w:color w:val="auto"/>
        </w:rPr>
      </w:pPr>
    </w:p>
    <w:p>
      <w:pPr>
        <w:ind w:left="660" w:right="28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pending or recent acquisitions of ships or other assets, business strategy, areas of possible expansion and expected capital spending;</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5" w:name="page16"/>
    <w:bookmarkEnd w:id="15"/>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2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w:t>
      </w:r>
    </w:p>
    <w:p>
      <w:pPr>
        <w:spacing w:after="0" w:line="18" w:lineRule="exact"/>
        <w:rPr>
          <w:rFonts w:ascii="Times New Roman" w:cs="Times New Roman" w:eastAsia="Times New Roman" w:hAnsi="Times New Roman"/>
          <w:sz w:val="16"/>
          <w:szCs w:val="16"/>
          <w:color w:val="auto"/>
        </w:rPr>
      </w:pPr>
    </w:p>
    <w:p>
      <w:pPr>
        <w:ind w:left="660" w:right="160" w:hanging="328"/>
        <w:spacing w:after="0" w:line="264"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cost of and our ability to comply with environmental and regulatory requirements related to climate change, including regulatory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from future litigation; and</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risks and uncertainties described in the Partnership’s Annual Report on Form 20-F filed with the SEC on March 6, 2023, available </w:t>
      </w:r>
      <w:r>
        <w:rPr>
          <w:rFonts w:ascii="Times New Roman" w:cs="Times New Roman" w:eastAsia="Times New Roman" w:hAnsi="Times New Roman"/>
          <w:sz w:val="16"/>
          <w:szCs w:val="16"/>
          <w:u w:val="single" w:color="auto"/>
          <w:color w:val="0000FF"/>
        </w:rPr>
        <w:t>at http://www.sec.</w:t>
      </w:r>
      <w:r>
        <w:rPr>
          <w:rFonts w:ascii="Times New Roman" w:cs="Times New Roman" w:eastAsia="Times New Roman" w:hAnsi="Times New Roman"/>
          <w:sz w:val="16"/>
          <w:szCs w:val="16"/>
          <w:color w:val="auto"/>
        </w:rPr>
        <w:t>gov.</w:t>
      </w:r>
    </w:p>
    <w:p>
      <w:pPr>
        <w:spacing w:after="0" w:line="227" w:lineRule="exact"/>
        <w:rPr>
          <w:sz w:val="20"/>
          <w:szCs w:val="20"/>
          <w:color w:val="auto"/>
        </w:rPr>
      </w:pPr>
    </w:p>
    <w:p>
      <w:pPr>
        <w:ind w:right="120" w:firstLine="324"/>
        <w:spacing w:after="0" w:line="298" w:lineRule="auto"/>
        <w:rPr>
          <w:sz w:val="20"/>
          <w:szCs w:val="20"/>
          <w:color w:val="auto"/>
        </w:rPr>
      </w:pPr>
      <w:r>
        <w:rPr>
          <w:rFonts w:ascii="Times New Roman" w:cs="Times New Roman" w:eastAsia="Times New Roman" w:hAnsi="Times New Roman"/>
          <w:sz w:val="16"/>
          <w:szCs w:val="16"/>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64"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Distribution</w:t>
      </w:r>
    </w:p>
    <w:p>
      <w:pPr>
        <w:spacing w:after="0" w:line="237"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6"/>
          <w:szCs w:val="16"/>
          <w:color w:val="auto"/>
        </w:rPr>
        <w:t>On April 26, 2023, the board of directors of GasLog Partners approved and declared a quarterly cash distribution of $0.01 per common unit for the quarter ended March 31, 2023. The cash distribution is payable on May 11, 2023 to all unitholders of record as of May 8, 2023. The aggregate amount of the declared distribution will be $0.5 million based on the number of units issued and outstanding as of March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37"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6"/>
          <w:szCs w:val="16"/>
          <w:color w:val="auto"/>
        </w:rPr>
        <w:t>GasLog Partners is an owner, operator and acquirer of LNG carriers. Since our initial public offering (“IPO”) in May 2014, we have grown our fleet from three vessels at the time of our IPO to 14 today (including three vessels sold and leased back under a bareboat charter). Our capital allocation strategy is focused on balance sheet strength, deleveraging, reducing the all-in break-even rates in our fleet and repurchasing our Preference Units on an opportunistic basis in the open market. In addition, as part of our capital allocation priorities we have set leverage targets to monitor our performance. While we have reduced our leverage in recent years, we have not yet achieved those targets and there can be no assurance that we will be able to continue to reduce leverage in order to meet those targets.</w:t>
      </w:r>
    </w:p>
    <w:p>
      <w:pPr>
        <w:spacing w:after="0" w:line="186"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6"/>
          <w:szCs w:val="16"/>
          <w:color w:val="auto"/>
        </w:rPr>
        <w:t>On April 6, 2023, the Partnership announced an Agreement and Plan of Merger pursuant to which GasLog will acquire the outstanding common units of the Partnership not beneficially owned by GasLog for overall consideration of $8.65 per common unit in cash, consisting in part of a special distribution by the Partnership of $3.28 per common unit in cash that will be distributed to the Partnership’s unitholders in connection with the closing of the Transaction and the remainder to be paid by GasLog as merger consideration at the closing of the Transaction. The Transaction is expected to close by the end of the third quarter of 2023, subject to approval of the Transaction by holders of a majority of the common units of the Partnership and the satisfaction of certain closing conditions.</w:t>
      </w:r>
    </w:p>
    <w:p>
      <w:pPr>
        <w:spacing w:after="0" w:line="186" w:lineRule="exact"/>
        <w:rPr>
          <w:sz w:val="20"/>
          <w:szCs w:val="20"/>
          <w:color w:val="auto"/>
        </w:rPr>
      </w:pPr>
    </w:p>
    <w:p>
      <w:pPr>
        <w:ind w:right="540" w:firstLine="324"/>
        <w:spacing w:after="0" w:line="298" w:lineRule="auto"/>
        <w:rPr>
          <w:sz w:val="20"/>
          <w:szCs w:val="20"/>
          <w:color w:val="auto"/>
        </w:rPr>
      </w:pPr>
      <w:r>
        <w:rPr>
          <w:rFonts w:ascii="Times New Roman" w:cs="Times New Roman" w:eastAsia="Times New Roman" w:hAnsi="Times New Roman"/>
          <w:sz w:val="16"/>
          <w:szCs w:val="16"/>
          <w:color w:val="auto"/>
        </w:rPr>
        <w:t>As of March 31, 2023, our owned and bareboat fleet consisted of ten vessels with tri-fuel diesel electric (“TFDE”) propulsion and four steam turbine propulsion (“Steam”) vessels.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Fleet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Owned Fleet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Charter</w:t>
            </w:r>
          </w:p>
        </w:tc>
        <w:tc>
          <w:tcPr>
            <w:tcW w:w="14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contracts of more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460" w:type="dxa"/>
            <w:vAlign w:val="bottom"/>
          </w:tcPr>
          <w:p>
            <w:pPr>
              <w:spacing w:after="0"/>
              <w:rPr>
                <w:sz w:val="18"/>
                <w:szCs w:val="18"/>
                <w:color w:val="auto"/>
              </w:rPr>
            </w:pPr>
          </w:p>
        </w:tc>
      </w:tr>
      <w:tr>
        <w:trPr>
          <w:trHeight w:val="238"/>
        </w:trPr>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LNG Carrier</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Year Built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Propulsion</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(Firm Period)</w:t>
            </w: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Optional Period</w:t>
            </w:r>
          </w:p>
        </w:tc>
      </w:tr>
      <w:tr>
        <w:trPr>
          <w:trHeight w:val="196"/>
        </w:trPr>
        <w:tc>
          <w:tcPr>
            <w:tcW w:w="2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400" w:type="dxa"/>
            <w:vAlign w:val="bottom"/>
            <w:tcBorders>
              <w:top w:val="single" w:sz="8" w:color="auto"/>
            </w:tcBorders>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Methane Rita Andrea</w:t>
            </w:r>
          </w:p>
        </w:tc>
        <w:tc>
          <w:tcPr>
            <w:tcW w:w="12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Energy Major</w:t>
            </w:r>
          </w:p>
        </w:tc>
        <w:tc>
          <w:tcPr>
            <w:tcW w:w="10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Steam</w:t>
            </w:r>
          </w:p>
        </w:tc>
        <w:tc>
          <w:tcPr>
            <w:tcW w:w="1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October 2023</w:t>
            </w:r>
          </w:p>
        </w:tc>
        <w:tc>
          <w:tcPr>
            <w:tcW w:w="1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Methane Alison Victoria</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6"/>
              </w:rPr>
              <w:t xml:space="preserve">CNTIC VPower </w:t>
            </w:r>
            <w:r>
              <w:rPr>
                <w:rFonts w:ascii="Times New Roman" w:cs="Times New Roman" w:eastAsia="Times New Roman" w:hAnsi="Times New Roman"/>
                <w:sz w:val="26"/>
                <w:szCs w:val="26"/>
                <w:color w:val="auto"/>
                <w:w w:val="96"/>
                <w:vertAlign w:val="superscript"/>
              </w:rPr>
              <w:t>(1)</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Steam</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2023</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2024–2025 </w:t>
            </w:r>
            <w:r>
              <w:rPr>
                <w:rFonts w:ascii="Times New Roman" w:cs="Times New Roman" w:eastAsia="Times New Roman" w:hAnsi="Times New Roman"/>
                <w:sz w:val="26"/>
                <w:szCs w:val="26"/>
                <w:color w:val="auto"/>
                <w:w w:val="95"/>
                <w:vertAlign w:val="superscript"/>
              </w:rPr>
              <w:t>(1)</w:t>
            </w:r>
          </w:p>
        </w:tc>
      </w:tr>
      <w:tr>
        <w:trPr>
          <w:trHeight w:val="243"/>
        </w:trPr>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52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Gibraltar</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Shell</w:t>
            </w:r>
          </w:p>
        </w:tc>
        <w:tc>
          <w:tcPr>
            <w:tcW w:w="1000" w:type="dxa"/>
            <w:vAlign w:val="bottom"/>
            <w:gridSpan w:val="2"/>
            <w:shd w:val="clear" w:color="auto" w:fill="E5FFFF"/>
          </w:tcPr>
          <w:p>
            <w:pPr>
              <w:jc w:val="center"/>
              <w:ind w:right="8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E5FFFF"/>
          </w:tcPr>
          <w:p>
            <w:pPr>
              <w:jc w:val="center"/>
              <w:ind w:right="60"/>
              <w:spacing w:after="0"/>
              <w:rPr>
                <w:sz w:val="20"/>
                <w:szCs w:val="20"/>
                <w:color w:val="auto"/>
              </w:rPr>
            </w:pPr>
            <w:r>
              <w:rPr>
                <w:rFonts w:ascii="Times New Roman" w:cs="Times New Roman" w:eastAsia="Times New Roman" w:hAnsi="Times New Roman"/>
                <w:sz w:val="16"/>
                <w:szCs w:val="16"/>
                <w:color w:val="auto"/>
              </w:rPr>
              <w:t>October 2023</w:t>
            </w:r>
          </w:p>
        </w:tc>
        <w:tc>
          <w:tcPr>
            <w:tcW w:w="146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2028–2031 </w:t>
            </w:r>
            <w:r>
              <w:rPr>
                <w:rFonts w:ascii="Times New Roman" w:cs="Times New Roman" w:eastAsia="Times New Roman" w:hAnsi="Times New Roman"/>
                <w:sz w:val="26"/>
                <w:szCs w:val="26"/>
                <w:color w:val="auto"/>
                <w:w w:val="95"/>
                <w:vertAlign w:val="superscript"/>
              </w:rPr>
              <w:t>(2)</w:t>
            </w:r>
          </w:p>
        </w:tc>
      </w:tr>
      <w:tr>
        <w:trPr>
          <w:trHeight w:val="214"/>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Solaris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Energy Major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2023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5"/>
        </w:trPr>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52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Santiago</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00"/>
              <w:spacing w:after="0" w:line="245" w:lineRule="exact"/>
              <w:rPr>
                <w:sz w:val="20"/>
                <w:szCs w:val="20"/>
                <w:color w:val="auto"/>
              </w:rPr>
            </w:pPr>
            <w:r>
              <w:rPr>
                <w:rFonts w:ascii="Times New Roman" w:cs="Times New Roman" w:eastAsia="Times New Roman" w:hAnsi="Times New Roman"/>
                <w:sz w:val="16"/>
                <w:szCs w:val="16"/>
                <w:color w:val="auto"/>
                <w:w w:val="94"/>
              </w:rPr>
              <w:t xml:space="preserve">Trafigura </w:t>
            </w:r>
            <w:r>
              <w:rPr>
                <w:rFonts w:ascii="Times New Roman" w:cs="Times New Roman" w:eastAsia="Times New Roman" w:hAnsi="Times New Roman"/>
                <w:sz w:val="26"/>
                <w:szCs w:val="26"/>
                <w:color w:val="auto"/>
                <w:w w:val="94"/>
                <w:vertAlign w:val="superscript"/>
              </w:rPr>
              <w:t>(3)</w:t>
            </w:r>
          </w:p>
        </w:tc>
        <w:tc>
          <w:tcPr>
            <w:tcW w:w="1000" w:type="dxa"/>
            <w:vAlign w:val="bottom"/>
            <w:gridSpan w:val="2"/>
            <w:shd w:val="clear" w:color="auto" w:fill="E5FFFF"/>
          </w:tcPr>
          <w:p>
            <w:pPr>
              <w:jc w:val="center"/>
              <w:ind w:right="8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December 2023</w:t>
            </w:r>
          </w:p>
        </w:tc>
        <w:tc>
          <w:tcPr>
            <w:tcW w:w="1460" w:type="dxa"/>
            <w:vAlign w:val="bottom"/>
            <w:shd w:val="clear" w:color="auto" w:fill="E5FFFF"/>
          </w:tcPr>
          <w:p>
            <w:pPr>
              <w:jc w:val="center"/>
              <w:spacing w:after="0" w:line="245" w:lineRule="exact"/>
              <w:rPr>
                <w:sz w:val="20"/>
                <w:szCs w:val="20"/>
                <w:color w:val="auto"/>
              </w:rPr>
            </w:pPr>
            <w:r>
              <w:rPr>
                <w:rFonts w:ascii="Times New Roman" w:cs="Times New Roman" w:eastAsia="Times New Roman" w:hAnsi="Times New Roman"/>
                <w:sz w:val="16"/>
                <w:szCs w:val="16"/>
                <w:color w:val="auto"/>
                <w:w w:val="92"/>
              </w:rPr>
              <w:t xml:space="preserve">2028 </w:t>
            </w:r>
            <w:r>
              <w:rPr>
                <w:rFonts w:ascii="Times New Roman" w:cs="Times New Roman" w:eastAsia="Times New Roman" w:hAnsi="Times New Roman"/>
                <w:sz w:val="26"/>
                <w:szCs w:val="26"/>
                <w:color w:val="auto"/>
                <w:w w:val="92"/>
                <w:vertAlign w:val="superscript"/>
              </w:rPr>
              <w:t>(3)</w:t>
            </w:r>
          </w:p>
        </w:tc>
      </w:tr>
      <w:tr>
        <w:trPr>
          <w:trHeight w:val="190"/>
        </w:trPr>
        <w:tc>
          <w:tcPr>
            <w:tcW w:w="2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Energy Trading</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6"/>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GasLog Seattle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tcPr>
          <w:p>
            <w:pPr>
              <w:spacing w:after="0"/>
              <w:rPr>
                <w:sz w:val="22"/>
                <w:szCs w:val="22"/>
                <w:color w:val="auto"/>
              </w:rPr>
            </w:pPr>
          </w:p>
        </w:tc>
        <w:tc>
          <w:tcPr>
            <w:tcW w:w="166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6"/>
                <w:szCs w:val="16"/>
                <w:color w:val="auto"/>
                <w:w w:val="97"/>
              </w:rPr>
              <w:t xml:space="preserve">Company </w:t>
            </w:r>
            <w:r>
              <w:rPr>
                <w:rFonts w:ascii="Times New Roman" w:cs="Times New Roman" w:eastAsia="Times New Roman" w:hAnsi="Times New Roman"/>
                <w:sz w:val="26"/>
                <w:szCs w:val="26"/>
                <w:color w:val="auto"/>
                <w:w w:val="97"/>
                <w:vertAlign w:val="superscript"/>
              </w:rPr>
              <w:t>(4)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52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Methane Jane Elizabeth</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5"/>
              </w:rPr>
              <w:t xml:space="preserve">Cheniere </w:t>
            </w:r>
            <w:r>
              <w:rPr>
                <w:rFonts w:ascii="Times New Roman" w:cs="Times New Roman" w:eastAsia="Times New Roman" w:hAnsi="Times New Roman"/>
                <w:sz w:val="26"/>
                <w:szCs w:val="26"/>
                <w:color w:val="auto"/>
                <w:w w:val="95"/>
                <w:vertAlign w:val="superscript"/>
              </w:rPr>
              <w:t>(5)</w:t>
            </w:r>
          </w:p>
        </w:tc>
        <w:tc>
          <w:tcPr>
            <w:tcW w:w="1000" w:type="dxa"/>
            <w:vAlign w:val="bottom"/>
            <w:gridSpan w:val="2"/>
            <w:shd w:val="clear" w:color="auto" w:fill="E5FFFF"/>
          </w:tcPr>
          <w:p>
            <w:pPr>
              <w:jc w:val="center"/>
              <w:ind w:right="80"/>
              <w:spacing w:after="0"/>
              <w:rPr>
                <w:sz w:val="20"/>
                <w:szCs w:val="20"/>
                <w:color w:val="auto"/>
              </w:rPr>
            </w:pPr>
            <w:r>
              <w:rPr>
                <w:rFonts w:ascii="Times New Roman" w:cs="Times New Roman" w:eastAsia="Times New Roman" w:hAnsi="Times New Roman"/>
                <w:sz w:val="16"/>
                <w:szCs w:val="16"/>
                <w:color w:val="auto"/>
                <w:w w:val="99"/>
              </w:rPr>
              <w:t>Steam</w:t>
            </w: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March 2024</w:t>
            </w:r>
          </w:p>
        </w:tc>
        <w:tc>
          <w:tcPr>
            <w:tcW w:w="146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2025 </w:t>
            </w:r>
            <w:r>
              <w:rPr>
                <w:rFonts w:ascii="Times New Roman" w:cs="Times New Roman" w:eastAsia="Times New Roman" w:hAnsi="Times New Roman"/>
                <w:sz w:val="26"/>
                <w:szCs w:val="26"/>
                <w:color w:val="auto"/>
                <w:w w:val="92"/>
                <w:vertAlign w:val="superscript"/>
              </w:rPr>
              <w:t>(5)</w:t>
            </w:r>
          </w:p>
        </w:tc>
      </w:tr>
      <w:tr>
        <w:trPr>
          <w:trHeight w:val="243"/>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GasLog Greece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Shell</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(6)</w:t>
            </w:r>
          </w:p>
        </w:tc>
      </w:tr>
      <w:tr>
        <w:trPr>
          <w:trHeight w:val="243"/>
        </w:trPr>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52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Glasgow</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Shell</w:t>
            </w:r>
          </w:p>
        </w:tc>
        <w:tc>
          <w:tcPr>
            <w:tcW w:w="1000" w:type="dxa"/>
            <w:vAlign w:val="bottom"/>
            <w:gridSpan w:val="2"/>
            <w:shd w:val="clear" w:color="auto" w:fill="E5FFFF"/>
          </w:tcPr>
          <w:p>
            <w:pPr>
              <w:jc w:val="center"/>
              <w:ind w:right="8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June 2026</w:t>
            </w:r>
          </w:p>
        </w:tc>
        <w:tc>
          <w:tcPr>
            <w:tcW w:w="146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(6)</w:t>
            </w:r>
          </w:p>
        </w:tc>
      </w:tr>
      <w:tr>
        <w:trPr>
          <w:trHeight w:val="355"/>
        </w:trPr>
        <w:tc>
          <w:tcPr>
            <w:tcW w:w="2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10 </w:t>
            </w:r>
            <w:r>
              <w:rPr>
                <w:rFonts w:ascii="Times New Roman" w:cs="Times New Roman" w:eastAsia="Times New Roman" w:hAnsi="Times New Roman"/>
                <w:sz w:val="16"/>
                <w:szCs w:val="16"/>
                <w:i w:val="1"/>
                <w:iCs w:val="1"/>
                <w:color w:val="auto"/>
              </w:rPr>
              <w:t>GasLog Geneva</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Shell</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September 2028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(7)</w:t>
            </w:r>
          </w:p>
        </w:tc>
      </w:tr>
    </w:tbl>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6" w:name="page17"/>
    <w:bookmarkEnd w:id="16"/>
    <w:p>
      <w:pPr>
        <w:ind w:left="40"/>
        <w:spacing w:after="0"/>
        <w:tabs>
          <w:tab w:leader="none" w:pos="3000" w:val="left"/>
          <w:tab w:leader="none" w:pos="4260" w:val="left"/>
          <w:tab w:leader="none" w:pos="6040" w:val="left"/>
          <w:tab w:leader="none" w:pos="7340" w:val="left"/>
          <w:tab w:leader="none" w:pos="8420" w:val="left"/>
          <w:tab w:leader="none" w:pos="10300" w:val="left"/>
        </w:tabs>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i w:val="1"/>
          <w:iCs w:val="1"/>
          <w:color w:val="auto"/>
        </w:rPr>
        <w:t>Methane Becki Anne</w:t>
      </w:r>
      <w:r>
        <w:rPr>
          <w:sz w:val="20"/>
          <w:szCs w:val="20"/>
          <w:color w:val="auto"/>
        </w:rPr>
        <w:tab/>
      </w:r>
      <w:r>
        <w:rPr>
          <w:rFonts w:ascii="Times New Roman" w:cs="Times New Roman" w:eastAsia="Times New Roman" w:hAnsi="Times New Roman"/>
          <w:sz w:val="16"/>
          <w:szCs w:val="16"/>
          <w:color w:val="auto"/>
        </w:rPr>
        <w:t>2010</w:t>
      </w:r>
      <w:r>
        <w:rPr>
          <w:sz w:val="20"/>
          <w:szCs w:val="20"/>
          <w:color w:val="auto"/>
        </w:rPr>
        <w:tab/>
      </w:r>
      <w:r>
        <w:rPr>
          <w:rFonts w:ascii="Times New Roman" w:cs="Times New Roman" w:eastAsia="Times New Roman" w:hAnsi="Times New Roman"/>
          <w:sz w:val="16"/>
          <w:szCs w:val="16"/>
          <w:color w:val="auto"/>
        </w:rPr>
        <w:t>170,000</w:t>
      </w:r>
      <w:r>
        <w:rPr>
          <w:sz w:val="20"/>
          <w:szCs w:val="20"/>
          <w:color w:val="auto"/>
        </w:rPr>
        <w:tab/>
      </w:r>
      <w:r>
        <w:rPr>
          <w:rFonts w:ascii="Times New Roman" w:cs="Times New Roman" w:eastAsia="Times New Roman" w:hAnsi="Times New Roman"/>
          <w:sz w:val="16"/>
          <w:szCs w:val="16"/>
          <w:color w:val="auto"/>
        </w:rPr>
        <w:t>Shell</w:t>
      </w:r>
      <w:r>
        <w:rPr>
          <w:sz w:val="20"/>
          <w:szCs w:val="20"/>
          <w:color w:val="auto"/>
        </w:rPr>
        <w:tab/>
      </w:r>
      <w:r>
        <w:rPr>
          <w:rFonts w:ascii="Times New Roman" w:cs="Times New Roman" w:eastAsia="Times New Roman" w:hAnsi="Times New Roman"/>
          <w:sz w:val="16"/>
          <w:szCs w:val="16"/>
          <w:color w:val="auto"/>
        </w:rPr>
        <w:t>TFDE</w:t>
      </w:r>
      <w:r>
        <w:rPr>
          <w:sz w:val="20"/>
          <w:szCs w:val="20"/>
          <w:color w:val="auto"/>
        </w:rPr>
        <w:tab/>
      </w:r>
      <w:r>
        <w:rPr>
          <w:rFonts w:ascii="Times New Roman" w:cs="Times New Roman" w:eastAsia="Times New Roman" w:hAnsi="Times New Roman"/>
          <w:sz w:val="16"/>
          <w:szCs w:val="16"/>
          <w:color w:val="auto"/>
        </w:rPr>
        <w:t>March 2029</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200660</wp:posOffset>
            </wp:positionV>
            <wp:extent cx="1663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right="100" w:hanging="332"/>
        <w:spacing w:after="0" w:line="229" w:lineRule="auto"/>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CNTIC VPower Energy Ltd. (“CNTIC VPower”), an independent Chinese energy company. 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ind w:left="340" w:right="360" w:hanging="332"/>
        <w:spacing w:after="0" w:line="221" w:lineRule="auto"/>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 time charter by two additional periods of five and three years, respectively, provided that the charterer gives us advance notice of declaration. The period shown reflects the expiration of the minimum optional period and the maximum optional period.</w:t>
      </w:r>
    </w:p>
    <w:p>
      <w:pPr>
        <w:ind w:left="340" w:right="60" w:hanging="332"/>
        <w:spacing w:after="0" w:line="221" w:lineRule="auto"/>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Trafigura Maritime Logistics PTE Ltd. (“Trafigura”). Charterer may extend the term of this time charter for a five-year period, provided that the charterer gives us advance notice of declaration. The period shown reflects the expiration of the minimum optional period and the maximum optional period.</w:t>
      </w:r>
    </w:p>
    <w:p>
      <w:pPr>
        <w:ind w:left="340" w:hanging="332"/>
        <w:spacing w:after="0"/>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a Swiss-headquartered energy trading company.</w:t>
      </w:r>
    </w:p>
    <w:p>
      <w:pPr>
        <w:spacing w:after="0" w:line="1" w:lineRule="exact"/>
        <w:rPr>
          <w:rFonts w:ascii="Times New Roman" w:cs="Times New Roman" w:eastAsia="Times New Roman" w:hAnsi="Times New Roman"/>
          <w:sz w:val="12"/>
          <w:szCs w:val="12"/>
          <w:color w:val="auto"/>
        </w:rPr>
      </w:pPr>
    </w:p>
    <w:p>
      <w:pPr>
        <w:ind w:left="340" w:right="160" w:hanging="332"/>
        <w:spacing w:after="0" w:line="221" w:lineRule="auto"/>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Cheniere Marketing International LLP, a subsidiary of Cheniere. Charterer may extend the term of the time charter for an additional period of one year, provided that the charterer gives us advance notice of declaration.</w:t>
      </w:r>
    </w:p>
    <w:p>
      <w:pPr>
        <w:ind w:left="340" w:hanging="332"/>
        <w:spacing w:after="0"/>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these time charters for a period of five years, provided that the charterer gives us advance notice of declaration.</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 time charter for an additional period of three years, provided that the charterer gives us advance notice of declaration.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Bareboat Vessels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Cargo</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Charter</w:t>
            </w:r>
          </w:p>
        </w:tc>
        <w:tc>
          <w:tcPr>
            <w:tcW w:w="13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contracts of more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340" w:type="dxa"/>
            <w:vAlign w:val="bottom"/>
          </w:tcPr>
          <w:p>
            <w:pPr>
              <w:spacing w:after="0"/>
              <w:rPr>
                <w:sz w:val="18"/>
                <w:szCs w:val="18"/>
                <w:color w:val="auto"/>
              </w:rPr>
            </w:pPr>
          </w:p>
        </w:tc>
      </w:tr>
      <w:tr>
        <w:trPr>
          <w:trHeight w:val="238"/>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LNG Carrier</w:t>
            </w:r>
          </w:p>
        </w:tc>
        <w:tc>
          <w:tcPr>
            <w:tcW w:w="140" w:type="dxa"/>
            <w:vAlign w:val="bottom"/>
            <w:tcBorders>
              <w:bottom w:val="single" w:sz="8" w:color="E5FF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Built</w:t>
            </w:r>
          </w:p>
        </w:tc>
        <w:tc>
          <w:tcPr>
            <w:tcW w:w="120" w:type="dxa"/>
            <w:vAlign w:val="bottom"/>
            <w:tcBorders>
              <w:bottom w:val="single" w:sz="8" w:color="E5FF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00" w:type="dxa"/>
            <w:vAlign w:val="bottom"/>
            <w:tcBorders>
              <w:bottom w:val="single" w:sz="8" w:color="E5FF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100" w:type="dxa"/>
            <w:vAlign w:val="bottom"/>
            <w:tcBorders>
              <w:bottom w:val="single" w:sz="8" w:color="E5FF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Propulsion</w:t>
            </w:r>
          </w:p>
        </w:tc>
        <w:tc>
          <w:tcPr>
            <w:tcW w:w="120" w:type="dxa"/>
            <w:vAlign w:val="bottom"/>
            <w:tcBorders>
              <w:bottom w:val="single" w:sz="8" w:color="E5FF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(Firm Period)</w:t>
            </w:r>
          </w:p>
        </w:tc>
        <w:tc>
          <w:tcPr>
            <w:tcW w:w="10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Optional Period</w:t>
            </w:r>
          </w:p>
        </w:tc>
      </w:tr>
      <w:tr>
        <w:trPr>
          <w:trHeight w:val="237"/>
        </w:trPr>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620" w:type="dxa"/>
            <w:vAlign w:val="bottom"/>
            <w:shd w:val="clear" w:color="auto" w:fill="E5FFFF"/>
          </w:tcPr>
          <w:p>
            <w:pPr>
              <w:ind w:left="40"/>
              <w:spacing w:after="0" w:line="236" w:lineRule="exact"/>
              <w:rPr>
                <w:sz w:val="20"/>
                <w:szCs w:val="20"/>
                <w:color w:val="auto"/>
              </w:rPr>
            </w:pPr>
            <w:r>
              <w:rPr>
                <w:rFonts w:ascii="Times New Roman" w:cs="Times New Roman" w:eastAsia="Times New Roman" w:hAnsi="Times New Roman"/>
                <w:sz w:val="16"/>
                <w:szCs w:val="16"/>
                <w:i w:val="1"/>
                <w:iCs w:val="1"/>
                <w:color w:val="auto"/>
              </w:rPr>
              <w:t xml:space="preserve">GasLog Sydney </w:t>
            </w:r>
            <w:r>
              <w:rPr>
                <w:rFonts w:ascii="Times New Roman" w:cs="Times New Roman" w:eastAsia="Times New Roman" w:hAnsi="Times New Roman"/>
                <w:sz w:val="26"/>
                <w:szCs w:val="26"/>
                <w:color w:val="auto"/>
                <w:vertAlign w:val="superscript"/>
              </w:rPr>
              <w:t>(1)</w:t>
            </w:r>
          </w:p>
        </w:tc>
        <w:tc>
          <w:tcPr>
            <w:tcW w:w="140" w:type="dxa"/>
            <w:vAlign w:val="bottom"/>
            <w:shd w:val="clear" w:color="auto" w:fill="E5FFFF"/>
          </w:tcPr>
          <w:p>
            <w:pPr>
              <w:spacing w:after="0"/>
              <w:rPr>
                <w:sz w:val="20"/>
                <w:szCs w:val="20"/>
                <w:color w:val="auto"/>
              </w:rPr>
            </w:pPr>
          </w:p>
        </w:tc>
        <w:tc>
          <w:tcPr>
            <w:tcW w:w="900" w:type="dxa"/>
            <w:vAlign w:val="bottom"/>
            <w:gridSpan w:val="2"/>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shd w:val="clear" w:color="auto" w:fill="E5FFFF"/>
          </w:tcPr>
          <w:p>
            <w:pPr>
              <w:spacing w:after="0"/>
              <w:rPr>
                <w:sz w:val="20"/>
                <w:szCs w:val="20"/>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shd w:val="clear" w:color="auto" w:fill="E5FFFF"/>
          </w:tcPr>
          <w:p>
            <w:pPr>
              <w:spacing w:after="0"/>
              <w:rPr>
                <w:sz w:val="20"/>
                <w:szCs w:val="20"/>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Spot market</w:t>
            </w:r>
          </w:p>
        </w:tc>
        <w:tc>
          <w:tcPr>
            <w:tcW w:w="100" w:type="dxa"/>
            <w:vAlign w:val="bottom"/>
            <w:shd w:val="clear" w:color="auto" w:fill="E5FFFF"/>
          </w:tcPr>
          <w:p>
            <w:pPr>
              <w:spacing w:after="0"/>
              <w:rPr>
                <w:sz w:val="20"/>
                <w:szCs w:val="20"/>
                <w:color w:val="auto"/>
              </w:rPr>
            </w:pPr>
          </w:p>
        </w:tc>
        <w:tc>
          <w:tcPr>
            <w:tcW w:w="8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20" w:type="dxa"/>
            <w:vAlign w:val="bottom"/>
            <w:shd w:val="clear" w:color="auto" w:fill="E5FFFF"/>
          </w:tcPr>
          <w:p>
            <w:pPr>
              <w:spacing w:after="0"/>
              <w:rPr>
                <w:sz w:val="20"/>
                <w:szCs w:val="20"/>
                <w:color w:val="auto"/>
              </w:rPr>
            </w:pPr>
          </w:p>
        </w:tc>
        <w:tc>
          <w:tcPr>
            <w:tcW w:w="156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76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GasLog Shanghai</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21"/>
                <w:szCs w:val="21"/>
                <w:color w:val="auto"/>
              </w:rPr>
            </w:pPr>
          </w:p>
        </w:tc>
        <w:tc>
          <w:tcPr>
            <w:tcW w:w="168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Woodside </w:t>
            </w:r>
            <w:r>
              <w:rPr>
                <w:rFonts w:ascii="Times New Roman" w:cs="Times New Roman" w:eastAsia="Times New Roman" w:hAnsi="Times New Roman"/>
                <w:sz w:val="26"/>
                <w:szCs w:val="26"/>
                <w:color w:val="auto"/>
                <w:w w:val="94"/>
                <w:vertAlign w:val="superscript"/>
              </w:rPr>
              <w:t>(2)</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2025</w:t>
            </w:r>
          </w:p>
        </w:tc>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2026 </w:t>
            </w:r>
            <w:r>
              <w:rPr>
                <w:rFonts w:ascii="Times New Roman" w:cs="Times New Roman" w:eastAsia="Times New Roman" w:hAnsi="Times New Roman"/>
                <w:sz w:val="26"/>
                <w:szCs w:val="26"/>
                <w:color w:val="auto"/>
                <w:w w:val="92"/>
                <w:vertAlign w:val="superscript"/>
              </w:rPr>
              <w:t>(2)</w:t>
            </w:r>
          </w:p>
        </w:tc>
      </w:tr>
      <w:tr>
        <w:trPr>
          <w:trHeight w:val="243"/>
        </w:trPr>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76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Methane Heather Sally</w:t>
            </w:r>
          </w:p>
        </w:tc>
        <w:tc>
          <w:tcPr>
            <w:tcW w:w="900" w:type="dxa"/>
            <w:vAlign w:val="bottom"/>
            <w:gridSpan w:val="2"/>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145,000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7"/>
              </w:rPr>
              <w:t xml:space="preserve">SEA Charterer </w:t>
            </w:r>
            <w:r>
              <w:rPr>
                <w:rFonts w:ascii="Times New Roman" w:cs="Times New Roman" w:eastAsia="Times New Roman" w:hAnsi="Times New Roman"/>
                <w:sz w:val="26"/>
                <w:szCs w:val="26"/>
                <w:color w:val="auto"/>
                <w:w w:val="97"/>
                <w:vertAlign w:val="superscript"/>
              </w:rPr>
              <w:t>(3)</w:t>
            </w:r>
          </w:p>
        </w:tc>
        <w:tc>
          <w:tcPr>
            <w:tcW w:w="100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Steam</w:t>
            </w:r>
          </w:p>
        </w:tc>
        <w:tc>
          <w:tcPr>
            <w:tcW w:w="156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July 2025</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70"/>
        </w:trPr>
        <w:tc>
          <w:tcPr>
            <w:tcW w:w="200" w:type="dxa"/>
            <w:vAlign w:val="bottom"/>
          </w:tcPr>
          <w:p>
            <w:pPr>
              <w:spacing w:after="0"/>
              <w:rPr>
                <w:sz w:val="23"/>
                <w:szCs w:val="23"/>
                <w:color w:val="auto"/>
              </w:rPr>
            </w:pPr>
          </w:p>
        </w:tc>
        <w:tc>
          <w:tcPr>
            <w:tcW w:w="26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274" w:lineRule="exact"/>
        <w:rPr>
          <w:sz w:val="20"/>
          <w:szCs w:val="20"/>
          <w:color w:val="auto"/>
        </w:rPr>
      </w:pPr>
    </w:p>
    <w:p>
      <w:pPr>
        <w:ind w:left="340" w:right="640" w:hanging="332"/>
        <w:spacing w:after="0" w:line="233" w:lineRule="auto"/>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 March 2023, the vessel was sold and leased back from China Development Bank Financial Leasing Co., Ltd. (“CDBL”) for a period of five years, with no repurchase option or obligation.</w:t>
      </w:r>
    </w:p>
    <w:p>
      <w:pPr>
        <w:ind w:left="340" w:right="460" w:hanging="332"/>
        <w:spacing w:after="0" w:line="221" w:lineRule="auto"/>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Woodside Energy Shipping Singapore Pte. Ltd. (“Woodside”). Charterer may extend the term of this time charter for a period of one year, provided that the charterer gives us advance notice of declaration.</w:t>
      </w: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a Southeast Asian charterer (“SEA Charterer”).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Vessels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Five-Year Vessel Business Opportunities</w:t>
      </w:r>
    </w:p>
    <w:p>
      <w:pPr>
        <w:spacing w:after="0" w:line="237"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results set forth below are derived from the unaudited condensed consolidated financial statements of the Partnership.</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80" w:type="dxa"/>
            <w:vAlign w:val="bottom"/>
            <w:gridSpan w:val="5"/>
          </w:tcPr>
          <w:p>
            <w:pPr>
              <w:ind w:left="2080"/>
              <w:spacing w:after="0"/>
              <w:rPr>
                <w:sz w:val="20"/>
                <w:szCs w:val="20"/>
                <w:color w:val="auto"/>
              </w:rPr>
            </w:pPr>
            <w:r>
              <w:rPr>
                <w:rFonts w:ascii="Times New Roman" w:cs="Times New Roman" w:eastAsia="Times New Roman" w:hAnsi="Times New Roman"/>
                <w:sz w:val="16"/>
                <w:szCs w:val="16"/>
                <w:b w:val="1"/>
                <w:bCs w:val="1"/>
                <w:color w:val="auto"/>
              </w:rPr>
              <w:t>Three-month period ended March 31, 2022 compared to the three-month period ended March 31, 2023</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9"/>
        </w:trPr>
        <w:tc>
          <w:tcPr>
            <w:tcW w:w="632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56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63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85,459</w:t>
            </w:r>
          </w:p>
        </w:tc>
        <w:tc>
          <w:tcPr>
            <w:tcW w:w="24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99,069</w:t>
            </w:r>
          </w:p>
        </w:tc>
        <w:tc>
          <w:tcPr>
            <w:tcW w:w="2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13,610</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(1,461)</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(1,996)</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(535)</w:t>
            </w:r>
          </w:p>
        </w:tc>
      </w:tr>
      <w:tr>
        <w:trPr>
          <w:trHeight w:val="202"/>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170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(18,574)</w:t>
            </w:r>
          </w:p>
        </w:tc>
        <w:tc>
          <w:tcPr>
            <w:tcW w:w="16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(15,926)</w:t>
            </w:r>
          </w:p>
        </w:tc>
        <w:tc>
          <w:tcPr>
            <w:tcW w:w="14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2,648</w:t>
            </w:r>
          </w:p>
        </w:tc>
        <w:tc>
          <w:tcPr>
            <w:tcW w:w="80" w:type="dxa"/>
            <w:vAlign w:val="bottom"/>
            <w:shd w:val="clear" w:color="auto" w:fill="E5FFFF"/>
          </w:tcPr>
          <w:p>
            <w:pPr>
              <w:spacing w:after="0"/>
              <w:rPr>
                <w:sz w:val="17"/>
                <w:szCs w:val="17"/>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(21,987)</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(22,712)</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(725)</w:t>
            </w:r>
          </w:p>
        </w:tc>
      </w:tr>
      <w:tr>
        <w:trPr>
          <w:trHeight w:val="203"/>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70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(4,691)</w:t>
            </w:r>
          </w:p>
        </w:tc>
        <w:tc>
          <w:tcPr>
            <w:tcW w:w="16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(5,647)</w:t>
            </w:r>
          </w:p>
        </w:tc>
        <w:tc>
          <w:tcPr>
            <w:tcW w:w="156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(956)</w:t>
            </w: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(1,033)</w:t>
            </w:r>
          </w:p>
        </w:tc>
      </w:tr>
      <w:tr>
        <w:trPr>
          <w:trHeight w:val="216"/>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w:t>
            </w:r>
          </w:p>
        </w:tc>
        <w:tc>
          <w:tcPr>
            <w:tcW w:w="17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(142)</w:t>
            </w:r>
          </w:p>
        </w:tc>
        <w:tc>
          <w:tcPr>
            <w:tcW w:w="156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(142)</w:t>
            </w:r>
          </w:p>
        </w:tc>
      </w:tr>
      <w:tr>
        <w:trPr>
          <w:trHeight w:val="196"/>
        </w:trPr>
        <w:tc>
          <w:tcPr>
            <w:tcW w:w="6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38,746</w:t>
            </w:r>
          </w:p>
        </w:tc>
        <w:tc>
          <w:tcPr>
            <w:tcW w:w="24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51,613</w:t>
            </w:r>
          </w:p>
        </w:tc>
        <w:tc>
          <w:tcPr>
            <w:tcW w:w="20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12,867</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r>
      <w:tr>
        <w:trPr>
          <w:trHeight w:val="196"/>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24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(17,353)</w:t>
            </w:r>
          </w:p>
        </w:tc>
        <w:tc>
          <w:tcPr>
            <w:tcW w:w="20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(8,572)</w:t>
            </w:r>
          </w:p>
        </w:tc>
        <w:tc>
          <w:tcPr>
            <w:tcW w:w="100" w:type="dxa"/>
            <w:vAlign w:val="bottom"/>
            <w:gridSpan w:val="2"/>
            <w:shd w:val="clear" w:color="auto" w:fill="E5FFFF"/>
          </w:tcPr>
          <w:p>
            <w:pPr>
              <w:spacing w:after="0"/>
              <w:rPr>
                <w:sz w:val="17"/>
                <w:szCs w:val="17"/>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2,243</w:t>
            </w:r>
          </w:p>
        </w:tc>
        <w:tc>
          <w:tcPr>
            <w:tcW w:w="80" w:type="dxa"/>
            <w:vAlign w:val="bottom"/>
          </w:tcPr>
          <w:p>
            <w:pPr>
              <w:spacing w:after="0"/>
              <w:rPr>
                <w:sz w:val="17"/>
                <w:szCs w:val="17"/>
                <w:color w:val="auto"/>
              </w:rPr>
            </w:pPr>
          </w:p>
        </w:tc>
      </w:tr>
      <w:tr>
        <w:trPr>
          <w:trHeight w:val="216"/>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Gain/(loss) on derivatives</w:t>
            </w:r>
          </w:p>
        </w:tc>
        <w:tc>
          <w:tcPr>
            <w:tcW w:w="17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4,977</w:t>
            </w:r>
          </w:p>
        </w:tc>
        <w:tc>
          <w:tcPr>
            <w:tcW w:w="16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(167)</w:t>
            </w:r>
          </w:p>
        </w:tc>
        <w:tc>
          <w:tcPr>
            <w:tcW w:w="156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(5,144)</w:t>
            </w:r>
          </w:p>
        </w:tc>
      </w:tr>
      <w:tr>
        <w:trPr>
          <w:trHeight w:val="208"/>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34,981</w:t>
            </w:r>
          </w:p>
        </w:tc>
        <w:tc>
          <w:tcPr>
            <w:tcW w:w="2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36,375</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98" w:lineRule="auto"/>
        <w:rPr>
          <w:sz w:val="20"/>
          <w:szCs w:val="20"/>
          <w:color w:val="auto"/>
        </w:rPr>
      </w:pPr>
      <w:r>
        <w:rPr>
          <w:rFonts w:ascii="Times New Roman" w:cs="Times New Roman" w:eastAsia="Times New Roman" w:hAnsi="Times New Roman"/>
          <w:sz w:val="16"/>
          <w:szCs w:val="16"/>
          <w:color w:val="auto"/>
        </w:rPr>
        <w:t>For the three-month period ended March 31, 2022, we had an average of 15.0 vessels operating in our owned fleet having 1,350 available days, while during the three-month period ended March 31, 2023, we had an average of 14.0 vessels operating in our owned fleet having 1,203</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7" w:name="page18"/>
    <w:bookmarkEnd w:id="17"/>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available days. The decrease in available days is due to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in September 2022 and the scheduled dry-docking of the </w:t>
      </w:r>
      <w:r>
        <w:rPr>
          <w:rFonts w:ascii="Times New Roman" w:cs="Times New Roman" w:eastAsia="Times New Roman" w:hAnsi="Times New Roman"/>
          <w:sz w:val="18"/>
          <w:szCs w:val="18"/>
          <w:i w:val="1"/>
          <w:iCs w:val="1"/>
          <w:color w:val="auto"/>
        </w:rPr>
        <w:t xml:space="preserve">GasLog Shanghai </w:t>
      </w:r>
      <w:r>
        <w:rPr>
          <w:rFonts w:ascii="Times New Roman" w:cs="Times New Roman" w:eastAsia="Times New Roman" w:hAnsi="Times New Roman"/>
          <w:sz w:val="18"/>
          <w:szCs w:val="18"/>
          <w:color w:val="auto"/>
        </w:rPr>
        <w:t>in the first quarter of 2023.</w:t>
      </w:r>
    </w:p>
    <w:p>
      <w:pPr>
        <w:spacing w:after="0" w:line="161"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Revenues: </w:t>
      </w:r>
      <w:r>
        <w:rPr>
          <w:rFonts w:ascii="Times New Roman" w:cs="Times New Roman" w:eastAsia="Times New Roman" w:hAnsi="Times New Roman"/>
          <w:sz w:val="16"/>
          <w:szCs w:val="16"/>
          <w:color w:val="auto"/>
        </w:rPr>
        <w:t>Revenues increased by $13.6 million, or 15.9%, from $85.5 million for the three-month period ended March 31, 2022, to $99.1 million for the same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in 2023. The increase is mainly attributable to a net increase in revenues from our vessels operating in the spot and short-term markets in the first quarter of 2023, under time charters that were executed in 2022. This net increase was partially offset by a decrease in revenues due to the off-charter days of the scheduled dry-docking of the </w:t>
      </w:r>
      <w:r>
        <w:rPr>
          <w:rFonts w:ascii="Times New Roman" w:cs="Times New Roman" w:eastAsia="Times New Roman" w:hAnsi="Times New Roman"/>
          <w:sz w:val="16"/>
          <w:szCs w:val="16"/>
          <w:i w:val="1"/>
          <w:iCs w:val="1"/>
          <w:color w:val="auto"/>
        </w:rPr>
        <w:t>GasLog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Shanghai </w:t>
      </w:r>
      <w:r>
        <w:rPr>
          <w:rFonts w:ascii="Times New Roman" w:cs="Times New Roman" w:eastAsia="Times New Roman" w:hAnsi="Times New Roman"/>
          <w:sz w:val="16"/>
          <w:szCs w:val="16"/>
          <w:color w:val="auto"/>
        </w:rPr>
        <w:t>and also the sale of the</w:t>
      </w:r>
      <w:r>
        <w:rPr>
          <w:rFonts w:ascii="Times New Roman" w:cs="Times New Roman" w:eastAsia="Times New Roman" w:hAnsi="Times New Roman"/>
          <w:sz w:val="16"/>
          <w:szCs w:val="16"/>
          <w:i w:val="1"/>
          <w:iCs w:val="1"/>
          <w:color w:val="auto"/>
        </w:rPr>
        <w:t xml:space="preserve"> Methane Shirley Elisabeth </w:t>
      </w:r>
      <w:r>
        <w:rPr>
          <w:rFonts w:ascii="Times New Roman" w:cs="Times New Roman" w:eastAsia="Times New Roman" w:hAnsi="Times New Roman"/>
          <w:sz w:val="16"/>
          <w:szCs w:val="16"/>
          <w:color w:val="auto"/>
        </w:rPr>
        <w:t>in the third quarter of 2022. The average daily hire rate increased from $63,681 for the three-month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March 31, 2022, to $82,352 for the three-month period ended March 31, 2023.</w:t>
      </w:r>
    </w:p>
    <w:p>
      <w:pPr>
        <w:spacing w:after="0" w:line="178"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Voyage Expenses and Commissions: </w:t>
      </w:r>
      <w:r>
        <w:rPr>
          <w:rFonts w:ascii="Times New Roman" w:cs="Times New Roman" w:eastAsia="Times New Roman" w:hAnsi="Times New Roman"/>
          <w:sz w:val="16"/>
          <w:szCs w:val="16"/>
          <w:color w:val="auto"/>
        </w:rPr>
        <w:t>Voyage expenses and commissions increased by $0.5 million, or 33.3%, from $1.5 million for the three-month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March 31, 2022, to $2.0 million for the same period in 2023. The increase in voyage expenses and commissions is mainly attributable to an increase in bunker consumption costs incurred in connection with the scheduled dry-docking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in the first quarter of 2023 and an increase in broker commissions, in line with the increase in revenues discussed above.</w:t>
      </w:r>
    </w:p>
    <w:p>
      <w:pPr>
        <w:spacing w:after="0" w:line="177"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Vessel Operating Costs: </w:t>
      </w:r>
      <w:r>
        <w:rPr>
          <w:rFonts w:ascii="Times New Roman" w:cs="Times New Roman" w:eastAsia="Times New Roman" w:hAnsi="Times New Roman"/>
          <w:sz w:val="16"/>
          <w:szCs w:val="16"/>
          <w:color w:val="auto"/>
        </w:rPr>
        <w:t>Vessel operating costs decreased by $2.7 million, or 14.5%, from $18.6 million for the three-month period ended March 31, 2022, to $15.9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2023. The decrease in vessel operating costs is mainly attributable to a decrease of $1.5 million in crew costs, largely related to cost savings in 2023 following the relaxation of our COVID-19 enhanced protocols and a more favorable EUR/USD exchange rate in the first quarter of 2023 compared to the same period in 2022. There was also a decrease of $0.7 million in technical maintenance costs, mainly due to timing of the fleet maintenance needs in the first quarter of 2023, compared to the same period in 2022. As a result, daily operating costs per vessel decreased from $14,741 per day for the three-month period ended March 31, 2022, to $12,640 per day for the three-month period ended March 31, 2023.</w:t>
      </w:r>
    </w:p>
    <w:p>
      <w:pPr>
        <w:spacing w:after="0" w:line="180" w:lineRule="exact"/>
        <w:rPr>
          <w:sz w:val="20"/>
          <w:szCs w:val="20"/>
          <w:color w:val="auto"/>
        </w:rPr>
      </w:pPr>
    </w:p>
    <w:p>
      <w:pPr>
        <w:jc w:val="both"/>
        <w:ind w:right="80" w:firstLine="324"/>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increased by $0.9 million, or 19.1%, from $4.7 million for the three-month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March 31, 2022, to $5.6 million for the same period in 2023. The increase in general and administrative expenses is mainly attributable to transaction costs of $0.8 million incurred by the Partnership in the first quarter of 2023, mainly comprising legal and other professional fees in connection with the evaluation of the terms of GasLog’s offer to acquire all of the outstanding common units representing limited partner interests of the Partnership not already beneficially owned by GasLog. As a result, daily general and administrative expenses increased from $3,472 per vessel ownership day for the three-month period ended March 31, 2022, to $4,482 per vessel ownership day for the three-month period ended March 31, 2023.</w:t>
      </w:r>
    </w:p>
    <w:p>
      <w:pPr>
        <w:spacing w:after="0" w:line="180" w:lineRule="exact"/>
        <w:rPr>
          <w:sz w:val="20"/>
          <w:szCs w:val="20"/>
          <w:color w:val="auto"/>
        </w:rPr>
      </w:pPr>
    </w:p>
    <w:p>
      <w:pPr>
        <w:ind w:right="180"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Disposal of Vessel: </w:t>
      </w:r>
      <w:r>
        <w:rPr>
          <w:rFonts w:ascii="Times New Roman" w:cs="Times New Roman" w:eastAsia="Times New Roman" w:hAnsi="Times New Roman"/>
          <w:sz w:val="16"/>
          <w:szCs w:val="16"/>
          <w:color w:val="auto"/>
        </w:rPr>
        <w:t>Loss on disposal of vessel was $1.0 million in the three months ended March 31, 2023 and was recognized pursuant to the completion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the sale and lease-back transaction of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xml:space="preserve"> on March 30, 2023.</w:t>
      </w:r>
    </w:p>
    <w:p>
      <w:pPr>
        <w:spacing w:after="0" w:line="156"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Financial Costs: </w:t>
      </w:r>
      <w:r>
        <w:rPr>
          <w:rFonts w:ascii="Times New Roman" w:cs="Times New Roman" w:eastAsia="Times New Roman" w:hAnsi="Times New Roman"/>
          <w:sz w:val="16"/>
          <w:szCs w:val="16"/>
          <w:color w:val="auto"/>
        </w:rPr>
        <w:t>Financial costs increased by $8.6 million, or 97.7%, from $8.8 million for the three-month period ended March 31, 2022, to $17.4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2023. The increase in financial costs is mainly attributable to an increase of $8.9 million in interest expense on loans, primarily due to an increase in base interest rates (London Interbank Offered Rate, “LIBOR”, and Secured Overnight Financing Rate, “SOFR”) year-over-year. During the three-month period ended March 31, 2022, we had an average of $1,083.4 million of bank borrowings outstanding under our credit facilities with a weighted average interest rate of 2.5%, compared to an average of $872.4 million of bank borrowings outstanding under our credit facilities with a weighted average interest rate of 7.2% during the three-month period ended March 31, 2023.</w:t>
      </w:r>
    </w:p>
    <w:p>
      <w:pPr>
        <w:spacing w:after="0" w:line="385" w:lineRule="exact"/>
        <w:rPr>
          <w:sz w:val="20"/>
          <w:szCs w:val="20"/>
          <w:color w:val="auto"/>
        </w:rPr>
      </w:pPr>
    </w:p>
    <w:p>
      <w:pPr>
        <w:jc w:val="both"/>
        <w:ind w:right="200" w:firstLine="324"/>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 xml:space="preserve">Gain/Loss on Derivatives: </w:t>
      </w:r>
      <w:r>
        <w:rPr>
          <w:rFonts w:ascii="Times New Roman" w:cs="Times New Roman" w:eastAsia="Times New Roman" w:hAnsi="Times New Roman"/>
          <w:sz w:val="16"/>
          <w:szCs w:val="16"/>
          <w:color w:val="auto"/>
        </w:rPr>
        <w:t>Gain on derivatives decreased by $5.2 million, from a gain of $5.0 million for the three-month period ended March 31, 2022, to a loss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$0.2 million for the same period in 2023. The decrease is attributable to a net decrease of $7.6 million in unrealized gain from the mark-to-market valuation of derivatives (interest rate swaps and forward foreign exchange contracts) held for trading, which were carried at fair value through profit or loss, mainly due to changes in the forward yield curve, partially offset by a decrease of $2.4 million in realized loss on derivatives (interest rate swaps) held for trading.</w:t>
      </w:r>
    </w:p>
    <w:p>
      <w:pPr>
        <w:spacing w:after="0" w:line="177" w:lineRule="exact"/>
        <w:rPr>
          <w:sz w:val="20"/>
          <w:szCs w:val="20"/>
          <w:color w:val="auto"/>
        </w:rPr>
      </w:pPr>
    </w:p>
    <w:p>
      <w:pPr>
        <w:jc w:val="both"/>
        <w:ind w:right="200"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Profit for the Period: </w:t>
      </w:r>
      <w:r>
        <w:rPr>
          <w:rFonts w:ascii="Times New Roman" w:cs="Times New Roman" w:eastAsia="Times New Roman" w:hAnsi="Times New Roman"/>
          <w:sz w:val="16"/>
          <w:szCs w:val="16"/>
          <w:color w:val="auto"/>
        </w:rPr>
        <w:t>Profit for the period increased by $1.4 million, or 4.0%, from $35.0 million for the three-month period ended March 31, 2022, to $36.4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2023, as a result of the aforementioned factors.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37"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6"/>
          <w:szCs w:val="16"/>
          <w:color w:val="auto"/>
        </w:rPr>
        <w:t>We operate in a capital-intensive industry and we expect to finance the purchase of any additional vessels or other capital expenditures through a combination of borrowings from commercial banks, cash generated from operations and debt, lease and equity financings, if any. In addition to paying distributions and potentially repurchasing common and preference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86" w:lineRule="exact"/>
        <w:rPr>
          <w:sz w:val="20"/>
          <w:szCs w:val="20"/>
          <w:color w:val="auto"/>
        </w:rPr>
      </w:pPr>
    </w:p>
    <w:p>
      <w:pPr>
        <w:ind w:right="160" w:firstLine="648"/>
        <w:spacing w:after="0" w:line="298" w:lineRule="auto"/>
        <w:rPr>
          <w:sz w:val="20"/>
          <w:szCs w:val="20"/>
          <w:color w:val="auto"/>
        </w:rPr>
      </w:pPr>
      <w:r>
        <w:rPr>
          <w:rFonts w:ascii="Times New Roman" w:cs="Times New Roman" w:eastAsia="Times New Roman" w:hAnsi="Times New Roman"/>
          <w:sz w:val="16"/>
          <w:szCs w:val="16"/>
          <w:color w:val="auto"/>
        </w:rPr>
        <w:t>The Partnership did not repurchase any preference units during the first quarter of 2023 under the Partnership’s preference unit repurchase programme, due to an extended blackout period in relation to the Transaction.</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6"/>
          <w:szCs w:val="16"/>
          <w:color w:val="auto"/>
        </w:rPr>
        <w:t xml:space="preserve">On March 30, 2023, GasLog Partners completed the sale and lease-back of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xml:space="preserve"> with a wholly-owned subsidiary of CDBL. The vessel was sold to CDBL for a gross cash consideration of $140.0 million. GasLog Partners leased back the vessel under a bareboat charter from CDBL for a period of five years with no repurchase option or obligation. The existing loan facility advance of the specified vessel was terminated, resulting in a debt prepayment of $87.8 million.</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ind w:right="160" w:firstLine="648"/>
        <w:spacing w:after="0" w:line="281" w:lineRule="auto"/>
        <w:rPr>
          <w:sz w:val="20"/>
          <w:szCs w:val="20"/>
          <w:color w:val="auto"/>
        </w:rPr>
      </w:pPr>
      <w:r>
        <w:rPr>
          <w:rFonts w:ascii="Times New Roman" w:cs="Times New Roman" w:eastAsia="Times New Roman" w:hAnsi="Times New Roman"/>
          <w:sz w:val="16"/>
          <w:szCs w:val="16"/>
          <w:color w:val="auto"/>
        </w:rPr>
        <w:t>As of March 31, 2023, we had $225.6 million of cash and cash equivalents, out of which $80.1 million was held in current accounts and $145.5 million was held in time deposits with an original duration of less than three months. An additional amount of $57.0 million of time deposits with an original duration of greater than three months was classified under short-term cash deposits.</w:t>
      </w:r>
    </w:p>
    <w:p>
      <w:pPr>
        <w:spacing w:after="0" w:line="17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6"/>
          <w:szCs w:val="16"/>
          <w:color w:val="auto"/>
        </w:rPr>
        <w:t xml:space="preserve">As of March 31, 2023, we had an aggregate of $805.6 million of borrowings outstanding under our credit facilities, of which $224.2 million was repayable within one year, and an aggregate of $114.8 million of lease liabilities mainly related to the sale and lease-backs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of which $27.9 million was payable within one year.</w:t>
      </w:r>
    </w:p>
    <w:p>
      <w:pPr>
        <w:spacing w:after="0" w:line="175"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6"/>
          <w:szCs w:val="16"/>
          <w:color w:val="auto"/>
        </w:rPr>
        <w:t>As of March 31, 2023, the Partnership has in place four interest rate swap agreements at a notional value of $133.3 million in aggregate, maturing between 2024 and 2025. As a result of its hedging agreements, the Partnership has hedged 16.4% of its floating interest rate exposure on its outstanding debt (excluding the lease liability) as of March 31, 2023, at a weighted average interest rate of approximately 3.1% (excluding margin).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Working Capital Position</w:t>
      </w:r>
    </w:p>
    <w:p>
      <w:pPr>
        <w:spacing w:after="0" w:line="237"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6"/>
          <w:szCs w:val="16"/>
          <w:color w:val="auto"/>
        </w:rPr>
        <w:t>As of March 31, 2023, our current assets totaled $309.9 million and current liabilities totaled $312.1 million, resulting in a negative working capital position of $2.2 million. Current liabilities include $25.9 million of unearned revenue in relation to hires received in advance (which represents a non-cash liability that will be recognized as revenues after March 31, 2023, as the services are rendered). Current liabilities also include $156.2 million of current debt (net of fees) related to the loan facility with Credit Suisse AG, Nordea Bank Abp, filiIl i Norge, Iyo Bank Ltd., Singapore Branch and the Development Bank of Japan, Inc., which matures in February 2024.</w:t>
      </w:r>
    </w:p>
    <w:p>
      <w:pPr>
        <w:spacing w:after="0" w:line="183" w:lineRule="exact"/>
        <w:rPr>
          <w:sz w:val="20"/>
          <w:szCs w:val="20"/>
          <w:color w:val="auto"/>
        </w:rPr>
      </w:pPr>
    </w:p>
    <w:p>
      <w:pPr>
        <w:ind w:right="80" w:firstLine="324"/>
        <w:spacing w:after="0" w:line="298" w:lineRule="auto"/>
        <w:rPr>
          <w:sz w:val="20"/>
          <w:szCs w:val="20"/>
          <w:color w:val="auto"/>
        </w:rPr>
      </w:pPr>
      <w:r>
        <w:rPr>
          <w:rFonts w:ascii="Times New Roman" w:cs="Times New Roman" w:eastAsia="Times New Roman" w:hAnsi="Times New Roman"/>
          <w:sz w:val="16"/>
          <w:szCs w:val="16"/>
          <w:color w:val="auto"/>
        </w:rPr>
        <w:t>We believe that our current resources, cash from operations and existing debt facilities will be sufficient to meet our working capital requirements and comply with our banking covenants for at least twelve months from the date of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23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b w:val="1"/>
          <w:bCs w:val="1"/>
          <w:color w:val="auto"/>
        </w:rPr>
        <w:t>Three-month period ended March 31, 2022 compared to the three-month period ended March 31, 2023</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summarizes our net cash flows from operating, investing and financing activities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w:t>
            </w:r>
          </w:p>
        </w:tc>
        <w:tc>
          <w:tcPr>
            <w:tcW w:w="3360" w:type="dxa"/>
            <w:vAlign w:val="bottom"/>
            <w:gridSpan w:val="4"/>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32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63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58,623</w:t>
            </w:r>
          </w:p>
        </w:tc>
        <w:tc>
          <w:tcPr>
            <w:tcW w:w="24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66,771</w:t>
            </w:r>
          </w:p>
        </w:tc>
        <w:tc>
          <w:tcPr>
            <w:tcW w:w="2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in)/provided by investing activities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(955)</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106,240</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107,195</w:t>
            </w:r>
          </w:p>
        </w:tc>
      </w:tr>
      <w:tr>
        <w:trPr>
          <w:trHeight w:val="203"/>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70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(67,265)</w:t>
            </w:r>
          </w:p>
        </w:tc>
        <w:tc>
          <w:tcPr>
            <w:tcW w:w="16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(145,759)</w:t>
            </w:r>
          </w:p>
        </w:tc>
        <w:tc>
          <w:tcPr>
            <w:tcW w:w="15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(78,494)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Operating Activities:</w:t>
      </w:r>
    </w:p>
    <w:p>
      <w:pPr>
        <w:spacing w:after="0" w:line="239"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6"/>
          <w:szCs w:val="16"/>
          <w:color w:val="auto"/>
        </w:rPr>
        <w:t>Net cash provided by operating activities increased by $8.2 million, from $58.6 million in the three-month period ended March 31, 2022, to $66.8 million in the three-month period ended March 31, 2023. The increase of $8.2 million is mainly attributable to an increase in revenues of $13.6 million and a net decrease in vessel operating costs, voyage expenses and commissions and general and administrative expenses of $1.3 million, partially offset by a $6.5 million movement in working capital accounts.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in)/provided by Investing Activities:</w:t>
      </w:r>
    </w:p>
    <w:p>
      <w:pPr>
        <w:spacing w:after="0" w:line="239"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6"/>
          <w:szCs w:val="16"/>
          <w:color w:val="auto"/>
        </w:rPr>
        <w:t>Net cash used in investing activities decreased by $107.2 million, from net cash used in investing activities of $1.0 million in the three-month period ended March 31, 2022, to net cash provided by investing activities of $106.2 million in the three-month period ended March 31, 2023. The decrease of $107.2 million is attributable to an increase of $140.0 million in proceeds from sale and lease-back transactions and an increase in financial income received of $1.7 million, partially offset by a decrease of $32.0 million in net cash from short-term cash deposits and an increase in cash used in payments for tangible fixed assets and right-of-use assets of $2.5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p>
      <w:pPr>
        <w:spacing w:after="0" w:line="239" w:lineRule="exact"/>
        <w:rPr>
          <w:sz w:val="20"/>
          <w:szCs w:val="20"/>
          <w:color w:val="auto"/>
        </w:rPr>
      </w:pPr>
    </w:p>
    <w:p>
      <w:pPr>
        <w:jc w:val="both"/>
        <w:ind w:right="240" w:firstLine="324"/>
        <w:spacing w:after="0" w:line="281" w:lineRule="auto"/>
        <w:rPr>
          <w:sz w:val="20"/>
          <w:szCs w:val="20"/>
          <w:color w:val="auto"/>
        </w:rPr>
      </w:pPr>
      <w:r>
        <w:rPr>
          <w:rFonts w:ascii="Times New Roman" w:cs="Times New Roman" w:eastAsia="Times New Roman" w:hAnsi="Times New Roman"/>
          <w:sz w:val="16"/>
          <w:szCs w:val="16"/>
          <w:color w:val="auto"/>
        </w:rPr>
        <w:t>Net cash used in financing activities increased by $78.5 million, from $67.3 million in the three-month period ended March 31, 2022, to $145.8 million in the three-month period ended March 31, 2023. The increase of $78.5 million is mainly attributable to an increase of $83.0 million in bank loan repayments and an increase of $6.6 million in interest paid, partially offset by a decrease of $10.0 million in cash used for repurchases of preference units and a decrease of $1.0 million in distributions paid.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Contracted Charter Revenues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summarizes GasLog Partners’ contracted charter revenues and vessel utilization for the periods ending December 31, 2023 and 2024:</w:t>
      </w: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217"/>
        </w:trPr>
        <w:tc>
          <w:tcPr>
            <w:tcW w:w="5840" w:type="dxa"/>
            <w:vAlign w:val="bottom"/>
            <w:tcBorders>
              <w:bottom w:val="single" w:sz="8" w:color="E5FFFF"/>
            </w:tcBorders>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(in millions of U.S. dollars, except days and percentages)</w:t>
            </w:r>
          </w:p>
        </w:tc>
        <w:tc>
          <w:tcPr>
            <w:tcW w:w="2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April – December 2023</w:t>
            </w:r>
          </w:p>
        </w:tc>
        <w:tc>
          <w:tcPr>
            <w:tcW w:w="14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6"/>
        </w:trPr>
        <w:tc>
          <w:tcPr>
            <w:tcW w:w="5840" w:type="dxa"/>
            <w:vAlign w:val="bottom"/>
            <w:shd w:val="clear" w:color="auto" w:fill="E5FFFF"/>
          </w:tcPr>
          <w:p>
            <w:pPr>
              <w:ind w:left="80"/>
              <w:spacing w:after="0" w:line="226" w:lineRule="exact"/>
              <w:rPr>
                <w:sz w:val="20"/>
                <w:szCs w:val="20"/>
                <w:color w:val="auto"/>
              </w:rPr>
            </w:pPr>
            <w:r>
              <w:rPr>
                <w:rFonts w:ascii="Times New Roman" w:cs="Times New Roman" w:eastAsia="Times New Roman" w:hAnsi="Times New Roman"/>
                <w:sz w:val="16"/>
                <w:szCs w:val="16"/>
                <w:color w:val="auto"/>
              </w:rPr>
              <w:t>Contracted time charter revenues</w:t>
            </w:r>
            <w:r>
              <w:rPr>
                <w:rFonts w:ascii="Times New Roman" w:cs="Times New Roman" w:eastAsia="Times New Roman" w:hAnsi="Times New Roman"/>
                <w:sz w:val="26"/>
                <w:szCs w:val="26"/>
                <w:color w:val="auto"/>
                <w:vertAlign w:val="superscript"/>
              </w:rPr>
              <w:t>(1)(2)(3)(4)</w:t>
            </w:r>
          </w:p>
        </w:tc>
        <w:tc>
          <w:tcPr>
            <w:tcW w:w="2240" w:type="dxa"/>
            <w:vAlign w:val="bottom"/>
            <w:shd w:val="clear" w:color="auto" w:fill="E5FFFF"/>
          </w:tcPr>
          <w:p>
            <w:pPr>
              <w:jc w:val="right"/>
              <w:ind w:right="899"/>
              <w:spacing w:after="0"/>
              <w:rPr>
                <w:sz w:val="20"/>
                <w:szCs w:val="20"/>
                <w:color w:val="auto"/>
              </w:rPr>
            </w:pPr>
            <w:r>
              <w:rPr>
                <w:rFonts w:ascii="Times New Roman" w:cs="Times New Roman" w:eastAsia="Times New Roman" w:hAnsi="Times New Roman"/>
                <w:sz w:val="16"/>
                <w:szCs w:val="16"/>
                <w:color w:val="auto"/>
              </w:rPr>
              <w:t>$250.8</w:t>
            </w:r>
          </w:p>
        </w:tc>
        <w:tc>
          <w:tcPr>
            <w:tcW w:w="1460" w:type="dxa"/>
            <w:vAlign w:val="bottom"/>
            <w:shd w:val="clear" w:color="auto" w:fill="E5FFFF"/>
          </w:tcPr>
          <w:p>
            <w:pPr>
              <w:jc w:val="center"/>
              <w:ind w:right="99"/>
              <w:spacing w:after="0"/>
              <w:rPr>
                <w:sz w:val="20"/>
                <w:szCs w:val="20"/>
                <w:color w:val="auto"/>
              </w:rPr>
            </w:pPr>
            <w:r>
              <w:rPr>
                <w:rFonts w:ascii="Times New Roman" w:cs="Times New Roman" w:eastAsia="Times New Roman" w:hAnsi="Times New Roman"/>
                <w:sz w:val="16"/>
                <w:szCs w:val="16"/>
                <w:color w:val="auto"/>
                <w:w w:val="99"/>
              </w:rPr>
              <w:t>$189.8</w:t>
            </w:r>
          </w:p>
        </w:tc>
      </w:tr>
      <w:tr>
        <w:trPr>
          <w:trHeight w:val="355"/>
        </w:trPr>
        <w:tc>
          <w:tcPr>
            <w:tcW w:w="5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contracted days</w:t>
            </w:r>
            <w:r>
              <w:rPr>
                <w:rFonts w:ascii="Times New Roman" w:cs="Times New Roman" w:eastAsia="Times New Roman" w:hAnsi="Times New Roman"/>
                <w:sz w:val="26"/>
                <w:szCs w:val="26"/>
                <w:color w:val="auto"/>
                <w:vertAlign w:val="superscript"/>
              </w:rPr>
              <w:t>(1)(2)</w:t>
            </w:r>
          </w:p>
        </w:tc>
        <w:tc>
          <w:tcPr>
            <w:tcW w:w="224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3,213</w:t>
            </w: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2,363</w:t>
            </w:r>
          </w:p>
        </w:tc>
      </w:tr>
    </w:tbl>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9" w:name="page20"/>
    <w:bookmarkEnd w:id="19"/>
    <w:tbl>
      <w:tblPr>
        <w:tblLayout w:type="fixed"/>
        <w:tblInd w:w="860" w:type="dxa"/>
        <w:tblCellMar>
          <w:top w:w="0" w:type="dxa"/>
          <w:left w:w="0" w:type="dxa"/>
          <w:bottom w:w="0" w:type="dxa"/>
          <w:right w:w="0" w:type="dxa"/>
        </w:tblCellMar>
      </w:tblPr>
      <w:tr>
        <w:trPr>
          <w:trHeight w:val="299"/>
        </w:trPr>
        <w:tc>
          <w:tcPr>
            <w:tcW w:w="5180" w:type="dxa"/>
            <w:vAlign w:val="bottom"/>
            <w:shd w:val="clear" w:color="auto" w:fill="E5FFFF"/>
          </w:tcPr>
          <w:p>
            <w:pPr>
              <w:ind w:left="80"/>
              <w:spacing w:after="0"/>
              <w:rPr>
                <w:sz w:val="20"/>
                <w:szCs w:val="20"/>
                <w:color w:val="auto"/>
              </w:rPr>
            </w:pPr>
            <w:r>
              <w:rPr>
                <w:rFonts w:ascii="Times New Roman" w:cs="Times New Roman" w:eastAsia="Times New Roman" w:hAnsi="Times New Roman"/>
                <w:sz w:val="16"/>
                <w:szCs w:val="16"/>
                <w:color w:val="auto"/>
              </w:rPr>
              <w:t>Total available days</w:t>
            </w:r>
            <w:r>
              <w:rPr>
                <w:rFonts w:ascii="Times New Roman" w:cs="Times New Roman" w:eastAsia="Times New Roman" w:hAnsi="Times New Roman"/>
                <w:sz w:val="26"/>
                <w:szCs w:val="26"/>
                <w:color w:val="auto"/>
                <w:vertAlign w:val="superscript"/>
              </w:rPr>
              <w:t>(5)</w:t>
            </w:r>
          </w:p>
        </w:tc>
        <w:tc>
          <w:tcPr>
            <w:tcW w:w="2620" w:type="dxa"/>
            <w:vAlign w:val="bottom"/>
            <w:shd w:val="clear" w:color="auto" w:fill="E5FFFF"/>
          </w:tcPr>
          <w:p>
            <w:pPr>
              <w:jc w:val="center"/>
              <w:ind w:left="679"/>
              <w:spacing w:after="0"/>
              <w:rPr>
                <w:sz w:val="20"/>
                <w:szCs w:val="20"/>
                <w:color w:val="auto"/>
              </w:rPr>
            </w:pPr>
            <w:r>
              <w:rPr>
                <w:rFonts w:ascii="Times New Roman" w:cs="Times New Roman" w:eastAsia="Times New Roman" w:hAnsi="Times New Roman"/>
                <w:sz w:val="16"/>
                <w:szCs w:val="16"/>
                <w:color w:val="auto"/>
              </w:rPr>
              <w:t>3,760</w:t>
            </w:r>
          </w:p>
        </w:tc>
        <w:tc>
          <w:tcPr>
            <w:tcW w:w="1740" w:type="dxa"/>
            <w:vAlign w:val="bottom"/>
            <w:shd w:val="clear" w:color="auto" w:fill="E5FFFF"/>
          </w:tcPr>
          <w:p>
            <w:pPr>
              <w:jc w:val="center"/>
              <w:ind w:left="19"/>
              <w:spacing w:after="0"/>
              <w:rPr>
                <w:sz w:val="20"/>
                <w:szCs w:val="20"/>
                <w:color w:val="auto"/>
              </w:rPr>
            </w:pPr>
            <w:r>
              <w:rPr>
                <w:rFonts w:ascii="Times New Roman" w:cs="Times New Roman" w:eastAsia="Times New Roman" w:hAnsi="Times New Roman"/>
                <w:sz w:val="16"/>
                <w:szCs w:val="16"/>
                <w:color w:val="auto"/>
                <w:w w:val="99"/>
              </w:rPr>
              <w:t>5,094</w:t>
            </w:r>
          </w:p>
        </w:tc>
      </w:tr>
      <w:tr>
        <w:trPr>
          <w:trHeight w:val="243"/>
        </w:trPr>
        <w:tc>
          <w:tcPr>
            <w:tcW w:w="5180" w:type="dxa"/>
            <w:vAlign w:val="bottom"/>
          </w:tcPr>
          <w:p>
            <w:pPr>
              <w:ind w:left="80"/>
              <w:spacing w:after="0" w:line="243" w:lineRule="exact"/>
              <w:rPr>
                <w:sz w:val="20"/>
                <w:szCs w:val="20"/>
                <w:color w:val="auto"/>
              </w:rPr>
            </w:pPr>
            <w:r>
              <w:rPr>
                <w:rFonts w:ascii="Times New Roman" w:cs="Times New Roman" w:eastAsia="Times New Roman" w:hAnsi="Times New Roman"/>
                <w:sz w:val="16"/>
                <w:szCs w:val="16"/>
                <w:color w:val="auto"/>
              </w:rPr>
              <w:t>Total unfixed days</w:t>
            </w:r>
            <w:r>
              <w:rPr>
                <w:rFonts w:ascii="Times New Roman" w:cs="Times New Roman" w:eastAsia="Times New Roman" w:hAnsi="Times New Roman"/>
                <w:sz w:val="26"/>
                <w:szCs w:val="26"/>
                <w:color w:val="auto"/>
                <w:vertAlign w:val="superscript"/>
              </w:rPr>
              <w:t>(6)</w:t>
            </w:r>
          </w:p>
        </w:tc>
        <w:tc>
          <w:tcPr>
            <w:tcW w:w="262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547</w:t>
            </w:r>
          </w:p>
        </w:tc>
        <w:tc>
          <w:tcPr>
            <w:tcW w:w="1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2,731</w:t>
            </w:r>
          </w:p>
        </w:tc>
      </w:tr>
      <w:tr>
        <w:trPr>
          <w:trHeight w:val="203"/>
        </w:trPr>
        <w:tc>
          <w:tcPr>
            <w:tcW w:w="5180" w:type="dxa"/>
            <w:vAlign w:val="bottom"/>
            <w:shd w:val="clear" w:color="auto" w:fill="E5FFFF"/>
          </w:tcPr>
          <w:p>
            <w:pPr>
              <w:ind w:left="80"/>
              <w:spacing w:after="0"/>
              <w:rPr>
                <w:sz w:val="20"/>
                <w:szCs w:val="20"/>
                <w:color w:val="auto"/>
              </w:rPr>
            </w:pPr>
            <w:r>
              <w:rPr>
                <w:rFonts w:ascii="Times New Roman" w:cs="Times New Roman" w:eastAsia="Times New Roman" w:hAnsi="Times New Roman"/>
                <w:sz w:val="16"/>
                <w:szCs w:val="16"/>
                <w:color w:val="auto"/>
              </w:rPr>
              <w:t>Percentage of total contracted days/ total available days</w:t>
            </w:r>
          </w:p>
        </w:tc>
        <w:tc>
          <w:tcPr>
            <w:tcW w:w="2620" w:type="dxa"/>
            <w:vAlign w:val="bottom"/>
            <w:shd w:val="clear" w:color="auto" w:fill="E5FFFF"/>
          </w:tcPr>
          <w:p>
            <w:pPr>
              <w:jc w:val="center"/>
              <w:ind w:left="679"/>
              <w:spacing w:after="0"/>
              <w:rPr>
                <w:sz w:val="20"/>
                <w:szCs w:val="20"/>
                <w:color w:val="auto"/>
              </w:rPr>
            </w:pPr>
            <w:r>
              <w:rPr>
                <w:rFonts w:ascii="Times New Roman" w:cs="Times New Roman" w:eastAsia="Times New Roman" w:hAnsi="Times New Roman"/>
                <w:sz w:val="16"/>
                <w:szCs w:val="16"/>
                <w:color w:val="auto"/>
              </w:rPr>
              <w:t>85.5%</w:t>
            </w:r>
          </w:p>
        </w:tc>
        <w:tc>
          <w:tcPr>
            <w:tcW w:w="1740" w:type="dxa"/>
            <w:vAlign w:val="bottom"/>
            <w:shd w:val="clear" w:color="auto" w:fill="E5FFFF"/>
          </w:tcPr>
          <w:p>
            <w:pPr>
              <w:jc w:val="center"/>
              <w:ind w:left="39"/>
              <w:spacing w:after="0"/>
              <w:rPr>
                <w:sz w:val="20"/>
                <w:szCs w:val="20"/>
                <w:color w:val="auto"/>
              </w:rPr>
            </w:pPr>
            <w:r>
              <w:rPr>
                <w:rFonts w:ascii="Times New Roman" w:cs="Times New Roman" w:eastAsia="Times New Roman" w:hAnsi="Times New Roman"/>
                <w:sz w:val="16"/>
                <w:szCs w:val="16"/>
                <w:color w:val="auto"/>
              </w:rPr>
              <w:t>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1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Contracted days are calculated taking into account the firm period charter expiration and expected market conditions as of March 31, 2023.</w:t>
      </w:r>
    </w:p>
    <w:p>
      <w:pPr>
        <w:spacing w:after="0" w:line="17" w:lineRule="exact"/>
        <w:rPr>
          <w:rFonts w:ascii="Times New Roman" w:cs="Times New Roman" w:eastAsia="Times New Roman" w:hAnsi="Times New Roman"/>
          <w:sz w:val="12"/>
          <w:szCs w:val="12"/>
          <w:color w:val="auto"/>
        </w:rPr>
      </w:pPr>
    </w:p>
    <w:p>
      <w:pPr>
        <w:ind w:left="340" w:right="60" w:hanging="332"/>
        <w:spacing w:after="0" w:line="221" w:lineRule="auto"/>
        <w:tabs>
          <w:tab w:leader="none" w:pos="3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ships are scheduled to undergo dry-docking once every five years. Revenue calculations assume 365 revenue days per ship per annum, with 30 off-hire days when each ship undergoes scheduled dry-docking.</w:t>
      </w:r>
    </w:p>
    <w:p>
      <w:pPr>
        <w:ind w:left="340" w:right="160" w:hanging="332"/>
        <w:spacing w:after="0" w:line="221" w:lineRule="auto"/>
        <w:tabs>
          <w:tab w:leader="none" w:pos="3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time charters that include a variable rate of hire within an agreed range during the charter period, revenue calculations are based on the agreed minimum rate of hire for the respective period.</w:t>
      </w:r>
    </w:p>
    <w:p>
      <w:pPr>
        <w:ind w:left="340" w:hanging="332"/>
        <w:spacing w:after="0"/>
        <w:tabs>
          <w:tab w:leader="none" w:pos="3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Revenue calculations assume no exercise of any option to extend the terms of the charters.</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Available days represent total calendar days after deducting 30 off-hire days when the ship undergoes scheduled dry-docking.</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available days for the ships after the expiration of the existing charters (assuming charterers do not exercise any option to extend the terms of the charters).</w:t>
      </w:r>
    </w:p>
    <w:p>
      <w:pPr>
        <w:spacing w:after="0" w:line="2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The table above provides information about our contracted charter revenues and ship utilization based on contracts in effect for the 14 LNG carriers in our fleet as of March 31, 2023 and through December 31, 2024 (including three vessels sold and leased back under bareboat charters). The table reflects only our contracted charter revenues for the ships in our owned and bareboat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6, 2023.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w w:val="99"/>
              </w:rPr>
              <w:t>Exhibit 99.3</w:t>
            </w:r>
          </w:p>
        </w:tc>
      </w:tr>
      <w:tr>
        <w:trPr>
          <w:trHeight w:val="418"/>
        </w:trPr>
        <w:tc>
          <w:tcPr>
            <w:tcW w:w="10040" w:type="dxa"/>
            <w:vAlign w:val="bottom"/>
            <w:gridSpan w:val="6"/>
          </w:tcPr>
          <w:p>
            <w:pPr>
              <w:ind w:left="4380"/>
              <w:spacing w:after="0"/>
              <w:rPr>
                <w:sz w:val="20"/>
                <w:szCs w:val="20"/>
                <w:color w:val="auto"/>
              </w:rPr>
            </w:pPr>
            <w:r>
              <w:rPr>
                <w:rFonts w:ascii="Times New Roman" w:cs="Times New Roman" w:eastAsia="Times New Roman" w:hAnsi="Times New Roman"/>
                <w:sz w:val="16"/>
                <w:szCs w:val="16"/>
                <w:b w:val="1"/>
                <w:bCs w:val="1"/>
                <w:color w:val="auto"/>
              </w:rPr>
              <w:t>GASLOG PARTNERS LP</w:t>
            </w:r>
          </w:p>
        </w:tc>
        <w:tc>
          <w:tcPr>
            <w:tcW w:w="1200" w:type="dxa"/>
            <w:vAlign w:val="bottom"/>
          </w:tcPr>
          <w:p>
            <w:pPr>
              <w:spacing w:after="0"/>
              <w:rPr>
                <w:sz w:val="24"/>
                <w:szCs w:val="24"/>
                <w:color w:val="auto"/>
              </w:rPr>
            </w:pPr>
          </w:p>
        </w:tc>
      </w:tr>
      <w:tr>
        <w:trPr>
          <w:trHeight w:val="418"/>
        </w:trPr>
        <w:tc>
          <w:tcPr>
            <w:tcW w:w="10040" w:type="dxa"/>
            <w:vAlign w:val="bottom"/>
            <w:gridSpan w:val="6"/>
          </w:tcPr>
          <w:p>
            <w:pPr>
              <w:ind w:left="2160"/>
              <w:spacing w:after="0"/>
              <w:rPr>
                <w:sz w:val="20"/>
                <w:szCs w:val="20"/>
                <w:color w:val="auto"/>
              </w:rPr>
            </w:pPr>
            <w:r>
              <w:rPr>
                <w:rFonts w:ascii="Times New Roman" w:cs="Times New Roman" w:eastAsia="Times New Roman" w:hAnsi="Times New Roman"/>
                <w:sz w:val="16"/>
                <w:szCs w:val="16"/>
                <w:b w:val="1"/>
                <w:bCs w:val="1"/>
                <w:color w:val="auto"/>
              </w:rPr>
              <w:t>INDEX TO UNAUDITED CONDENSED CONSOLIDATED FINANCIAL STATEMENTS</w:t>
            </w:r>
          </w:p>
        </w:tc>
        <w:tc>
          <w:tcPr>
            <w:tcW w:w="1200" w:type="dxa"/>
            <w:vAlign w:val="bottom"/>
          </w:tcPr>
          <w:p>
            <w:pPr>
              <w:spacing w:after="0"/>
              <w:rPr>
                <w:sz w:val="24"/>
                <w:szCs w:val="24"/>
                <w:color w:val="auto"/>
              </w:rPr>
            </w:pPr>
          </w:p>
        </w:tc>
      </w:tr>
      <w:tr>
        <w:trPr>
          <w:trHeight w:val="648"/>
        </w:trPr>
        <w:tc>
          <w:tcPr>
            <w:tcW w:w="4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1"/>
        </w:trPr>
        <w:tc>
          <w:tcPr>
            <w:tcW w:w="10040" w:type="dxa"/>
            <w:vAlign w:val="bottom"/>
            <w:gridSpan w:val="6"/>
          </w:tcPr>
          <w:p>
            <w:pPr>
              <w:spacing w:after="0" w:line="181" w:lineRule="exact"/>
              <w:rPr>
                <w:sz w:val="20"/>
                <w:szCs w:val="20"/>
                <w:color w:val="auto"/>
              </w:rPr>
            </w:pPr>
            <w:r>
              <w:rPr>
                <w:rFonts w:ascii="Times New Roman" w:cs="Times New Roman" w:eastAsia="Times New Roman" w:hAnsi="Times New Roman"/>
                <w:sz w:val="16"/>
                <w:szCs w:val="16"/>
                <w:color w:val="0000FF"/>
              </w:rPr>
              <w:t>Unaudited condensed consolidated statements of financial position as of December 31, 2022 and March 31, 2023</w:t>
            </w:r>
          </w:p>
        </w:tc>
        <w:tc>
          <w:tcPr>
            <w:tcW w:w="1200" w:type="dxa"/>
            <w:vAlign w:val="bottom"/>
          </w:tcPr>
          <w:p>
            <w:pPr>
              <w:ind w:left="860"/>
              <w:spacing w:after="0" w:line="181" w:lineRule="exact"/>
              <w:rPr>
                <w:sz w:val="20"/>
                <w:szCs w:val="20"/>
                <w:color w:val="auto"/>
              </w:rPr>
            </w:pPr>
            <w:r>
              <w:rPr>
                <w:rFonts w:ascii="Times New Roman" w:cs="Times New Roman" w:eastAsia="Times New Roman" w:hAnsi="Times New Roman"/>
                <w:sz w:val="16"/>
                <w:szCs w:val="16"/>
                <w:color w:val="auto"/>
              </w:rPr>
              <w:t>F-2</w:t>
            </w:r>
          </w:p>
        </w:tc>
      </w:tr>
      <w:tr>
        <w:trPr>
          <w:trHeight w:val="20"/>
        </w:trPr>
        <w:tc>
          <w:tcPr>
            <w:tcW w:w="438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profit or loss and total comprehensive income for the three months ended March 31, 2022 and 2023</w:t>
            </w:r>
          </w:p>
        </w:tc>
        <w:tc>
          <w:tcPr>
            <w:tcW w:w="12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F-3</w:t>
            </w:r>
          </w:p>
        </w:tc>
      </w:tr>
      <w:tr>
        <w:trPr>
          <w:trHeight w:val="196"/>
        </w:trPr>
        <w:tc>
          <w:tcPr>
            <w:tcW w:w="9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changes in partners’ equity for the three months ended March 31, 2022 and 2023</w:t>
            </w:r>
          </w:p>
        </w:tc>
        <w:tc>
          <w:tcPr>
            <w:tcW w:w="380" w:type="dxa"/>
            <w:vAlign w:val="bottom"/>
          </w:tcPr>
          <w:p>
            <w:pPr>
              <w:spacing w:after="0"/>
              <w:rPr>
                <w:sz w:val="17"/>
                <w:szCs w:val="17"/>
                <w:color w:val="auto"/>
              </w:rPr>
            </w:pPr>
          </w:p>
        </w:tc>
        <w:tc>
          <w:tcPr>
            <w:tcW w:w="12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F-4</w:t>
            </w:r>
          </w:p>
        </w:tc>
      </w:tr>
      <w:tr>
        <w:trPr>
          <w:trHeight w:val="196"/>
        </w:trPr>
        <w:tc>
          <w:tcPr>
            <w:tcW w:w="8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cash flows for the three months ended March 31, 2022 and 2023</w:t>
            </w:r>
          </w:p>
        </w:tc>
        <w:tc>
          <w:tcPr>
            <w:tcW w:w="1600" w:type="dxa"/>
            <w:vAlign w:val="bottom"/>
            <w:gridSpan w:val="2"/>
          </w:tcPr>
          <w:p>
            <w:pPr>
              <w:spacing w:after="0"/>
              <w:rPr>
                <w:sz w:val="17"/>
                <w:szCs w:val="17"/>
                <w:color w:val="auto"/>
              </w:rPr>
            </w:pPr>
          </w:p>
        </w:tc>
        <w:tc>
          <w:tcPr>
            <w:tcW w:w="12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F-5</w:t>
            </w:r>
          </w:p>
        </w:tc>
      </w:tr>
      <w:tr>
        <w:trPr>
          <w:trHeight w:val="196"/>
        </w:trPr>
        <w:tc>
          <w:tcPr>
            <w:tcW w:w="73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Notes to the unaudited condensed consolidated financial statements</w:t>
            </w:r>
          </w:p>
        </w:tc>
        <w:tc>
          <w:tcPr>
            <w:tcW w:w="2660" w:type="dxa"/>
            <w:vAlign w:val="bottom"/>
            <w:gridSpan w:val="3"/>
          </w:tcPr>
          <w:p>
            <w:pPr>
              <w:spacing w:after="0"/>
              <w:rPr>
                <w:sz w:val="17"/>
                <w:szCs w:val="17"/>
                <w:color w:val="auto"/>
              </w:rPr>
            </w:pPr>
          </w:p>
        </w:tc>
        <w:tc>
          <w:tcPr>
            <w:tcW w:w="12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F-6</w:t>
            </w:r>
          </w:p>
        </w:tc>
      </w:tr>
      <w:tr>
        <w:trPr>
          <w:trHeight w:val="20"/>
        </w:trPr>
        <w:tc>
          <w:tcPr>
            <w:tcW w:w="438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 and March 31, 2023</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7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5"/>
        </w:trPr>
        <w:tc>
          <w:tcPr>
            <w:tcW w:w="744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4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6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tcBorders>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5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20" w:type="dxa"/>
            <w:vAlign w:val="bottom"/>
            <w:shd w:val="clear" w:color="auto" w:fill="E5FFFF"/>
          </w:tcPr>
          <w:p>
            <w:pPr>
              <w:spacing w:after="0"/>
              <w:rPr>
                <w:sz w:val="19"/>
                <w:szCs w:val="19"/>
                <w:color w:val="auto"/>
              </w:rPr>
            </w:pPr>
          </w:p>
        </w:tc>
        <w:tc>
          <w:tcPr>
            <w:tcW w:w="1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instruments—non-current portion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1,677,771</w:t>
            </w:r>
          </w:p>
        </w:tc>
        <w:tc>
          <w:tcPr>
            <w:tcW w:w="22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1,507,584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560" w:type="dxa"/>
            <w:vAlign w:val="bottom"/>
            <w:tcBorders>
              <w:bottom w:val="single" w:sz="8" w:color="E5FFFF"/>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93,325</w:t>
            </w:r>
          </w:p>
        </w:tc>
        <w:tc>
          <w:tcPr>
            <w:tcW w:w="22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1,772,401</w:t>
            </w:r>
          </w:p>
        </w:tc>
        <w:tc>
          <w:tcPr>
            <w:tcW w:w="220" w:type="dxa"/>
            <w:vAlign w:val="bottom"/>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1,661,793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5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68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11,185</w:t>
            </w:r>
          </w:p>
        </w:tc>
        <w:tc>
          <w:tcPr>
            <w:tcW w:w="1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Due from related parties</w:t>
            </w:r>
          </w:p>
        </w:tc>
        <w:tc>
          <w:tcPr>
            <w:tcW w:w="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instruments—current portion</w:t>
            </w:r>
          </w:p>
        </w:tc>
        <w:tc>
          <w:tcPr>
            <w:tcW w:w="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shd w:val="clear" w:color="auto" w:fill="E5FFFF"/>
          </w:tcPr>
          <w:p>
            <w:pPr>
              <w:spacing w:after="0"/>
              <w:rPr>
                <w:sz w:val="18"/>
                <w:szCs w:val="18"/>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22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Short-term cash deposits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198,122</w:t>
            </w:r>
          </w:p>
        </w:tc>
        <w:tc>
          <w:tcPr>
            <w:tcW w:w="220" w:type="dxa"/>
            <w:vAlign w:val="bottom"/>
            <w:shd w:val="clear" w:color="auto" w:fill="E5FFFF"/>
          </w:tcPr>
          <w:p>
            <w:pPr>
              <w:spacing w:after="0"/>
              <w:rPr>
                <w:sz w:val="20"/>
                <w:szCs w:val="20"/>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225,618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6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243,033</w:t>
            </w:r>
          </w:p>
        </w:tc>
        <w:tc>
          <w:tcPr>
            <w:tcW w:w="22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309,875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6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E5FFFF"/>
            </w:tcBorders>
            <w:shd w:val="clear" w:color="auto" w:fill="E5FFFF"/>
          </w:tcPr>
          <w:p>
            <w:pPr>
              <w:spacing w:after="0"/>
              <w:rPr>
                <w:sz w:val="19"/>
                <w:szCs w:val="19"/>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2,015,434</w:t>
            </w:r>
          </w:p>
        </w:tc>
        <w:tc>
          <w:tcPr>
            <w:tcW w:w="220" w:type="dxa"/>
            <w:vAlign w:val="bottom"/>
            <w:tcBorders>
              <w:bottom w:val="single" w:sz="8" w:color="E5FFFF"/>
            </w:tcBorders>
            <w:shd w:val="clear" w:color="auto" w:fill="E5FFFF"/>
          </w:tcPr>
          <w:p>
            <w:pPr>
              <w:spacing w:after="0"/>
              <w:rPr>
                <w:sz w:val="19"/>
                <w:szCs w:val="19"/>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1,971,668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Partners’ equity and liabilities</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5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440" w:type="dxa"/>
            <w:vAlign w:val="bottom"/>
            <w:shd w:val="clear" w:color="auto" w:fill="E5FF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Common unitholders (51,687,865 units issued and outstanding as of December 31, 2022 and March 31,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668,953</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697,620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(1,080,263 units issued and outstanding as of December 31, 2022 and March 31, 2023)</w:t>
            </w:r>
          </w:p>
        </w:tc>
        <w:tc>
          <w:tcPr>
            <w:tcW w:w="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22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13,207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Preference unitholders (5,084,984 Series A Preference Units, 3,496,382 Series B Preference Units and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3,061,045 Series C Preference Units issued and outstanding as of December 31, 2022 and March 31,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279,349</w:t>
            </w:r>
          </w:p>
        </w:tc>
        <w:tc>
          <w:tcPr>
            <w:tcW w:w="2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279,913</w:t>
            </w:r>
          </w:p>
        </w:tc>
        <w:tc>
          <w:tcPr>
            <w:tcW w:w="0" w:type="dxa"/>
            <w:vAlign w:val="bottom"/>
          </w:tcPr>
          <w:p>
            <w:pPr>
              <w:spacing w:after="0"/>
              <w:rPr>
                <w:sz w:val="1"/>
                <w:szCs w:val="1"/>
                <w:color w:val="auto"/>
              </w:rPr>
            </w:pPr>
          </w:p>
        </w:tc>
      </w:tr>
      <w:tr>
        <w:trPr>
          <w:trHeight w:val="213"/>
        </w:trPr>
        <w:tc>
          <w:tcPr>
            <w:tcW w:w="74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partners’ equity</w:t>
            </w:r>
          </w:p>
        </w:tc>
        <w:tc>
          <w:tcPr>
            <w:tcW w:w="56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960,910</w:t>
            </w:r>
          </w:p>
        </w:tc>
        <w:tc>
          <w:tcPr>
            <w:tcW w:w="22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990,740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5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9,300</w:t>
            </w:r>
          </w:p>
        </w:tc>
        <w:tc>
          <w:tcPr>
            <w:tcW w:w="220" w:type="dxa"/>
            <w:vAlign w:val="bottom"/>
            <w:shd w:val="clear" w:color="auto" w:fill="E5FFFF"/>
          </w:tcPr>
          <w:p>
            <w:pPr>
              <w:spacing w:after="0"/>
              <w:rPr>
                <w:sz w:val="19"/>
                <w:szCs w:val="19"/>
                <w:color w:val="auto"/>
              </w:rPr>
            </w:pPr>
          </w:p>
        </w:tc>
        <w:tc>
          <w:tcPr>
            <w:tcW w:w="1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57,266</w:t>
            </w:r>
          </w:p>
        </w:tc>
        <w:tc>
          <w:tcPr>
            <w:tcW w:w="22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50,528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Borrowings—current portion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90,358</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E5FFFF"/>
          </w:tcPr>
          <w:p>
            <w:pPr>
              <w:spacing w:after="0"/>
              <w:rPr>
                <w:sz w:val="18"/>
                <w:szCs w:val="18"/>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220" w:type="dxa"/>
            <w:vAlign w:val="bottom"/>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6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177,230</w:t>
            </w:r>
          </w:p>
        </w:tc>
        <w:tc>
          <w:tcPr>
            <w:tcW w:w="22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5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4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Borrowings—non-current portion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831,588</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45,136</w:t>
            </w:r>
          </w:p>
        </w:tc>
        <w:tc>
          <w:tcPr>
            <w:tcW w:w="22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86,858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13"/>
        </w:trPr>
        <w:tc>
          <w:tcPr>
            <w:tcW w:w="74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56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877,294</w:t>
            </w:r>
          </w:p>
        </w:tc>
        <w:tc>
          <w:tcPr>
            <w:tcW w:w="22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668,805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partners’ equity and liabilities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2,015,434</w:t>
            </w:r>
          </w:p>
        </w:tc>
        <w:tc>
          <w:tcPr>
            <w:tcW w:w="220" w:type="dxa"/>
            <w:vAlign w:val="bottom"/>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1,971,668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 and total comprehensive income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2022 and 2023</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per unit data)</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7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9"/>
        </w:trPr>
        <w:tc>
          <w:tcPr>
            <w:tcW w:w="732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12"/>
        </w:trPr>
        <w:tc>
          <w:tcPr>
            <w:tcW w:w="7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85,459</w:t>
            </w:r>
          </w:p>
        </w:tc>
        <w:tc>
          <w:tcPr>
            <w:tcW w:w="2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99,069</w:t>
            </w: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(1,461)</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(1,996)</w:t>
            </w:r>
          </w:p>
        </w:tc>
      </w:tr>
      <w:tr>
        <w:trPr>
          <w:trHeight w:val="205"/>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12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(18,574)</w:t>
            </w:r>
          </w:p>
        </w:tc>
        <w:tc>
          <w:tcPr>
            <w:tcW w:w="15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(15,926)</w:t>
            </w: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2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(21,987)</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(22,712)</w:t>
            </w:r>
          </w:p>
        </w:tc>
      </w:tr>
      <w:tr>
        <w:trPr>
          <w:trHeight w:val="203"/>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(4,691)</w:t>
            </w:r>
          </w:p>
        </w:tc>
        <w:tc>
          <w:tcPr>
            <w:tcW w:w="15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(5,647)</w:t>
            </w: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(1,033)</w:t>
            </w:r>
          </w:p>
        </w:tc>
      </w:tr>
      <w:tr>
        <w:trPr>
          <w:trHeight w:val="216"/>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w:t>
            </w:r>
          </w:p>
        </w:tc>
        <w:tc>
          <w:tcPr>
            <w:tcW w:w="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(142</w:t>
            </w:r>
            <w:r>
              <w:rPr>
                <w:rFonts w:ascii="Times New Roman" w:cs="Times New Roman" w:eastAsia="Times New Roman" w:hAnsi="Times New Roman"/>
                <w:sz w:val="16"/>
                <w:szCs w:val="16"/>
                <w:color w:val="auto"/>
                <w:highlight w:val="white"/>
              </w:rPr>
              <w:t>)</w:t>
            </w:r>
          </w:p>
        </w:tc>
      </w:tr>
      <w:tr>
        <w:trPr>
          <w:trHeight w:val="208"/>
        </w:trPr>
        <w:tc>
          <w:tcPr>
            <w:tcW w:w="7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58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38,746</w:t>
            </w:r>
          </w:p>
        </w:tc>
        <w:tc>
          <w:tcPr>
            <w:tcW w:w="200" w:type="dxa"/>
            <w:vAlign w:val="bottom"/>
            <w:tcBorders>
              <w:bottom w:val="single" w:sz="8" w:color="E5FF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51,613</w:t>
            </w:r>
          </w:p>
        </w:tc>
        <w:tc>
          <w:tcPr>
            <w:tcW w:w="100" w:type="dxa"/>
            <w:vAlign w:val="bottom"/>
            <w:tcBorders>
              <w:bottom w:val="single" w:sz="8" w:color="E5FFFF"/>
            </w:tcBorders>
          </w:tcPr>
          <w:p>
            <w:pPr>
              <w:spacing w:after="0"/>
              <w:rPr>
                <w:sz w:val="18"/>
                <w:szCs w:val="18"/>
                <w:color w:val="auto"/>
              </w:rPr>
            </w:pPr>
          </w:p>
        </w:tc>
      </w:tr>
      <w:tr>
        <w:trPr>
          <w:trHeight w:val="198"/>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20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(17,353)</w:t>
            </w:r>
          </w:p>
        </w:tc>
        <w:tc>
          <w:tcPr>
            <w:tcW w:w="100" w:type="dxa"/>
            <w:vAlign w:val="bottom"/>
            <w:shd w:val="clear" w:color="auto" w:fill="E5FFFF"/>
          </w:tcPr>
          <w:p>
            <w:pPr>
              <w:spacing w:after="0"/>
              <w:rPr>
                <w:sz w:val="17"/>
                <w:szCs w:val="17"/>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2,282</w:t>
            </w:r>
          </w:p>
        </w:tc>
      </w:tr>
      <w:tr>
        <w:trPr>
          <w:trHeight w:val="219"/>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Gain/(loss) on derivatives</w:t>
            </w:r>
          </w:p>
        </w:tc>
        <w:tc>
          <w:tcPr>
            <w:tcW w:w="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4,977</w:t>
            </w:r>
          </w:p>
        </w:tc>
        <w:tc>
          <w:tcPr>
            <w:tcW w:w="20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(167</w:t>
            </w:r>
            <w:r>
              <w:rPr>
                <w:rFonts w:ascii="Times New Roman" w:cs="Times New Roman" w:eastAsia="Times New Roman" w:hAnsi="Times New Roman"/>
                <w:sz w:val="16"/>
                <w:szCs w:val="16"/>
                <w:color w:val="auto"/>
                <w:highlight w:val="white"/>
              </w:rPr>
              <w:t>)</w:t>
            </w:r>
          </w:p>
        </w:tc>
      </w:tr>
      <w:tr>
        <w:trPr>
          <w:trHeight w:val="208"/>
        </w:trPr>
        <w:tc>
          <w:tcPr>
            <w:tcW w:w="7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58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(3,765</w:t>
            </w:r>
          </w:p>
        </w:tc>
        <w:tc>
          <w:tcPr>
            <w:tcW w:w="200" w:type="dxa"/>
            <w:vAlign w:val="bottom"/>
            <w:tcBorders>
              <w:bottom w:val="single" w:sz="8" w:color="E5FFFF"/>
            </w:tcBorders>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(15,238</w:t>
            </w:r>
          </w:p>
        </w:tc>
        <w:tc>
          <w:tcPr>
            <w:tcW w:w="100" w:type="dxa"/>
            <w:vAlign w:val="bottom"/>
            <w:tcBorders>
              <w:bottom w:val="single" w:sz="8" w:color="E5FF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22"/>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 and total comprehensive income for the period</w:t>
            </w:r>
          </w:p>
        </w:tc>
        <w:tc>
          <w:tcPr>
            <w:tcW w:w="5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34,981</w:t>
            </w:r>
          </w:p>
        </w:tc>
        <w:tc>
          <w:tcPr>
            <w:tcW w:w="20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36,375</w:t>
            </w:r>
          </w:p>
        </w:tc>
      </w:tr>
      <w:tr>
        <w:trPr>
          <w:trHeight w:val="20"/>
        </w:trPr>
        <w:tc>
          <w:tcPr>
            <w:tcW w:w="7320" w:type="dxa"/>
            <w:vAlign w:val="bottom"/>
            <w:tcBorders>
              <w:top w:val="single" w:sz="8" w:color="E5FFFF"/>
            </w:tcBorders>
          </w:tcPr>
          <w:p>
            <w:pPr>
              <w:spacing w:after="0" w:line="20" w:lineRule="exact"/>
              <w:rPr>
                <w:sz w:val="1"/>
                <w:szCs w:val="1"/>
                <w:color w:val="auto"/>
              </w:rPr>
            </w:pPr>
          </w:p>
        </w:tc>
        <w:tc>
          <w:tcPr>
            <w:tcW w:w="58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r>
        <w:trPr>
          <w:trHeight w:val="199"/>
        </w:trPr>
        <w:tc>
          <w:tcPr>
            <w:tcW w:w="7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Earnings per unit, basic and diluted:</w:t>
            </w:r>
          </w:p>
        </w:tc>
        <w:tc>
          <w:tcPr>
            <w:tcW w:w="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Common unit, basic</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0.56</w:t>
            </w:r>
          </w:p>
        </w:tc>
      </w:tr>
      <w:tr>
        <w:trPr>
          <w:trHeight w:val="219"/>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 diluted</w:t>
            </w:r>
          </w:p>
        </w:tc>
        <w:tc>
          <w:tcPr>
            <w:tcW w:w="5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20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0.55</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-2901950</wp:posOffset>
            </wp:positionV>
            <wp:extent cx="68580" cy="548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486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-861695</wp:posOffset>
            </wp:positionV>
            <wp:extent cx="685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-269875</wp:posOffset>
            </wp:positionV>
            <wp:extent cx="6858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changes in partners’ equity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2022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08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204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9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2080" w:type="dxa"/>
            <w:vAlign w:val="bottom"/>
            <w:gridSpan w:val="4"/>
            <w:vMerge w:val="continue"/>
          </w:tcPr>
          <w:p>
            <w:pPr>
              <w:spacing w:after="0"/>
              <w:rPr>
                <w:sz w:val="15"/>
                <w:szCs w:val="15"/>
                <w:color w:val="auto"/>
              </w:rPr>
            </w:pPr>
          </w:p>
        </w:tc>
        <w:tc>
          <w:tcPr>
            <w:tcW w:w="2040" w:type="dxa"/>
            <w:vAlign w:val="bottom"/>
            <w:gridSpan w:val="4"/>
            <w:vMerge w:val="continue"/>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9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04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Units</w:t>
            </w:r>
          </w:p>
        </w:tc>
        <w:tc>
          <w:tcPr>
            <w:tcW w:w="80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40" w:type="dxa"/>
            <w:vAlign w:val="bottom"/>
          </w:tcPr>
          <w:p>
            <w:pPr>
              <w:spacing w:after="0"/>
              <w:rPr>
                <w:sz w:val="13"/>
                <w:szCs w:val="13"/>
                <w:color w:val="auto"/>
              </w:rPr>
            </w:pPr>
          </w:p>
        </w:tc>
        <w:tc>
          <w:tcPr>
            <w:tcW w:w="104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Units</w:t>
            </w:r>
          </w:p>
        </w:tc>
        <w:tc>
          <w:tcPr>
            <w:tcW w:w="7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Units</w:t>
            </w:r>
          </w:p>
        </w:tc>
        <w:tc>
          <w:tcPr>
            <w:tcW w:w="76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3"/>
                <w:szCs w:val="13"/>
                <w:color w:val="auto"/>
              </w:rPr>
            </w:pPr>
          </w:p>
        </w:tc>
        <w:tc>
          <w:tcPr>
            <w:tcW w:w="880" w:type="dxa"/>
            <w:vAlign w:val="bottom"/>
            <w:gridSpan w:val="3"/>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2022</w:t>
            </w:r>
          </w:p>
        </w:tc>
        <w:tc>
          <w:tcPr>
            <w:tcW w:w="1040" w:type="dxa"/>
            <w:vAlign w:val="bottom"/>
            <w:gridSpan w:val="2"/>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1,077,494</w:t>
            </w:r>
          </w:p>
        </w:tc>
        <w:tc>
          <w:tcPr>
            <w:tcW w:w="1040" w:type="dxa"/>
            <w:vAlign w:val="bottom"/>
            <w:gridSpan w:val="2"/>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10,717</w:t>
            </w:r>
          </w:p>
        </w:tc>
        <w:tc>
          <w:tcPr>
            <w:tcW w:w="1040" w:type="dxa"/>
            <w:vAlign w:val="bottom"/>
            <w:gridSpan w:val="2"/>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51,137,201</w:t>
            </w:r>
          </w:p>
        </w:tc>
        <w:tc>
          <w:tcPr>
            <w:tcW w:w="1000" w:type="dxa"/>
            <w:vAlign w:val="bottom"/>
            <w:gridSpan w:val="2"/>
            <w:shd w:val="clear" w:color="auto" w:fill="E5FF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579,447</w:t>
            </w:r>
          </w:p>
        </w:tc>
        <w:tc>
          <w:tcPr>
            <w:tcW w:w="1000" w:type="dxa"/>
            <w:vAlign w:val="bottom"/>
            <w:gridSpan w:val="2"/>
            <w:shd w:val="clear" w:color="auto" w:fill="E5FF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1,660,000</w:t>
            </w:r>
          </w:p>
        </w:tc>
        <w:tc>
          <w:tcPr>
            <w:tcW w:w="980" w:type="dxa"/>
            <w:vAlign w:val="bottom"/>
            <w:gridSpan w:val="2"/>
            <w:shd w:val="clear" w:color="auto" w:fill="E5FF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13,616,022</w:t>
            </w:r>
          </w:p>
        </w:tc>
        <w:tc>
          <w:tcPr>
            <w:tcW w:w="980" w:type="dxa"/>
            <w:vAlign w:val="bottom"/>
            <w:gridSpan w:val="2"/>
            <w:shd w:val="clear" w:color="auto" w:fill="E5FF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329,334</w:t>
            </w:r>
          </w:p>
        </w:tc>
        <w:tc>
          <w:tcPr>
            <w:tcW w:w="80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919,498</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preference units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(393,763)</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(9,920)</w:t>
            </w: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(10,002)</w:t>
            </w:r>
          </w:p>
        </w:tc>
        <w:tc>
          <w:tcPr>
            <w:tcW w:w="0" w:type="dxa"/>
            <w:vAlign w:val="bottom"/>
          </w:tcPr>
          <w:p>
            <w:pPr>
              <w:spacing w:after="0"/>
              <w:rPr>
                <w:sz w:val="1"/>
                <w:szCs w:val="1"/>
                <w:color w:val="auto"/>
              </w:rPr>
            </w:pPr>
          </w:p>
        </w:tc>
      </w:tr>
      <w:tr>
        <w:trPr>
          <w:trHeight w:val="149"/>
        </w:trPr>
        <w:tc>
          <w:tcPr>
            <w:tcW w:w="328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Distributions declared</w:t>
            </w:r>
          </w:p>
        </w:tc>
        <w:tc>
          <w:tcPr>
            <w:tcW w:w="1040" w:type="dxa"/>
            <w:vAlign w:val="bottom"/>
            <w:gridSpan w:val="2"/>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E5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40" w:type="dxa"/>
            <w:vAlign w:val="bottom"/>
            <w:gridSpan w:val="2"/>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1000" w:type="dxa"/>
            <w:vAlign w:val="bottom"/>
            <w:gridSpan w:val="2"/>
            <w:shd w:val="clear" w:color="auto" w:fill="E5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(7,112)</w:t>
            </w:r>
          </w:p>
        </w:tc>
        <w:tc>
          <w:tcPr>
            <w:tcW w:w="880" w:type="dxa"/>
            <w:vAlign w:val="bottom"/>
            <w:gridSpan w:val="3"/>
            <w:shd w:val="clear" w:color="auto" w:fill="E5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(7,634)</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net of accrued distribution</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Partnership’s profit and total comprehensive income</w:t>
            </w:r>
          </w:p>
        </w:tc>
        <w:tc>
          <w:tcPr>
            <w:tcW w:w="8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76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76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2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(Note 14)</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4"/>
                <w:szCs w:val="14"/>
                <w:color w:val="auto"/>
              </w:rPr>
              <w:t>578</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4"/>
                <w:szCs w:val="14"/>
                <w:color w:val="auto"/>
              </w:rPr>
              <w:t>27,413</w:t>
            </w:r>
          </w:p>
        </w:tc>
        <w:tc>
          <w:tcPr>
            <w:tcW w:w="10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6,990</w:t>
            </w:r>
          </w:p>
        </w:tc>
        <w:tc>
          <w:tcPr>
            <w:tcW w:w="8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34,981</w:t>
            </w: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80" w:type="dxa"/>
            <w:vAlign w:val="bottom"/>
            <w:tcBorders>
              <w:bottom w:val="single" w:sz="8" w:color="E5FF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1,077,494</w:t>
            </w:r>
          </w:p>
        </w:tc>
        <w:tc>
          <w:tcPr>
            <w:tcW w:w="240" w:type="dxa"/>
            <w:vAlign w:val="bottom"/>
            <w:tcBorders>
              <w:bottom w:val="single" w:sz="8" w:color="E5FFFF"/>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11,287</w:t>
            </w:r>
          </w:p>
        </w:tc>
        <w:tc>
          <w:tcPr>
            <w:tcW w:w="240" w:type="dxa"/>
            <w:vAlign w:val="bottom"/>
            <w:tcBorders>
              <w:bottom w:val="single" w:sz="8" w:color="E5FFFF"/>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51,137,201</w:t>
            </w:r>
          </w:p>
        </w:tc>
        <w:tc>
          <w:tcPr>
            <w:tcW w:w="240" w:type="dxa"/>
            <w:vAlign w:val="bottom"/>
            <w:tcBorders>
              <w:bottom w:val="single" w:sz="8" w:color="E5FF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606,519</w:t>
            </w:r>
          </w:p>
        </w:tc>
        <w:tc>
          <w:tcPr>
            <w:tcW w:w="220" w:type="dxa"/>
            <w:vAlign w:val="bottom"/>
            <w:tcBorders>
              <w:bottom w:val="single" w:sz="8" w:color="E5FF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1,660,000</w:t>
            </w:r>
          </w:p>
        </w:tc>
        <w:tc>
          <w:tcPr>
            <w:tcW w:w="220" w:type="dxa"/>
            <w:vAlign w:val="bottom"/>
            <w:tcBorders>
              <w:bottom w:val="single" w:sz="8" w:color="E5FF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13,222,259</w:t>
            </w:r>
          </w:p>
        </w:tc>
        <w:tc>
          <w:tcPr>
            <w:tcW w:w="220" w:type="dxa"/>
            <w:vAlign w:val="bottom"/>
            <w:tcBorders>
              <w:bottom w:val="single" w:sz="8" w:color="E5FF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319,292</w:t>
            </w:r>
          </w:p>
        </w:tc>
        <w:tc>
          <w:tcPr>
            <w:tcW w:w="220" w:type="dxa"/>
            <w:vAlign w:val="bottom"/>
            <w:tcBorders>
              <w:bottom w:val="single" w:sz="8" w:color="E5FF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937,098</w:t>
            </w:r>
          </w:p>
        </w:tc>
        <w:tc>
          <w:tcPr>
            <w:tcW w:w="20" w:type="dxa"/>
            <w:vAlign w:val="bottom"/>
            <w:tcBorders>
              <w:bottom w:val="single" w:sz="8" w:color="E5FFFF"/>
            </w:tcBorders>
          </w:tcPr>
          <w:p>
            <w:pPr>
              <w:spacing w:after="0"/>
              <w:rPr>
                <w:sz w:val="13"/>
                <w:szCs w:val="13"/>
                <w:color w:val="auto"/>
              </w:rPr>
            </w:pPr>
          </w:p>
        </w:tc>
        <w:tc>
          <w:tcPr>
            <w:tcW w:w="80" w:type="dxa"/>
            <w:vAlign w:val="bottom"/>
            <w:tcBorders>
              <w:bottom w:val="single" w:sz="8" w:color="E5FF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76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76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1,080,263</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12,608</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51,687,865</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668,953</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1,245,000</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11,642,411</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279,349</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960,910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Distributions declared (Note 6)</w:t>
            </w:r>
          </w:p>
        </w:tc>
        <w:tc>
          <w:tcPr>
            <w:tcW w:w="1040" w:type="dxa"/>
            <w:vAlign w:val="bottom"/>
            <w:gridSpan w:val="2"/>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E5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40" w:type="dxa"/>
            <w:vAlign w:val="bottom"/>
            <w:gridSpan w:val="2"/>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1000" w:type="dxa"/>
            <w:vAlign w:val="bottom"/>
            <w:gridSpan w:val="2"/>
            <w:shd w:val="clear" w:color="auto" w:fill="E5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(6,159)</w:t>
            </w:r>
          </w:p>
        </w:tc>
        <w:tc>
          <w:tcPr>
            <w:tcW w:w="880" w:type="dxa"/>
            <w:vAlign w:val="bottom"/>
            <w:gridSpan w:val="3"/>
            <w:shd w:val="clear" w:color="auto" w:fill="E5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(6,687)</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net of accrued distribution</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Partnership’s profit and total comprehensive income</w:t>
            </w:r>
          </w:p>
        </w:tc>
        <w:tc>
          <w:tcPr>
            <w:tcW w:w="8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76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76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2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(Note 14)</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4"/>
                <w:szCs w:val="14"/>
                <w:color w:val="auto"/>
              </w:rPr>
              <w:t>607</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4"/>
                <w:szCs w:val="14"/>
                <w:color w:val="auto"/>
              </w:rPr>
              <w:t>29,045</w:t>
            </w:r>
          </w:p>
        </w:tc>
        <w:tc>
          <w:tcPr>
            <w:tcW w:w="10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6,723</w:t>
            </w:r>
          </w:p>
        </w:tc>
        <w:tc>
          <w:tcPr>
            <w:tcW w:w="8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36,375</w:t>
            </w: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1,080,263</w:t>
            </w:r>
          </w:p>
        </w:tc>
        <w:tc>
          <w:tcPr>
            <w:tcW w:w="2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13,207</w:t>
            </w:r>
          </w:p>
        </w:tc>
        <w:tc>
          <w:tcPr>
            <w:tcW w:w="2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51,687,865</w:t>
            </w:r>
          </w:p>
        </w:tc>
        <w:tc>
          <w:tcPr>
            <w:tcW w:w="2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697,620</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1,245,000</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11,642,411</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279,913</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990,740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4972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2"/>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9"/>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2022 and 2023</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2"/>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3"/>
        </w:trPr>
        <w:tc>
          <w:tcPr>
            <w:tcW w:w="6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5"/>
        </w:trPr>
        <w:tc>
          <w:tcPr>
            <w:tcW w:w="6980" w:type="dxa"/>
            <w:vAlign w:val="bottom"/>
          </w:tcPr>
          <w:p>
            <w:pPr>
              <w:spacing w:after="0"/>
              <w:rPr>
                <w:sz w:val="18"/>
                <w:szCs w:val="18"/>
                <w:color w:val="auto"/>
              </w:rPr>
            </w:pP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213"/>
        </w:trPr>
        <w:tc>
          <w:tcPr>
            <w:tcW w:w="6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34,981</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36,375</w:t>
            </w:r>
          </w:p>
        </w:tc>
      </w:tr>
      <w:tr>
        <w:trPr>
          <w:trHeight w:val="219"/>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3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21,987</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22,712</w:t>
            </w:r>
          </w:p>
        </w:tc>
      </w:tr>
      <w:tr>
        <w:trPr>
          <w:trHeight w:val="203"/>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w:t>
            </w:r>
          </w:p>
        </w:tc>
        <w:tc>
          <w:tcPr>
            <w:tcW w:w="13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142</w:t>
            </w: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7"/>
                <w:szCs w:val="17"/>
                <w:color w:val="auto"/>
              </w:rPr>
            </w:pP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1,033</w:t>
            </w:r>
          </w:p>
        </w:tc>
      </w:tr>
      <w:tr>
        <w:trPr>
          <w:trHeight w:val="203"/>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3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17,353</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(2,282)</w:t>
            </w:r>
          </w:p>
        </w:tc>
      </w:tr>
      <w:tr>
        <w:trPr>
          <w:trHeight w:val="191"/>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(Gain)/loss on derivatives (excluding realized gain on forward foreign exchange contracts held for</w:t>
            </w:r>
          </w:p>
        </w:tc>
        <w:tc>
          <w:tcPr>
            <w:tcW w:w="13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6"/>
        </w:trPr>
        <w:tc>
          <w:tcPr>
            <w:tcW w:w="69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trading)</w:t>
            </w:r>
          </w:p>
        </w:tc>
        <w:tc>
          <w:tcPr>
            <w:tcW w:w="13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(4,977)</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171</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146</w:t>
            </w:r>
          </w:p>
        </w:tc>
      </w:tr>
      <w:tr>
        <w:trPr>
          <w:trHeight w:val="199"/>
        </w:trPr>
        <w:tc>
          <w:tcPr>
            <w:tcW w:w="69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60,993</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75,650</w:t>
            </w:r>
          </w:p>
        </w:tc>
        <w:tc>
          <w:tcPr>
            <w:tcW w:w="100" w:type="dxa"/>
            <w:vAlign w:val="bottom"/>
            <w:tcBorders>
              <w:top w:val="single" w:sz="8" w:color="E5FFFF"/>
            </w:tcBorders>
            <w:shd w:val="clear" w:color="auto" w:fill="E5FFFF"/>
          </w:tcPr>
          <w:p>
            <w:pPr>
              <w:spacing w:after="0"/>
              <w:rPr>
                <w:sz w:val="17"/>
                <w:szCs w:val="17"/>
                <w:color w:val="auto"/>
              </w:rPr>
            </w:pPr>
          </w:p>
        </w:tc>
      </w:tr>
      <w:tr>
        <w:trPr>
          <w:trHeight w:val="227"/>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(2,370)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(8,879)</w:t>
            </w:r>
          </w:p>
        </w:tc>
      </w:tr>
      <w:tr>
        <w:trPr>
          <w:trHeight w:val="213"/>
        </w:trPr>
        <w:tc>
          <w:tcPr>
            <w:tcW w:w="69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36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58,623</w:t>
            </w:r>
          </w:p>
        </w:tc>
        <w:tc>
          <w:tcPr>
            <w:tcW w:w="2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66,771</w:t>
            </w:r>
          </w:p>
        </w:tc>
        <w:tc>
          <w:tcPr>
            <w:tcW w:w="100" w:type="dxa"/>
            <w:vAlign w:val="bottom"/>
            <w:tcBorders>
              <w:top w:val="single" w:sz="8" w:color="E5FFFF"/>
            </w:tcBorders>
            <w:shd w:val="clear" w:color="auto" w:fill="E5FFFF"/>
          </w:tcPr>
          <w:p>
            <w:pPr>
              <w:spacing w:after="0"/>
              <w:rPr>
                <w:sz w:val="18"/>
                <w:szCs w:val="18"/>
                <w:color w:val="auto"/>
              </w:rPr>
            </w:pPr>
          </w:p>
        </w:tc>
      </w:tr>
      <w:tr>
        <w:trPr>
          <w:trHeight w:val="206"/>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sale and lease-back</w:t>
            </w:r>
          </w:p>
        </w:tc>
        <w:tc>
          <w:tcPr>
            <w:tcW w:w="13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140,000</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tangible fixed assets additions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(971)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(2,923)</w:t>
            </w:r>
          </w:p>
        </w:tc>
      </w:tr>
      <w:tr>
        <w:trPr>
          <w:trHeight w:val="219"/>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Payments for right-of-use assets</w:t>
            </w:r>
          </w:p>
        </w:tc>
        <w:tc>
          <w:tcPr>
            <w:tcW w:w="13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(514)</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1,677</w:t>
            </w:r>
          </w:p>
        </w:tc>
      </w:tr>
      <w:tr>
        <w:trPr>
          <w:trHeight w:val="219"/>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Purchase of short-term cash deposits</w:t>
            </w:r>
          </w:p>
        </w:tc>
        <w:tc>
          <w:tcPr>
            <w:tcW w:w="13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(44,500)</w:t>
            </w:r>
          </w:p>
        </w:tc>
      </w:tr>
      <w:tr>
        <w:trPr>
          <w:trHeight w:val="227"/>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Maturity of short-term cash deposits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12,500</w:t>
            </w:r>
          </w:p>
        </w:tc>
      </w:tr>
      <w:tr>
        <w:trPr>
          <w:trHeight w:val="212"/>
        </w:trPr>
        <w:tc>
          <w:tcPr>
            <w:tcW w:w="69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w:t>
            </w:r>
          </w:p>
        </w:tc>
        <w:tc>
          <w:tcPr>
            <w:tcW w:w="136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(955</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106,240</w:t>
            </w:r>
          </w:p>
        </w:tc>
        <w:tc>
          <w:tcPr>
            <w:tcW w:w="100" w:type="dxa"/>
            <w:vAlign w:val="bottom"/>
            <w:tcBorders>
              <w:top w:val="single" w:sz="8" w:color="E5FFFF"/>
            </w:tcBorders>
            <w:shd w:val="clear" w:color="auto" w:fill="E5FFFF"/>
          </w:tcPr>
          <w:p>
            <w:pPr>
              <w:spacing w:after="0"/>
              <w:rPr>
                <w:sz w:val="18"/>
                <w:szCs w:val="18"/>
                <w:color w:val="auto"/>
              </w:rPr>
            </w:pPr>
          </w:p>
        </w:tc>
      </w:tr>
      <w:tr>
        <w:trPr>
          <w:trHeight w:val="207"/>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 repayments</w:t>
            </w:r>
          </w:p>
        </w:tc>
        <w:tc>
          <w:tcPr>
            <w:tcW w:w="13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(34,472)</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(117,487)</w:t>
            </w: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Principal elements of lease payments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Pr>
          <w:p>
            <w:pPr>
              <w:spacing w:after="0"/>
              <w:rPr>
                <w:sz w:val="17"/>
                <w:szCs w:val="17"/>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(2,551)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(2,377)</w:t>
            </w:r>
          </w:p>
        </w:tc>
      </w:tr>
      <w:tr>
        <w:trPr>
          <w:trHeight w:val="216"/>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(12,586)</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(19,208)</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preference units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(10,002)</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 of offering costs</w:t>
            </w:r>
          </w:p>
        </w:tc>
        <w:tc>
          <w:tcPr>
            <w:tcW w:w="13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paid (including common and preference)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8"/>
                <w:szCs w:val="18"/>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(7,634)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(6,687)</w:t>
            </w:r>
          </w:p>
        </w:tc>
      </w:tr>
      <w:tr>
        <w:trPr>
          <w:trHeight w:val="212"/>
        </w:trPr>
        <w:tc>
          <w:tcPr>
            <w:tcW w:w="69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36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(67,265</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(145,759</w:t>
            </w:r>
          </w:p>
        </w:tc>
        <w:tc>
          <w:tcPr>
            <w:tcW w:w="100" w:type="dxa"/>
            <w:vAlign w:val="bottom"/>
            <w:tcBorders>
              <w:top w:val="single" w:sz="8" w:color="E5FFFF"/>
            </w:tcBorders>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7"/>
        </w:trPr>
        <w:tc>
          <w:tcPr>
            <w:tcW w:w="69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136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5FF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Borders>
              <w:bottom w:val="single" w:sz="8" w:color="E5FFFF"/>
            </w:tcBorders>
          </w:tcPr>
          <w:p>
            <w:pPr>
              <w:spacing w:after="0"/>
              <w:rPr>
                <w:sz w:val="17"/>
                <w:szCs w:val="17"/>
                <w:color w:val="auto"/>
              </w:rPr>
            </w:pPr>
          </w:p>
        </w:tc>
      </w:tr>
      <w:tr>
        <w:trPr>
          <w:trHeight w:val="212"/>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(Decrease)/increase in cash and cash equivalents</w:t>
            </w:r>
          </w:p>
        </w:tc>
        <w:tc>
          <w:tcPr>
            <w:tcW w:w="1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(9,597</w:t>
            </w:r>
          </w:p>
        </w:tc>
        <w:tc>
          <w:tcPr>
            <w:tcW w:w="220" w:type="dxa"/>
            <w:vAlign w:val="bottom"/>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27,496</w:t>
            </w:r>
          </w:p>
        </w:tc>
        <w:tc>
          <w:tcPr>
            <w:tcW w:w="100" w:type="dxa"/>
            <w:vAlign w:val="bottom"/>
            <w:shd w:val="clear" w:color="auto" w:fill="E5FFFF"/>
          </w:tcPr>
          <w:p>
            <w:pPr>
              <w:spacing w:after="0"/>
              <w:rPr>
                <w:sz w:val="18"/>
                <w:szCs w:val="18"/>
                <w:color w:val="auto"/>
              </w:rPr>
            </w:pPr>
          </w:p>
        </w:tc>
      </w:tr>
      <w:tr>
        <w:trPr>
          <w:trHeight w:val="207"/>
        </w:trPr>
        <w:tc>
          <w:tcPr>
            <w:tcW w:w="69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36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145,530</w:t>
            </w:r>
          </w:p>
        </w:tc>
        <w:tc>
          <w:tcPr>
            <w:tcW w:w="220" w:type="dxa"/>
            <w:vAlign w:val="bottom"/>
            <w:tcBorders>
              <w:bottom w:val="single" w:sz="8" w:color="E5FF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198,122</w:t>
            </w:r>
          </w:p>
        </w:tc>
        <w:tc>
          <w:tcPr>
            <w:tcW w:w="100" w:type="dxa"/>
            <w:vAlign w:val="bottom"/>
            <w:tcBorders>
              <w:bottom w:val="single" w:sz="8" w:color="E5FFFF"/>
            </w:tcBorders>
          </w:tcPr>
          <w:p>
            <w:pPr>
              <w:spacing w:after="0"/>
              <w:rPr>
                <w:sz w:val="17"/>
                <w:szCs w:val="17"/>
                <w:color w:val="auto"/>
              </w:rPr>
            </w:pPr>
          </w:p>
        </w:tc>
      </w:tr>
      <w:tr>
        <w:trPr>
          <w:trHeight w:val="223"/>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period</w:t>
            </w:r>
          </w:p>
        </w:tc>
        <w:tc>
          <w:tcPr>
            <w:tcW w:w="13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135,933</w:t>
            </w:r>
          </w:p>
        </w:tc>
        <w:tc>
          <w:tcPr>
            <w:tcW w:w="22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225,618</w:t>
            </w:r>
          </w:p>
        </w:tc>
      </w:tr>
      <w:tr>
        <w:trPr>
          <w:trHeight w:val="20"/>
        </w:trPr>
        <w:tc>
          <w:tcPr>
            <w:tcW w:w="698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r>
        <w:trPr>
          <w:trHeight w:val="200"/>
        </w:trPr>
        <w:tc>
          <w:tcPr>
            <w:tcW w:w="6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1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 included in liabilities at the end of the period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999</w:t>
            </w:r>
          </w:p>
        </w:tc>
      </w:tr>
      <w:tr>
        <w:trPr>
          <w:trHeight w:val="219"/>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Capital expenditures included in liabilities at the end of the period – Right-of-use assets</w:t>
            </w:r>
          </w:p>
        </w:tc>
        <w:tc>
          <w:tcPr>
            <w:tcW w:w="13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Financing costs included in liabilities at the end of the period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r>
      <w:tr>
        <w:trPr>
          <w:trHeight w:val="205"/>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Non-cash prepayment of lease payments</w:t>
            </w:r>
          </w:p>
        </w:tc>
        <w:tc>
          <w:tcPr>
            <w:tcW w:w="13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11,979</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Costs of vessel sale (including commissions) in liabilities at the end of the period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7" w:right="339" w:bottom="1136"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2022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and Operations</w:t>
      </w:r>
    </w:p>
    <w:p>
      <w:pPr>
        <w:spacing w:after="0" w:line="237"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6"/>
          <w:szCs w:val="16"/>
          <w:color w:val="auto"/>
        </w:rPr>
        <w:t>GasLog Partners LP (“GasLog Partners” or the “Partnership”) was formed as a limited partnership under the laws of the Marshall Islands on January 23, 2014, as a wholly owned subsidiary of GasLog Ltd. (“GasLog”) for the purpose of initially acquiring the interests in three liquefied natural gas (“LNG”) carriers that were contributed to the Partnership by GasLog in connection with the initial public offering of its common units (the “IPO”).</w:t>
      </w:r>
    </w:p>
    <w:p>
      <w:pPr>
        <w:spacing w:after="0" w:line="177" w:lineRule="exact"/>
        <w:rPr>
          <w:sz w:val="20"/>
          <w:szCs w:val="20"/>
          <w:color w:val="auto"/>
        </w:rPr>
      </w:pPr>
    </w:p>
    <w:p>
      <w:pPr>
        <w:ind w:right="280" w:firstLine="324"/>
        <w:spacing w:after="0" w:line="275" w:lineRule="auto"/>
        <w:rPr>
          <w:sz w:val="20"/>
          <w:szCs w:val="20"/>
          <w:color w:val="auto"/>
        </w:rPr>
      </w:pPr>
      <w:r>
        <w:rPr>
          <w:rFonts w:ascii="Times New Roman" w:cs="Times New Roman" w:eastAsia="Times New Roman" w:hAnsi="Times New Roman"/>
          <w:sz w:val="16"/>
          <w:szCs w:val="16"/>
          <w:color w:val="auto"/>
        </w:rPr>
        <w:t xml:space="preserve">The Partnership’s principal business is the acquisition and operation of LNG vessels, providing LNG transportation services on a worldwide basis. GasLog LNG Services Ltd. (“GasLog LNG Services” or the “Manager”), a related party and a wholly owned subsidiary of GasLog, incorporated under the laws of Bermuda, provides technical and commercial services to the Partnership. As of March 31, 2023, the Partnership wholly owned 11 LNG vessels and operated three LNG vessels leased back under bareboat charters, including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xml:space="preserve"> which was sold and leased back in March 2023.</w:t>
      </w:r>
    </w:p>
    <w:p>
      <w:pPr>
        <w:spacing w:after="0" w:line="183"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6"/>
          <w:szCs w:val="16"/>
          <w:color w:val="auto"/>
        </w:rPr>
        <w:t>On January 24, 2023, the Partnership’s board of directors received an unsolicited non-binding proposal from GasLog to acquire all of the outstanding common units representing limited partner interests of the Partnership not already beneficially owned by GasLog. On April 6, 2023, the Partnership entered into an Agreement and Plan of Merger (the “Merger Agreement”) with GasLog Partners GP LLC, the general partner of the Partnership, GasLog and Saturn Merger Sub LLC, a wholly owned subsidiary of GasLog (“Merger Sub”). Pursuant to the Merger Agreement, (i) Merger Sub will merge with and into the Partnership, with the Partnership surviving as a direct subsidiary of GasLog, and (ii) GasLog will acquire the outstanding common units of the Partnership not beneficially owned by GasLog for overall consideration of $8.65 per common unit in cash (the “Transaction”), consisting in part of a special distribution by the Partnership of $3.28 per common unit in cash that will be distributed to the Partnership’s unitholders in connection with the closing of the Transaction and the remainder to be paid by GasLog as merger consideration at the closing of the Transaction.</w:t>
      </w:r>
    </w:p>
    <w:p>
      <w:pPr>
        <w:spacing w:after="0" w:line="190"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6"/>
          <w:szCs w:val="16"/>
          <w:color w:val="auto"/>
        </w:rPr>
        <w:t>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w:t>
      </w:r>
    </w:p>
    <w:p>
      <w:pPr>
        <w:spacing w:after="0" w:line="186"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6"/>
          <w:szCs w:val="16"/>
          <w:color w:val="auto"/>
        </w:rPr>
        <w:t>The Transaction is expected to close by the end of the third quarter of 2023, subject to approval of the Transaction by holders of a majority of the common units of the Partnership and the satisfaction of certain closing conditions. GasLog has entered into a support agreement with the Partnership committing to vote its common units in favor of the Transaction. Upon closing of the Transaction, the Partnership’s preference units will continue to trade on the New York Stock Exchange.</w:t>
      </w:r>
    </w:p>
    <w:p>
      <w:pPr>
        <w:spacing w:after="0" w:line="177" w:lineRule="exact"/>
        <w:rPr>
          <w:sz w:val="20"/>
          <w:szCs w:val="20"/>
          <w:color w:val="auto"/>
        </w:rPr>
      </w:pPr>
    </w:p>
    <w:p>
      <w:pPr>
        <w:jc w:val="both"/>
        <w:ind w:right="520" w:firstLine="324"/>
        <w:spacing w:after="0" w:line="281" w:lineRule="auto"/>
        <w:rPr>
          <w:sz w:val="20"/>
          <w:szCs w:val="20"/>
          <w:color w:val="auto"/>
        </w:rPr>
      </w:pPr>
      <w:r>
        <w:rPr>
          <w:rFonts w:ascii="Times New Roman" w:cs="Times New Roman" w:eastAsia="Times New Roman" w:hAnsi="Times New Roman"/>
          <w:sz w:val="16"/>
          <w:szCs w:val="16"/>
          <w:color w:val="auto"/>
        </w:rPr>
        <w:t>As of March 31, 2023, GasLog held a 33.2%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77" w:lineRule="exact"/>
        <w:rPr>
          <w:sz w:val="20"/>
          <w:szCs w:val="20"/>
          <w:color w:val="auto"/>
        </w:rPr>
      </w:pPr>
    </w:p>
    <w:p>
      <w:pPr>
        <w:ind w:right="260" w:firstLine="324"/>
        <w:spacing w:after="0" w:line="298"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include the financial statements of GasLog Partners and its subsidiaries, which are 100% owned by the Partnership. No new subsidiaries were established or acquired in the three months ended March 31, 2023.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w:t>
      </w:r>
    </w:p>
    <w:p>
      <w:pPr>
        <w:spacing w:after="0" w:line="235" w:lineRule="exact"/>
        <w:rPr>
          <w:sz w:val="20"/>
          <w:szCs w:val="20"/>
          <w:color w:val="auto"/>
        </w:rPr>
      </w:pPr>
    </w:p>
    <w:p>
      <w:pPr>
        <w:jc w:val="both"/>
        <w:ind w:right="80" w:firstLine="324"/>
        <w:spacing w:after="0" w:line="273" w:lineRule="auto"/>
        <w:rPr>
          <w:sz w:val="20"/>
          <w:szCs w:val="20"/>
          <w:color w:val="auto"/>
        </w:rPr>
      </w:pPr>
      <w:r>
        <w:rPr>
          <w:rFonts w:ascii="Times New Roman" w:cs="Times New Roman" w:eastAsia="Times New Roman" w:hAnsi="Times New Roman"/>
          <w:sz w:val="16"/>
          <w:szCs w:val="16"/>
          <w:color w:val="auto"/>
        </w:rPr>
        <w:t xml:space="preserve">These unaudited condensed consolidated financial statements have been prepared in accordance with International Accounting Standard (“IAS”) 34 </w:t>
      </w:r>
      <w:r>
        <w:rPr>
          <w:rFonts w:ascii="Times New Roman" w:cs="Times New Roman" w:eastAsia="Times New Roman" w:hAnsi="Times New Roman"/>
          <w:sz w:val="16"/>
          <w:szCs w:val="16"/>
          <w:i w:val="1"/>
          <w:iCs w:val="1"/>
          <w:color w:val="auto"/>
        </w:rPr>
        <w:t>Interim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Reporting </w:t>
      </w:r>
      <w:r>
        <w:rPr>
          <w:rFonts w:ascii="Times New Roman" w:cs="Times New Roman" w:eastAsia="Times New Roman" w:hAnsi="Times New Roman"/>
          <w:sz w:val="16"/>
          <w:szCs w:val="16"/>
          <w:color w:val="auto"/>
        </w:rPr>
        <w:t>as issued by the International Accounting Standards Board (“IASB”). Certain information and footnote disclosures required by International Financial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Standards (“IFRS”) for a complete set of annual financial statements have been omitted, and, therefore, these unaudited condensed consolidated financial statements should be read in conjunction with the Partnership’s annual consolidated financial statements for the year ended December 31, 2022, filed on an Annual Report on Form 20-F with the Securities Exchange Commission on March 6, 2023.</w:t>
      </w:r>
    </w:p>
    <w:p>
      <w:pPr>
        <w:spacing w:after="0" w:line="184"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6"/>
          <w:szCs w:val="16"/>
          <w:color w:val="auto"/>
        </w:rPr>
        <w:t>The unaudited condensed consolidated financial statements have been prepared on the historical cost basis, except for the revaluation of derivative financial instruments. The same accounting policies and methods of computation have been followed in these unaudited condensed consolidated financial statements as applied in the preparation of the Partnership’s consolidated financial statements for the year ended December 31, 2022. On April 27, 2023, the Partnership’s board of directors authorized the unaudited condensed consolidated financial statements for issuance.</w:t>
      </w:r>
    </w:p>
    <w:p>
      <w:pPr>
        <w:spacing w:after="0" w:line="183" w:lineRule="exact"/>
        <w:rPr>
          <w:sz w:val="20"/>
          <w:szCs w:val="20"/>
          <w:color w:val="auto"/>
        </w:rPr>
      </w:pPr>
    </w:p>
    <w:p>
      <w:pPr>
        <w:ind w:right="200" w:firstLine="324"/>
        <w:spacing w:after="0" w:line="298" w:lineRule="auto"/>
        <w:rPr>
          <w:sz w:val="20"/>
          <w:szCs w:val="20"/>
          <w:color w:val="auto"/>
        </w:rPr>
      </w:pPr>
      <w:r>
        <w:rPr>
          <w:rFonts w:ascii="Times New Roman" w:cs="Times New Roman" w:eastAsia="Times New Roman" w:hAnsi="Times New Roman"/>
          <w:sz w:val="16"/>
          <w:szCs w:val="16"/>
          <w:color w:val="auto"/>
        </w:rPr>
        <w:t>The critical accounting judgments and key sources of estimation uncertainty were disclosed in the Partnership’s annual consolidated financial statements for the year ended December 31, 2022 and remain unchanged.</w:t>
      </w:r>
    </w:p>
    <w:p>
      <w:pPr>
        <w:spacing w:after="0" w:line="164"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26" w:name="page27"/>
    <w:bookmarkEnd w:id="26"/>
    <w:p>
      <w:pPr>
        <w:ind w:right="40" w:firstLine="324"/>
        <w:spacing w:after="0" w:line="275" w:lineRule="auto"/>
        <w:rPr>
          <w:sz w:val="20"/>
          <w:szCs w:val="20"/>
          <w:color w:val="auto"/>
        </w:rPr>
      </w:pPr>
      <w:r>
        <w:rPr>
          <w:rFonts w:ascii="Times New Roman" w:cs="Times New Roman" w:eastAsia="Times New Roman" w:hAnsi="Times New Roman"/>
          <w:sz w:val="16"/>
          <w:szCs w:val="16"/>
          <w:color w:val="auto"/>
        </w:rPr>
        <w:t>As of March 31, 2023, the Partnership’s current assets totaled $309,875 while current liabilities totaled $312,123, resulting in a negative working capital position of $2,248. Current liabilities include an amount of $25,859 of unearned revenue in relation to vessel hires received in advance (which represents a non-cash liability that will be recognized as revenues after March 31, 2023 as the services are rendered). Current liabilities also include $156,249 of current debt (net of fees) related to the loan facility with Credit Suisse AG, Nordea Bank Abp, filial i Norge, Iyo Bank Ltd., Singapore Branch and the Development Bank of Japan, Inc., which matures in February 2024.</w:t>
      </w:r>
    </w:p>
    <w:p>
      <w:pPr>
        <w:spacing w:after="0" w:line="183" w:lineRule="exact"/>
        <w:rPr>
          <w:sz w:val="20"/>
          <w:szCs w:val="20"/>
          <w:color w:val="auto"/>
        </w:rPr>
      </w:pPr>
    </w:p>
    <w:p>
      <w:pPr>
        <w:jc w:val="both"/>
        <w:ind w:right="380" w:firstLine="324"/>
        <w:spacing w:after="0" w:line="281" w:lineRule="auto"/>
        <w:rPr>
          <w:sz w:val="20"/>
          <w:szCs w:val="20"/>
          <w:color w:val="auto"/>
        </w:rPr>
      </w:pPr>
      <w:r>
        <w:rPr>
          <w:rFonts w:ascii="Times New Roman" w:cs="Times New Roman" w:eastAsia="Times New Roman" w:hAnsi="Times New Roman"/>
          <w:sz w:val="16"/>
          <w:szCs w:val="16"/>
          <w:color w:val="auto"/>
        </w:rPr>
        <w:t>In considering going concern, management has reviewed the Partnership’s future cash requirements, covenant compliance and earnings projections. Management believes that the Partnership will be able to meet its liquidity needs and to comply with its banking covenants for at least twelve months from the date of this report and therefore it is appropriate to prepare the financial statements on a going concern basis.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Adoption of new and revised IFRS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Standards and interpretations adopted in the current period</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standards and amendments relevant to the Partnership were effective in the current period:</w:t>
      </w:r>
    </w:p>
    <w:p>
      <w:pPr>
        <w:spacing w:after="0" w:line="233" w:lineRule="exact"/>
        <w:rPr>
          <w:sz w:val="20"/>
          <w:szCs w:val="20"/>
          <w:color w:val="auto"/>
        </w:rPr>
      </w:pPr>
    </w:p>
    <w:p>
      <w:pPr>
        <w:ind w:right="180" w:firstLine="324"/>
        <w:spacing w:after="0" w:line="276" w:lineRule="auto"/>
        <w:rPr>
          <w:sz w:val="20"/>
          <w:szCs w:val="20"/>
          <w:color w:val="auto"/>
        </w:rPr>
      </w:pPr>
      <w:r>
        <w:rPr>
          <w:rFonts w:ascii="Times New Roman" w:cs="Times New Roman" w:eastAsia="Times New Roman" w:hAnsi="Times New Roman"/>
          <w:sz w:val="16"/>
          <w:szCs w:val="16"/>
          <w:color w:val="auto"/>
        </w:rPr>
        <w:t xml:space="preserve">In February 2021, the IASB amended IAS 1 </w:t>
      </w:r>
      <w:r>
        <w:rPr>
          <w:rFonts w:ascii="Times New Roman" w:cs="Times New Roman" w:eastAsia="Times New Roman" w:hAnsi="Times New Roman"/>
          <w:sz w:val="16"/>
          <w:szCs w:val="16"/>
          <w:i w:val="1"/>
          <w:iCs w:val="1"/>
          <w:color w:val="auto"/>
        </w:rPr>
        <w:t>Presentation of Financial Statements,</w:t>
      </w:r>
      <w:r>
        <w:rPr>
          <w:rFonts w:ascii="Times New Roman" w:cs="Times New Roman" w:eastAsia="Times New Roman" w:hAnsi="Times New Roman"/>
          <w:sz w:val="16"/>
          <w:szCs w:val="16"/>
          <w:color w:val="auto"/>
        </w:rPr>
        <w:t xml:space="preserve"> IFRS Practice Statement 2 and IAS 8 </w:t>
      </w:r>
      <w:r>
        <w:rPr>
          <w:rFonts w:ascii="Times New Roman" w:cs="Times New Roman" w:eastAsia="Times New Roman" w:hAnsi="Times New Roman"/>
          <w:sz w:val="16"/>
          <w:szCs w:val="16"/>
          <w:i w:val="1"/>
          <w:iCs w:val="1"/>
          <w:color w:val="auto"/>
        </w:rPr>
        <w:t>Accounting Policies, Changes in 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Estimates and Errors </w:t>
      </w:r>
      <w:r>
        <w:rPr>
          <w:rFonts w:ascii="Times New Roman" w:cs="Times New Roman" w:eastAsia="Times New Roman" w:hAnsi="Times New Roman"/>
          <w:sz w:val="16"/>
          <w:szCs w:val="16"/>
          <w:color w:val="auto"/>
        </w:rPr>
        <w:t>to improve accounting policy disclosures and help the users of the financial statements to distinguish between changes in accounting estimates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changes in accounting policies. The amendments are effective for annual periods beginning on or after January 1, 2023. These amendments did not have a material impact on the Partnership’s financial statements.</w:t>
      </w:r>
    </w:p>
    <w:p>
      <w:pPr>
        <w:spacing w:after="0" w:line="182" w:lineRule="exact"/>
        <w:rPr>
          <w:sz w:val="20"/>
          <w:szCs w:val="20"/>
          <w:color w:val="auto"/>
        </w:rPr>
      </w:pPr>
    </w:p>
    <w:p>
      <w:pPr>
        <w:ind w:right="680" w:firstLine="324"/>
        <w:spacing w:after="0" w:line="298" w:lineRule="auto"/>
        <w:rPr>
          <w:sz w:val="20"/>
          <w:szCs w:val="20"/>
          <w:color w:val="auto"/>
        </w:rPr>
      </w:pPr>
      <w:r>
        <w:rPr>
          <w:rFonts w:ascii="Times New Roman" w:cs="Times New Roman" w:eastAsia="Times New Roman" w:hAnsi="Times New Roman"/>
          <w:sz w:val="16"/>
          <w:szCs w:val="16"/>
          <w:color w:val="auto"/>
        </w:rPr>
        <w:t>All other IFRS standards and amendments that became effective in the current period are not relevant to the Partnership or are not material with respect to the Partnership’s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Standards and amendments in issue not yet adopted</w:t>
      </w:r>
    </w:p>
    <w:p>
      <w:pPr>
        <w:spacing w:after="0" w:line="237" w:lineRule="exact"/>
        <w:rPr>
          <w:sz w:val="20"/>
          <w:szCs w:val="20"/>
          <w:color w:val="auto"/>
        </w:rPr>
      </w:pPr>
    </w:p>
    <w:p>
      <w:pPr>
        <w:ind w:right="140" w:firstLine="324"/>
        <w:spacing w:after="0" w:line="298" w:lineRule="auto"/>
        <w:rPr>
          <w:sz w:val="20"/>
          <w:szCs w:val="20"/>
          <w:color w:val="auto"/>
        </w:rPr>
      </w:pPr>
      <w:r>
        <w:rPr>
          <w:rFonts w:ascii="Times New Roman" w:cs="Times New Roman" w:eastAsia="Times New Roman" w:hAnsi="Times New Roman"/>
          <w:sz w:val="16"/>
          <w:szCs w:val="16"/>
          <w:color w:val="auto"/>
        </w:rPr>
        <w:t>At the date of authorization of these unaudited condensed consolidated financial statements, the following standards and amendments relevant to the Partnership were in issue but not yet effective:</w:t>
      </w:r>
    </w:p>
    <w:p>
      <w:pPr>
        <w:spacing w:after="0" w:line="162"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6"/>
          <w:szCs w:val="16"/>
          <w:color w:val="auto"/>
        </w:rPr>
        <w:t xml:space="preserve">In January 2020, the IASB issued a narrow-scope amendment to IAS 1 </w:t>
      </w:r>
      <w:r>
        <w:rPr>
          <w:rFonts w:ascii="Times New Roman" w:cs="Times New Roman" w:eastAsia="Times New Roman" w:hAnsi="Times New Roman"/>
          <w:sz w:val="16"/>
          <w:szCs w:val="16"/>
          <w:i w:val="1"/>
          <w:iCs w:val="1"/>
          <w:color w:val="auto"/>
        </w:rPr>
        <w:t>Presentation of Financial Statements</w:t>
      </w:r>
      <w:r>
        <w:rPr>
          <w:rFonts w:ascii="Times New Roman" w:cs="Times New Roman" w:eastAsia="Times New Roman" w:hAnsi="Times New Roman"/>
          <w:sz w:val="16"/>
          <w:szCs w:val="16"/>
          <w:color w:val="auto"/>
        </w:rPr>
        <w:t xml:space="preserve"> (as further amended in October 2022)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Times New Roman" w:cs="Times New Roman" w:eastAsia="Times New Roman" w:hAnsi="Times New Roman"/>
          <w:sz w:val="16"/>
          <w:szCs w:val="16"/>
          <w:i w:val="1"/>
          <w:iCs w:val="1"/>
          <w:color w:val="auto"/>
        </w:rPr>
        <w:t>Accounting Policies, Changes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Accounting Estimates and Errors</w:t>
      </w:r>
      <w:r>
        <w:rPr>
          <w:rFonts w:ascii="Times New Roman" w:cs="Times New Roman" w:eastAsia="Times New Roman" w:hAnsi="Times New Roman"/>
          <w:sz w:val="16"/>
          <w:szCs w:val="16"/>
          <w:color w:val="auto"/>
        </w:rPr>
        <w:t>. Earlier application is permitted. Management anticipates that this amendment will not have a material impact on the Partnership’s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statements.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impact of all other IFRS standards and amendments issued but not yet adopted is not expected to be material with respect to the Partnership’s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Related Party Transactions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Partnership has the following balances with related parties, which have been included in the unaudited condensed consolidated statements of financial position: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due from related parties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8100" w:type="dxa"/>
            <w:vAlign w:val="bottom"/>
            <w:tcBorders>
              <w:bottom w:val="single" w:sz="8" w:color="E5FF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Borders>
              <w:bottom w:val="single" w:sz="8" w:color="E5FFFF"/>
            </w:tcBorders>
          </w:tcPr>
          <w:p>
            <w:pPr>
              <w:spacing w:after="0"/>
              <w:rPr>
                <w:sz w:val="24"/>
                <w:szCs w:val="24"/>
                <w:color w:val="auto"/>
              </w:rPr>
            </w:pPr>
          </w:p>
        </w:tc>
        <w:tc>
          <w:tcPr>
            <w:tcW w:w="14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100" w:type="dxa"/>
            <w:vAlign w:val="bottom"/>
            <w:shd w:val="clear" w:color="auto" w:fill="E5FF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Due from GasLog </w:t>
            </w:r>
            <w:r>
              <w:rPr>
                <w:rFonts w:ascii="Times New Roman" w:cs="Times New Roman" w:eastAsia="Times New Roman" w:hAnsi="Times New Roman"/>
                <w:sz w:val="26"/>
                <w:szCs w:val="26"/>
                <w:color w:val="auto"/>
                <w:vertAlign w:val="superscript"/>
              </w:rPr>
              <w:t>(a)</w:t>
            </w:r>
          </w:p>
        </w:tc>
        <w:tc>
          <w:tcPr>
            <w:tcW w:w="17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due to related parties</w:t>
            </w: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1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100" w:type="dxa"/>
            <w:vAlign w:val="bottom"/>
          </w:tcPr>
          <w:p>
            <w:pPr>
              <w:spacing w:after="0"/>
              <w:rPr>
                <w:sz w:val="24"/>
                <w:szCs w:val="24"/>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0" w:type="dxa"/>
            <w:vAlign w:val="bottom"/>
          </w:tcPr>
          <w:p>
            <w:pPr>
              <w:spacing w:after="0"/>
              <w:rPr>
                <w:sz w:val="1"/>
                <w:szCs w:val="1"/>
                <w:color w:val="auto"/>
              </w:rPr>
            </w:pPr>
          </w:p>
        </w:tc>
      </w:tr>
      <w:tr>
        <w:trPr>
          <w:trHeight w:val="226"/>
        </w:trPr>
        <w:tc>
          <w:tcPr>
            <w:tcW w:w="8100" w:type="dxa"/>
            <w:vAlign w:val="bottom"/>
            <w:tcBorders>
              <w:top w:val="single" w:sz="8" w:color="E5FFFF"/>
            </w:tcBorders>
            <w:shd w:val="clear" w:color="auto" w:fill="E5FFFF"/>
          </w:tcPr>
          <w:p>
            <w:pPr>
              <w:spacing w:after="0" w:line="226" w:lineRule="exact"/>
              <w:rPr>
                <w:sz w:val="20"/>
                <w:szCs w:val="20"/>
                <w:color w:val="auto"/>
              </w:rPr>
            </w:pPr>
            <w:r>
              <w:rPr>
                <w:rFonts w:ascii="Times New Roman" w:cs="Times New Roman" w:eastAsia="Times New Roman" w:hAnsi="Times New Roman"/>
                <w:sz w:val="16"/>
                <w:szCs w:val="16"/>
                <w:color w:val="auto"/>
              </w:rPr>
              <w:t xml:space="preserve">Due to GasLog LNG Services </w:t>
            </w:r>
            <w:r>
              <w:rPr>
                <w:rFonts w:ascii="Times New Roman" w:cs="Times New Roman" w:eastAsia="Times New Roman" w:hAnsi="Times New Roman"/>
                <w:sz w:val="26"/>
                <w:szCs w:val="26"/>
                <w:color w:val="auto"/>
                <w:vertAlign w:val="superscript"/>
              </w:rPr>
              <w:t>(b)</w:t>
            </w:r>
          </w:p>
        </w:tc>
        <w:tc>
          <w:tcPr>
            <w:tcW w:w="14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220" w:type="dxa"/>
            <w:vAlign w:val="bottom"/>
            <w:tcBorders>
              <w:top w:val="single" w:sz="8" w:color="E5FFFF"/>
            </w:tcBorders>
            <w:shd w:val="clear" w:color="auto" w:fill="E5FFFF"/>
          </w:tcPr>
          <w:p>
            <w:pPr>
              <w:spacing w:after="0"/>
              <w:rPr>
                <w:sz w:val="19"/>
                <w:szCs w:val="19"/>
                <w:color w:val="auto"/>
              </w:rPr>
            </w:pPr>
          </w:p>
        </w:tc>
        <w:tc>
          <w:tcPr>
            <w:tcW w:w="14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0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Due to GasLog </w:t>
            </w:r>
            <w:r>
              <w:rPr>
                <w:rFonts w:ascii="Times New Roman" w:cs="Times New Roman" w:eastAsia="Times New Roman" w:hAnsi="Times New Roman"/>
                <w:sz w:val="26"/>
                <w:szCs w:val="26"/>
                <w:color w:val="auto"/>
                <w:vertAlign w:val="superscript"/>
              </w:rPr>
              <w:t>(c)</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220" w:type="dxa"/>
            <w:vAlign w:val="bottom"/>
          </w:tcPr>
          <w:p>
            <w:pPr>
              <w:spacing w:after="0"/>
              <w:rPr>
                <w:sz w:val="22"/>
                <w:szCs w:val="22"/>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10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2,873</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As of March 31, 2023, the balance represents mainly net amounts advanced to GasLog to cover future expenses.</w:t>
      </w:r>
    </w:p>
    <w:p>
      <w:pPr>
        <w:spacing w:after="0" w:line="17" w:lineRule="exact"/>
        <w:rPr>
          <w:rFonts w:ascii="Times New Roman" w:cs="Times New Roman" w:eastAsia="Times New Roman" w:hAnsi="Times New Roman"/>
          <w:sz w:val="12"/>
          <w:szCs w:val="12"/>
          <w:color w:val="auto"/>
        </w:rPr>
      </w:pPr>
    </w:p>
    <w:p>
      <w:pPr>
        <w:ind w:left="660" w:hanging="328"/>
        <w:spacing w:after="0"/>
        <w:tabs>
          <w:tab w:leader="none" w:pos="6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balances represent mainly payments made by GasLog LNG Services on behalf of the Partnership.</w:t>
      </w:r>
    </w:p>
    <w:p>
      <w:pPr>
        <w:spacing w:after="0" w:line="1" w:lineRule="exact"/>
        <w:rPr>
          <w:rFonts w:ascii="Times New Roman" w:cs="Times New Roman" w:eastAsia="Times New Roman" w:hAnsi="Times New Roman"/>
          <w:sz w:val="12"/>
          <w:szCs w:val="12"/>
          <w:color w:val="auto"/>
        </w:rPr>
      </w:pPr>
    </w:p>
    <w:p>
      <w:pPr>
        <w:ind w:left="660" w:hanging="328"/>
        <w:spacing w:after="0"/>
        <w:tabs>
          <w:tab w:leader="none" w:pos="6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As of December 31, 2022, the balance represented mainly payments made by GasLog on behalf of the Partnership.</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7" w:name="page28"/>
    <w:bookmarkEnd w:id="27"/>
    <w:p>
      <w:pPr>
        <w:ind w:right="340" w:firstLine="324"/>
        <w:spacing w:after="0" w:line="281" w:lineRule="auto"/>
        <w:rPr>
          <w:sz w:val="20"/>
          <w:szCs w:val="20"/>
          <w:color w:val="auto"/>
        </w:rPr>
      </w:pPr>
      <w:r>
        <w:rPr>
          <w:rFonts w:ascii="Times New Roman" w:cs="Times New Roman" w:eastAsia="Times New Roman" w:hAnsi="Times New Roman"/>
          <w:sz w:val="16"/>
          <w:szCs w:val="16"/>
          <w:color w:val="auto"/>
        </w:rPr>
        <w:t>The main terms of the Partnership’s related party transactions, including the commercial management agreements, administrative services agreement and ship management agreements with GasLog and GasLog LNG Services, have been disclosed in the annual consolidated financial statements for the year ended December 31, 2022. Refer to Note 14 “Related Party Transactions”.</w:t>
      </w:r>
    </w:p>
    <w:p>
      <w:pPr>
        <w:spacing w:after="0" w:line="177" w:lineRule="exact"/>
        <w:rPr>
          <w:sz w:val="20"/>
          <w:szCs w:val="20"/>
          <w:color w:val="auto"/>
        </w:rPr>
      </w:pPr>
    </w:p>
    <w:p>
      <w:pPr>
        <w:ind w:right="60" w:firstLine="324"/>
        <w:spacing w:after="0" w:line="298" w:lineRule="auto"/>
        <w:rPr>
          <w:sz w:val="20"/>
          <w:szCs w:val="20"/>
          <w:color w:val="auto"/>
        </w:rPr>
      </w:pPr>
      <w:r>
        <w:rPr>
          <w:rFonts w:ascii="Times New Roman" w:cs="Times New Roman" w:eastAsia="Times New Roman" w:hAnsi="Times New Roman"/>
          <w:sz w:val="16"/>
          <w:szCs w:val="16"/>
          <w:color w:val="auto"/>
        </w:rPr>
        <w:t>The Partnership had the following transactions with such related parties, which have been included in the unaudited condensed consolidated statements of profit or loss for the three months ended March 31, 2022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48"/>
        </w:trPr>
        <w:tc>
          <w:tcPr>
            <w:tcW w:w="14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vMerge w:val="restart"/>
          </w:tcPr>
          <w:p>
            <w:pPr>
              <w:spacing w:after="0"/>
              <w:rPr>
                <w:sz w:val="12"/>
                <w:szCs w:val="12"/>
                <w:color w:val="auto"/>
              </w:rPr>
            </w:pPr>
          </w:p>
        </w:tc>
        <w:tc>
          <w:tcPr>
            <w:tcW w:w="226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Details</w:t>
            </w:r>
          </w:p>
        </w:tc>
        <w:tc>
          <w:tcPr>
            <w:tcW w:w="120" w:type="dxa"/>
            <w:vAlign w:val="bottom"/>
            <w:vMerge w:val="restart"/>
          </w:tcPr>
          <w:p>
            <w:pPr>
              <w:spacing w:after="0"/>
              <w:rPr>
                <w:sz w:val="12"/>
                <w:szCs w:val="12"/>
                <w:color w:val="auto"/>
              </w:rPr>
            </w:pPr>
          </w:p>
        </w:tc>
        <w:tc>
          <w:tcPr>
            <w:tcW w:w="292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240" w:type="dxa"/>
            <w:vAlign w:val="bottom"/>
            <w:vMerge w:val="restart"/>
          </w:tcPr>
          <w:p>
            <w:pPr>
              <w:spacing w:after="0"/>
              <w:rPr>
                <w:sz w:val="12"/>
                <w:szCs w:val="12"/>
                <w:color w:val="auto"/>
              </w:rPr>
            </w:pPr>
          </w:p>
        </w:tc>
        <w:tc>
          <w:tcPr>
            <w:tcW w:w="10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E5FFFF"/>
            </w:tcBorders>
            <w:vMerge w:val="continue"/>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E5FFFF"/>
            </w:tcBorders>
            <w:vMerge w:val="continue"/>
          </w:tcPr>
          <w:p>
            <w:pPr>
              <w:spacing w:after="0"/>
              <w:rPr>
                <w:sz w:val="15"/>
                <w:szCs w:val="15"/>
                <w:color w:val="auto"/>
              </w:rPr>
            </w:pPr>
          </w:p>
        </w:tc>
        <w:tc>
          <w:tcPr>
            <w:tcW w:w="29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E5FFFF"/>
            </w:tcBorders>
            <w:vMerge w:val="continue"/>
          </w:tcPr>
          <w:p>
            <w:pPr>
              <w:spacing w:after="0"/>
              <w:rPr>
                <w:sz w:val="15"/>
                <w:szCs w:val="15"/>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E5FFFF"/>
            </w:tcBorders>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1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GasLog LNG Services</w:t>
            </w:r>
          </w:p>
        </w:tc>
        <w:tc>
          <w:tcPr>
            <w:tcW w:w="23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Commercial management fees</w:t>
            </w:r>
          </w:p>
        </w:tc>
        <w:tc>
          <w:tcPr>
            <w:tcW w:w="51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1,065</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GasLog</w:t>
            </w:r>
          </w:p>
        </w:tc>
        <w:tc>
          <w:tcPr>
            <w:tcW w:w="2380" w:type="dxa"/>
            <w:vAlign w:val="bottom"/>
            <w:gridSpan w:val="2"/>
          </w:tcPr>
          <w:p>
            <w:pPr>
              <w:spacing w:after="0" w:line="216" w:lineRule="exact"/>
              <w:rPr>
                <w:sz w:val="20"/>
                <w:szCs w:val="20"/>
                <w:color w:val="auto"/>
              </w:rPr>
            </w:pPr>
            <w:r>
              <w:rPr>
                <w:rFonts w:ascii="Times New Roman" w:cs="Times New Roman" w:eastAsia="Times New Roman" w:hAnsi="Times New Roman"/>
                <w:sz w:val="14"/>
                <w:szCs w:val="14"/>
                <w:color w:val="auto"/>
              </w:rPr>
              <w:t>Administrative services fees</w:t>
            </w:r>
            <w:r>
              <w:rPr>
                <w:rFonts w:ascii="Times New Roman" w:cs="Times New Roman" w:eastAsia="Times New Roman" w:hAnsi="Times New Roman"/>
                <w:sz w:val="23"/>
                <w:szCs w:val="23"/>
                <w:color w:val="auto"/>
                <w:vertAlign w:val="superscript"/>
              </w:rPr>
              <w:t>(i)</w:t>
            </w: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2,171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GasLog LNG Services</w:t>
            </w:r>
          </w:p>
        </w:tc>
        <w:tc>
          <w:tcPr>
            <w:tcW w:w="23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Management fees</w:t>
            </w:r>
          </w:p>
        </w:tc>
        <w:tc>
          <w:tcPr>
            <w:tcW w:w="51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Vessel operating costs</w:t>
            </w:r>
          </w:p>
        </w:tc>
        <w:tc>
          <w:tcPr>
            <w:tcW w:w="10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1,575</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GasLog LNG Services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vessel operating costs</w:t>
            </w: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Vessel operating costs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26"/>
        </w:trPr>
        <w:tc>
          <w:tcPr>
            <w:tcW w:w="1600" w:type="dxa"/>
            <w:vAlign w:val="bottom"/>
            <w:gridSpan w:val="2"/>
            <w:vMerge w:val="restart"/>
            <w:shd w:val="clear" w:color="auto" w:fill="E5FFFF"/>
          </w:tcPr>
          <w:p>
            <w:pPr>
              <w:spacing w:after="0"/>
              <w:rPr>
                <w:sz w:val="20"/>
                <w:szCs w:val="20"/>
                <w:color w:val="auto"/>
              </w:rPr>
            </w:pPr>
            <w:r>
              <w:rPr>
                <w:rFonts w:ascii="Times New Roman" w:cs="Times New Roman" w:eastAsia="Times New Roman" w:hAnsi="Times New Roman"/>
                <w:sz w:val="14"/>
                <w:szCs w:val="14"/>
                <w:color w:val="auto"/>
              </w:rPr>
              <w:t>GasLog</w:t>
            </w:r>
          </w:p>
        </w:tc>
        <w:tc>
          <w:tcPr>
            <w:tcW w:w="2380" w:type="dxa"/>
            <w:vAlign w:val="bottom"/>
            <w:gridSpan w:val="2"/>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Commitment fee under under the</w:t>
            </w:r>
          </w:p>
        </w:tc>
        <w:tc>
          <w:tcPr>
            <w:tcW w:w="5160" w:type="dxa"/>
            <w:vAlign w:val="bottom"/>
            <w:gridSpan w:val="2"/>
            <w:vMerge w:val="restart"/>
            <w:shd w:val="clear" w:color="auto" w:fill="E5FFFF"/>
          </w:tcPr>
          <w:p>
            <w:pPr>
              <w:spacing w:after="0"/>
              <w:rPr>
                <w:sz w:val="20"/>
                <w:szCs w:val="20"/>
                <w:color w:val="auto"/>
              </w:rPr>
            </w:pPr>
            <w:r>
              <w:rPr>
                <w:rFonts w:ascii="Times New Roman" w:cs="Times New Roman" w:eastAsia="Times New Roman" w:hAnsi="Times New Roman"/>
                <w:sz w:val="14"/>
                <w:szCs w:val="14"/>
                <w:color w:val="auto"/>
              </w:rPr>
              <w:t>Financial costs</w:t>
            </w:r>
          </w:p>
        </w:tc>
        <w:tc>
          <w:tcPr>
            <w:tcW w:w="1000" w:type="dxa"/>
            <w:vAlign w:val="bottom"/>
            <w:gridSpan w:val="2"/>
            <w:vMerge w:val="restart"/>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68</w:t>
            </w:r>
          </w:p>
        </w:tc>
        <w:tc>
          <w:tcPr>
            <w:tcW w:w="100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600" w:type="dxa"/>
            <w:vAlign w:val="bottom"/>
            <w:gridSpan w:val="2"/>
            <w:vMerge w:val="continue"/>
            <w:shd w:val="clear" w:color="auto" w:fill="E5FFFF"/>
          </w:tcPr>
          <w:p>
            <w:pPr>
              <w:spacing w:after="0"/>
              <w:rPr>
                <w:sz w:val="14"/>
                <w:szCs w:val="14"/>
                <w:color w:val="auto"/>
              </w:rPr>
            </w:pPr>
          </w:p>
        </w:tc>
        <w:tc>
          <w:tcPr>
            <w:tcW w:w="23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revolving credit facility with GasLog</w:t>
            </w:r>
          </w:p>
        </w:tc>
        <w:tc>
          <w:tcPr>
            <w:tcW w:w="5160" w:type="dxa"/>
            <w:vAlign w:val="bottom"/>
            <w:gridSpan w:val="2"/>
            <w:vMerge w:val="continue"/>
            <w:shd w:val="clear" w:color="auto" w:fill="E5FFFF"/>
          </w:tcPr>
          <w:p>
            <w:pPr>
              <w:spacing w:after="0"/>
              <w:rPr>
                <w:sz w:val="14"/>
                <w:szCs w:val="14"/>
                <w:color w:val="auto"/>
              </w:rPr>
            </w:pPr>
          </w:p>
        </w:tc>
        <w:tc>
          <w:tcPr>
            <w:tcW w:w="1000" w:type="dxa"/>
            <w:vAlign w:val="bottom"/>
            <w:gridSpan w:val="2"/>
            <w:vMerge w:val="continue"/>
            <w:shd w:val="clear" w:color="auto" w:fill="E5FFFF"/>
          </w:tcPr>
          <w:p>
            <w:pPr>
              <w:spacing w:after="0"/>
              <w:rPr>
                <w:sz w:val="14"/>
                <w:szCs w:val="14"/>
                <w:color w:val="auto"/>
              </w:rPr>
            </w:pPr>
          </w:p>
        </w:tc>
        <w:tc>
          <w:tcPr>
            <w:tcW w:w="1000" w:type="dxa"/>
            <w:vAlign w:val="bottom"/>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GasLog</w:t>
            </w:r>
          </w:p>
        </w:tc>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Realized loss on interest rate swaps</w:t>
            </w: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Gain/(loss) on derivatives</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869</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00" w:type="dxa"/>
            <w:vAlign w:val="bottom"/>
            <w:gridSpan w:val="2"/>
            <w:vMerge w:val="continue"/>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held for trading (Note 13)</w:t>
            </w:r>
          </w:p>
        </w:tc>
        <w:tc>
          <w:tcPr>
            <w:tcW w:w="51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0712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780" w:hanging="651"/>
        <w:spacing w:after="0"/>
        <w:tabs>
          <w:tab w:leader="none" w:pos="78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2023, the annual administrative services fee was changed to $643 per vessel, from $579 effective since January 1, 2022.</w:t>
      </w:r>
    </w:p>
    <w:p>
      <w:pPr>
        <w:spacing w:after="0" w:line="210"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Tangible Fixed Assets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movement in tangible fixed assets (i.e. vessels and their associated depot spares) is reported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 tangible</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Total tangible fixed</w:t>
            </w:r>
          </w:p>
        </w:tc>
      </w:tr>
      <w:tr>
        <w:trPr>
          <w:trHeight w:val="215"/>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Vessels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assets</w:t>
            </w:r>
          </w:p>
        </w:tc>
      </w:tr>
      <w:tr>
        <w:trPr>
          <w:trHeight w:val="172"/>
        </w:trPr>
        <w:tc>
          <w:tcPr>
            <w:tcW w:w="6320" w:type="dxa"/>
            <w:vAlign w:val="bottom"/>
            <w:tcBorders>
              <w:top w:val="single" w:sz="8" w:color="E5FFFF"/>
            </w:tcBorders>
            <w:gridSpan w:val="4"/>
            <w:shd w:val="clear" w:color="auto" w:fill="E5FF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Cost</w:t>
            </w:r>
          </w:p>
        </w:tc>
        <w:tc>
          <w:tcPr>
            <w:tcW w:w="1460" w:type="dxa"/>
            <w:vAlign w:val="bottom"/>
            <w:tcBorders>
              <w:top w:val="single" w:sz="8" w:color="auto"/>
            </w:tcBorders>
            <w:shd w:val="clear" w:color="auto" w:fill="E5FFFF"/>
          </w:tcPr>
          <w:p>
            <w:pPr>
              <w:spacing w:after="0"/>
              <w:rPr>
                <w:sz w:val="14"/>
                <w:szCs w:val="14"/>
                <w:color w:val="auto"/>
              </w:rPr>
            </w:pPr>
          </w:p>
        </w:tc>
        <w:tc>
          <w:tcPr>
            <w:tcW w:w="240" w:type="dxa"/>
            <w:vAlign w:val="bottom"/>
            <w:tcBorders>
              <w:top w:val="single" w:sz="8" w:color="E5FFFF"/>
            </w:tcBorders>
            <w:shd w:val="clear" w:color="auto" w:fill="E5FFFF"/>
          </w:tcPr>
          <w:p>
            <w:pPr>
              <w:spacing w:after="0"/>
              <w:rPr>
                <w:sz w:val="14"/>
                <w:szCs w:val="14"/>
                <w:color w:val="auto"/>
              </w:rPr>
            </w:pPr>
          </w:p>
        </w:tc>
        <w:tc>
          <w:tcPr>
            <w:tcW w:w="1460" w:type="dxa"/>
            <w:vAlign w:val="bottom"/>
            <w:tcBorders>
              <w:top w:val="single" w:sz="8" w:color="auto"/>
            </w:tcBorders>
            <w:shd w:val="clear" w:color="auto" w:fill="E5FFFF"/>
          </w:tcPr>
          <w:p>
            <w:pPr>
              <w:spacing w:after="0"/>
              <w:rPr>
                <w:sz w:val="14"/>
                <w:szCs w:val="14"/>
                <w:color w:val="auto"/>
              </w:rPr>
            </w:pPr>
          </w:p>
        </w:tc>
        <w:tc>
          <w:tcPr>
            <w:tcW w:w="200" w:type="dxa"/>
            <w:vAlign w:val="bottom"/>
            <w:tcBorders>
              <w:top w:val="single" w:sz="8" w:color="E5FFFF"/>
            </w:tcBorders>
            <w:shd w:val="clear" w:color="auto" w:fill="E5FFFF"/>
          </w:tcPr>
          <w:p>
            <w:pPr>
              <w:spacing w:after="0"/>
              <w:rPr>
                <w:sz w:val="14"/>
                <w:szCs w:val="14"/>
                <w:color w:val="auto"/>
              </w:rPr>
            </w:pPr>
          </w:p>
        </w:tc>
        <w:tc>
          <w:tcPr>
            <w:tcW w:w="1460" w:type="dxa"/>
            <w:vAlign w:val="bottom"/>
            <w:tcBorders>
              <w:top w:val="single" w:sz="8" w:color="auto"/>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r>
      <w:tr>
        <w:trPr>
          <w:trHeight w:val="20"/>
        </w:trPr>
        <w:tc>
          <w:tcPr>
            <w:tcW w:w="32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E5FFFF"/>
            </w:tcBorders>
            <w:shd w:val="clear" w:color="auto" w:fill="E5FFFF"/>
          </w:tcPr>
          <w:p>
            <w:pPr>
              <w:spacing w:after="0" w:line="20" w:lineRule="exact"/>
              <w:rPr>
                <w:sz w:val="1"/>
                <w:szCs w:val="1"/>
                <w:color w:val="auto"/>
              </w:rPr>
            </w:pPr>
          </w:p>
        </w:tc>
        <w:tc>
          <w:tcPr>
            <w:tcW w:w="2240" w:type="dxa"/>
            <w:vAlign w:val="bottom"/>
            <w:tcBorders>
              <w:top w:val="single" w:sz="8" w:color="E5FFFF"/>
            </w:tcBorders>
            <w:shd w:val="clear" w:color="auto" w:fill="E5FFFF"/>
          </w:tcPr>
          <w:p>
            <w:pPr>
              <w:spacing w:after="0" w:line="20" w:lineRule="exact"/>
              <w:rPr>
                <w:sz w:val="1"/>
                <w:szCs w:val="1"/>
                <w:color w:val="auto"/>
              </w:rPr>
            </w:pPr>
          </w:p>
        </w:tc>
        <w:tc>
          <w:tcPr>
            <w:tcW w:w="304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24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r>
      <w:tr>
        <w:trPr>
          <w:trHeight w:val="203"/>
        </w:trPr>
        <w:tc>
          <w:tcPr>
            <w:tcW w:w="6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As of January 1, 2023</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2,358,896</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2,364,508</w:t>
            </w:r>
          </w:p>
        </w:tc>
      </w:tr>
      <w:tr>
        <w:trPr>
          <w:trHeight w:val="203"/>
        </w:trPr>
        <w:tc>
          <w:tcPr>
            <w:tcW w:w="6320" w:type="dxa"/>
            <w:vAlign w:val="bottom"/>
            <w:gridSpan w:val="4"/>
            <w:shd w:val="clear" w:color="auto" w:fill="E5FFFF"/>
          </w:tcPr>
          <w:p>
            <w:pPr>
              <w:spacing w:after="0"/>
              <w:rPr>
                <w:sz w:val="20"/>
                <w:szCs w:val="20"/>
                <w:color w:val="auto"/>
              </w:rPr>
            </w:pPr>
            <w:r>
              <w:rPr>
                <w:rFonts w:ascii="Times New Roman" w:cs="Times New Roman" w:eastAsia="Times New Roman" w:hAnsi="Times New Roman"/>
                <w:sz w:val="16"/>
                <w:szCs w:val="16"/>
                <w:color w:val="auto"/>
              </w:rPr>
              <w:t>Additions/(write-offs), net</w:t>
            </w:r>
          </w:p>
        </w:tc>
        <w:tc>
          <w:tcPr>
            <w:tcW w:w="170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(4,168)</w:t>
            </w:r>
          </w:p>
        </w:tc>
        <w:tc>
          <w:tcPr>
            <w:tcW w:w="16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(4,168)</w:t>
            </w:r>
          </w:p>
        </w:tc>
      </w:tr>
      <w:tr>
        <w:trPr>
          <w:trHeight w:val="213"/>
        </w:trPr>
        <w:tc>
          <w:tcPr>
            <w:tcW w:w="6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Disposal</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(203,884)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(203,884)</w:t>
            </w:r>
          </w:p>
        </w:tc>
      </w:tr>
      <w:tr>
        <w:trPr>
          <w:trHeight w:val="199"/>
        </w:trPr>
        <w:tc>
          <w:tcPr>
            <w:tcW w:w="6320" w:type="dxa"/>
            <w:vAlign w:val="bottom"/>
            <w:tcBorders>
              <w:top w:val="single" w:sz="8" w:color="E5FFFF"/>
            </w:tcBorders>
            <w:gridSpan w:val="4"/>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2,150,844</w:t>
            </w:r>
          </w:p>
        </w:tc>
        <w:tc>
          <w:tcPr>
            <w:tcW w:w="24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5,612</w:t>
            </w:r>
          </w:p>
        </w:tc>
        <w:tc>
          <w:tcPr>
            <w:tcW w:w="2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2,156,456</w:t>
            </w:r>
          </w:p>
        </w:tc>
        <w:tc>
          <w:tcPr>
            <w:tcW w:w="100" w:type="dxa"/>
            <w:vAlign w:val="bottom"/>
            <w:tcBorders>
              <w:top w:val="single" w:sz="8" w:color="E5FFFF"/>
            </w:tcBorders>
            <w:shd w:val="clear" w:color="auto" w:fill="E5FFFF"/>
          </w:tcPr>
          <w:p>
            <w:pPr>
              <w:spacing w:after="0"/>
              <w:rPr>
                <w:sz w:val="17"/>
                <w:szCs w:val="17"/>
                <w:color w:val="auto"/>
              </w:rPr>
            </w:pPr>
          </w:p>
        </w:tc>
      </w:tr>
      <w:tr>
        <w:trPr>
          <w:trHeight w:val="209"/>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320" w:type="dxa"/>
            <w:vAlign w:val="bottom"/>
            <w:gridSpan w:val="4"/>
            <w:shd w:val="clear" w:color="auto" w:fill="E5FF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Accumulated depreciation and impairment loss</w:t>
            </w:r>
          </w:p>
        </w:tc>
        <w:tc>
          <w:tcPr>
            <w:tcW w:w="1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3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As of January 1, 2023</w:t>
            </w:r>
          </w:p>
        </w:tc>
        <w:tc>
          <w:tcPr>
            <w:tcW w:w="3040" w:type="dxa"/>
            <w:vAlign w:val="bottom"/>
            <w:tcBorders>
              <w:top w:val="single" w:sz="8" w:color="E5FFFF"/>
            </w:tcBorders>
          </w:tcPr>
          <w:p>
            <w:pPr>
              <w:spacing w:after="0"/>
              <w:rPr>
                <w:sz w:val="17"/>
                <w:szCs w:val="17"/>
                <w:color w:val="auto"/>
              </w:rPr>
            </w:pPr>
          </w:p>
        </w:tc>
        <w:tc>
          <w:tcPr>
            <w:tcW w:w="1700" w:type="dxa"/>
            <w:vAlign w:val="bottom"/>
            <w:tcBorders>
              <w:top w:val="single" w:sz="8" w:color="E5FF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686,737</w:t>
            </w:r>
          </w:p>
        </w:tc>
        <w:tc>
          <w:tcPr>
            <w:tcW w:w="1660" w:type="dxa"/>
            <w:vAlign w:val="bottom"/>
            <w:tcBorders>
              <w:top w:val="single" w:sz="8" w:color="E5FFFF"/>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E5FF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686,737</w:t>
            </w:r>
          </w:p>
        </w:tc>
      </w:tr>
      <w:tr>
        <w:trPr>
          <w:trHeight w:val="203"/>
        </w:trPr>
        <w:tc>
          <w:tcPr>
            <w:tcW w:w="6320" w:type="dxa"/>
            <w:vAlign w:val="bottom"/>
            <w:gridSpan w:val="4"/>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7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15,677</w:t>
            </w:r>
          </w:p>
        </w:tc>
        <w:tc>
          <w:tcPr>
            <w:tcW w:w="16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15,677</w:t>
            </w:r>
          </w:p>
        </w:tc>
      </w:tr>
      <w:tr>
        <w:trPr>
          <w:trHeight w:val="213"/>
        </w:trPr>
        <w:tc>
          <w:tcPr>
            <w:tcW w:w="6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Disposal</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(53,542)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(53,542)</w:t>
            </w:r>
          </w:p>
        </w:tc>
      </w:tr>
      <w:tr>
        <w:trPr>
          <w:trHeight w:val="199"/>
        </w:trPr>
        <w:tc>
          <w:tcPr>
            <w:tcW w:w="6320" w:type="dxa"/>
            <w:vAlign w:val="bottom"/>
            <w:tcBorders>
              <w:top w:val="single" w:sz="8" w:color="E5FFFF"/>
            </w:tcBorders>
            <w:gridSpan w:val="4"/>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648,872</w:t>
            </w:r>
          </w:p>
        </w:tc>
        <w:tc>
          <w:tcPr>
            <w:tcW w:w="24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648,872</w:t>
            </w:r>
          </w:p>
        </w:tc>
        <w:tc>
          <w:tcPr>
            <w:tcW w:w="100" w:type="dxa"/>
            <w:vAlign w:val="bottom"/>
            <w:tcBorders>
              <w:top w:val="single" w:sz="8" w:color="E5FFFF"/>
            </w:tcBorders>
            <w:shd w:val="clear" w:color="auto" w:fill="E5FFFF"/>
          </w:tcPr>
          <w:p>
            <w:pPr>
              <w:spacing w:after="0"/>
              <w:rPr>
                <w:sz w:val="17"/>
                <w:szCs w:val="17"/>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6320" w:type="dxa"/>
            <w:vAlign w:val="bottom"/>
            <w:gridSpan w:val="4"/>
            <w:shd w:val="clear" w:color="auto" w:fill="E5FF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book value</w:t>
            </w:r>
          </w:p>
        </w:tc>
        <w:tc>
          <w:tcPr>
            <w:tcW w:w="14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46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46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0"/>
        </w:trPr>
        <w:tc>
          <w:tcPr>
            <w:tcW w:w="32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auto"/>
            </w:tcBorders>
            <w:shd w:val="clear" w:color="auto" w:fill="E5FFFF"/>
          </w:tcPr>
          <w:p>
            <w:pPr>
              <w:spacing w:after="0" w:line="20" w:lineRule="exact"/>
              <w:rPr>
                <w:sz w:val="1"/>
                <w:szCs w:val="1"/>
                <w:color w:val="auto"/>
              </w:rPr>
            </w:pPr>
          </w:p>
        </w:tc>
        <w:tc>
          <w:tcPr>
            <w:tcW w:w="2240" w:type="dxa"/>
            <w:vAlign w:val="bottom"/>
            <w:tcBorders>
              <w:top w:val="single" w:sz="8" w:color="E5FFFF"/>
            </w:tcBorders>
            <w:shd w:val="clear" w:color="auto" w:fill="E5FFFF"/>
          </w:tcPr>
          <w:p>
            <w:pPr>
              <w:spacing w:after="0" w:line="20" w:lineRule="exact"/>
              <w:rPr>
                <w:sz w:val="1"/>
                <w:szCs w:val="1"/>
                <w:color w:val="auto"/>
              </w:rPr>
            </w:pPr>
          </w:p>
        </w:tc>
        <w:tc>
          <w:tcPr>
            <w:tcW w:w="304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24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r>
      <w:tr>
        <w:trPr>
          <w:trHeight w:val="214"/>
        </w:trPr>
        <w:tc>
          <w:tcPr>
            <w:tcW w:w="63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1,672,159</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5,612</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1,677,771</w:t>
            </w:r>
          </w:p>
        </w:tc>
      </w:tr>
      <w:tr>
        <w:trPr>
          <w:trHeight w:val="210"/>
        </w:trPr>
        <w:tc>
          <w:tcPr>
            <w:tcW w:w="632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1,501,972</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5,612</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1,507,584</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402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4025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All vessels have been pledged as collateral under the terms of the Partnership’s credit facilities.</w:t>
      </w:r>
    </w:p>
    <w:p>
      <w:pPr>
        <w:spacing w:after="0" w:line="233"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6"/>
          <w:szCs w:val="16"/>
          <w:color w:val="auto"/>
        </w:rPr>
        <w:t xml:space="preserve">On March 30, 2023, GAS-five Ltd. completed the sale and lease-back of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xml:space="preserve"> with a wholly owned subsidiary of China Development Bank Leasing Co., Ltd. (“CDBL”) (Note 5). All criteria outlined by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xml:space="preserve"> were deemed to have been met and as a result, the carrying amount of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xml:space="preserve"> ($150,342) was reclassified as “Vessel held for sale” (within current assets) and remeasured at the lower between carrying amount and fair value less costs to sell, resulting in the recognition of an impairment loss of $142 in the three months ended March 31, 2023. Upon completion of the transaction, a loss on disposal of $1,033 was also recognized in profit or loss.</w:t>
      </w:r>
    </w:p>
    <w:p>
      <w:pPr>
        <w:spacing w:after="0" w:line="184" w:lineRule="exact"/>
        <w:rPr>
          <w:sz w:val="20"/>
          <w:szCs w:val="20"/>
          <w:color w:val="auto"/>
        </w:rPr>
      </w:pPr>
    </w:p>
    <w:p>
      <w:pPr>
        <w:ind w:right="100" w:firstLine="324"/>
        <w:spacing w:after="0" w:line="298" w:lineRule="auto"/>
        <w:rPr>
          <w:sz w:val="20"/>
          <w:szCs w:val="20"/>
          <w:color w:val="auto"/>
        </w:rPr>
      </w:pPr>
      <w:r>
        <w:rPr>
          <w:rFonts w:ascii="Times New Roman" w:cs="Times New Roman" w:eastAsia="Times New Roman" w:hAnsi="Times New Roman"/>
          <w:sz w:val="16"/>
          <w:szCs w:val="16"/>
          <w:color w:val="auto"/>
        </w:rPr>
        <w:t>As of March 31, 2023, the Partnership concluded that there were no events or circumstances triggering the existence of potential impairment or reversal of impairment of its vessels.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Leases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movements in right-of-use assets are reported in the following table:</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8" w:name="page29"/>
    <w:bookmarkEnd w:id="28"/>
    <w:p>
      <w:pPr>
        <w:spacing w:after="0" w:line="20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Right-of-Use Assets</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As of January 1, 2023</w:t>
      </w:r>
    </w:p>
    <w:p>
      <w:pPr>
        <w:spacing w:after="0" w:line="2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Additions, net</w:t>
      </w:r>
    </w:p>
    <w:p>
      <w:pPr>
        <w:spacing w:after="0" w:line="3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Depreciation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As of March 31, 2023</w:t>
      </w: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 analysis of the lease liabilities is as follows:</w:t>
      </w:r>
    </w:p>
    <w:p>
      <w:pPr>
        <w:spacing w:after="0" w:line="200" w:lineRule="exact"/>
        <w:rPr>
          <w:sz w:val="20"/>
          <w:szCs w:val="20"/>
          <w:color w:val="auto"/>
        </w:rPr>
      </w:pPr>
    </w:p>
    <w:p>
      <w:pPr>
        <w:spacing w:after="0" w:line="2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b w:val="1"/>
          <w:bCs w:val="1"/>
          <w:color w:val="auto"/>
        </w:rPr>
        <w:t>As of January 1, 2023</w:t>
      </w:r>
    </w:p>
    <w:p>
      <w:pPr>
        <w:spacing w:after="0" w:line="3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Additions, net</w:t>
      </w:r>
    </w:p>
    <w:p>
      <w:pPr>
        <w:spacing w:after="0" w:line="3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Interest expense on leases (Note 13)</w:t>
      </w:r>
    </w:p>
    <w:p>
      <w:pPr>
        <w:spacing w:after="0" w:line="3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Payments</w:t>
      </w:r>
    </w:p>
    <w:p>
      <w:pPr>
        <w:spacing w:after="0" w:line="3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b w:val="1"/>
          <w:bCs w:val="1"/>
          <w:color w:val="auto"/>
        </w:rPr>
        <w:t>As of March 31, 2023</w:t>
      </w:r>
    </w:p>
    <w:p>
      <w:pPr>
        <w:spacing w:after="0" w:line="3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Lease liabilities—current portion</w:t>
      </w:r>
    </w:p>
    <w:p>
      <w:pPr>
        <w:spacing w:after="0" w:line="3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Lease liabilities—non-current portion</w:t>
      </w:r>
    </w:p>
    <w:p>
      <w:pPr>
        <w:spacing w:after="0" w:line="3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Vessels’</w:t>
            </w:r>
          </w:p>
        </w:tc>
        <w:tc>
          <w:tcPr>
            <w:tcW w:w="1340" w:type="dxa"/>
            <w:vAlign w:val="bottom"/>
          </w:tcPr>
          <w:p>
            <w:pPr>
              <w:spacing w:after="0"/>
              <w:rPr>
                <w:sz w:val="17"/>
                <w:szCs w:val="17"/>
                <w:color w:val="auto"/>
              </w:rPr>
            </w:pPr>
          </w:p>
        </w:tc>
      </w:tr>
      <w:tr>
        <w:trPr>
          <w:trHeight w:val="215"/>
        </w:trPr>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Vessels</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13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93,158</w:t>
            </w:r>
          </w:p>
        </w:tc>
        <w:tc>
          <w:tcPr>
            <w:tcW w:w="240" w:type="dxa"/>
            <w:vAlign w:val="bottom"/>
          </w:tcPr>
          <w:p>
            <w:pPr>
              <w:spacing w:after="0"/>
              <w:rPr>
                <w:sz w:val="17"/>
                <w:szCs w:val="17"/>
                <w:color w:val="auto"/>
              </w:rPr>
            </w:pP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167</w:t>
            </w:r>
          </w:p>
        </w:tc>
        <w:tc>
          <w:tcPr>
            <w:tcW w:w="240" w:type="dxa"/>
            <w:vAlign w:val="bottom"/>
          </w:tcPr>
          <w:p>
            <w:pPr>
              <w:spacing w:after="0"/>
              <w:rPr>
                <w:sz w:val="17"/>
                <w:szCs w:val="17"/>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93,325</w:t>
            </w:r>
          </w:p>
        </w:tc>
      </w:tr>
      <w:tr>
        <w:trPr>
          <w:trHeight w:val="210"/>
        </w:trPr>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67,089</w:t>
            </w:r>
          </w:p>
        </w:tc>
        <w:tc>
          <w:tcPr>
            <w:tcW w:w="24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67,134</w:t>
            </w:r>
          </w:p>
        </w:tc>
      </w:tr>
      <w:tr>
        <w:trPr>
          <w:trHeight w:val="219"/>
        </w:trPr>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(6,972)</w:t>
            </w:r>
          </w:p>
        </w:tc>
        <w:tc>
          <w:tcPr>
            <w:tcW w:w="240" w:type="dxa"/>
            <w:vAlign w:val="bottom"/>
          </w:tcPr>
          <w:p>
            <w:pPr>
              <w:spacing w:after="0"/>
              <w:rPr>
                <w:sz w:val="19"/>
                <w:szCs w:val="19"/>
                <w:color w:val="auto"/>
              </w:rPr>
            </w:pP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(7,035)</w:t>
            </w:r>
          </w:p>
        </w:tc>
      </w:tr>
      <w:tr>
        <w:trPr>
          <w:trHeight w:val="223"/>
        </w:trPr>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153,275</w:t>
            </w:r>
          </w:p>
        </w:tc>
        <w:tc>
          <w:tcPr>
            <w:tcW w:w="240" w:type="dxa"/>
            <w:vAlign w:val="bottom"/>
          </w:tcPr>
          <w:p>
            <w:pPr>
              <w:spacing w:after="0"/>
              <w:rPr>
                <w:sz w:val="19"/>
                <w:szCs w:val="19"/>
                <w:color w:val="auto"/>
              </w:rPr>
            </w:pP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149</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153,424</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-316230</wp:posOffset>
            </wp:positionV>
            <wp:extent cx="498919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-591185</wp:posOffset>
            </wp:positionV>
            <wp:extent cx="498919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Lease Liabilities</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62,569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-114935</wp:posOffset>
            </wp:positionV>
            <wp:extent cx="49631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63160" cy="137160"/>
                    </a:xfrm>
                    <a:prstGeom prst="rect">
                      <a:avLst/>
                    </a:prstGeom>
                    <a:noFill/>
                  </pic:spPr>
                </pic:pic>
              </a:graphicData>
            </a:graphic>
          </wp:anchor>
        </w:drawing>
      </w:r>
    </w:p>
    <w:p>
      <w:pPr>
        <w:spacing w:after="0" w:line="1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54,582</w:t>
      </w:r>
    </w:p>
    <w:p>
      <w:pPr>
        <w:spacing w:after="0" w:line="32"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6"/>
          <w:szCs w:val="16"/>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-116205</wp:posOffset>
            </wp:positionV>
            <wp:extent cx="496316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63160" cy="137160"/>
                    </a:xfrm>
                    <a:prstGeom prst="rect">
                      <a:avLst/>
                    </a:prstGeom>
                    <a:noFill/>
                  </pic:spPr>
                </pic:pic>
              </a:graphicData>
            </a:graphic>
          </wp:anchor>
        </w:drawing>
      </w:r>
    </w:p>
    <w:p>
      <w:pPr>
        <w:spacing w:after="0" w:line="12"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6"/>
          <w:szCs w:val="16"/>
          <w:color w:val="auto"/>
        </w:rPr>
        <w:t>(2,711)</w:t>
      </w:r>
    </w:p>
    <w:p>
      <w:pPr>
        <w:spacing w:after="0" w:line="30"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6"/>
          <w:szCs w:val="16"/>
          <w:b w:val="1"/>
          <w:bCs w:val="1"/>
          <w:color w:val="auto"/>
        </w:rPr>
        <w:t>114,774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-114935</wp:posOffset>
            </wp:positionV>
            <wp:extent cx="496316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63160" cy="137160"/>
                    </a:xfrm>
                    <a:prstGeom prst="rect">
                      <a:avLst/>
                    </a:prstGeom>
                    <a:noFill/>
                  </pic:spPr>
                </pic:pic>
              </a:graphicData>
            </a:graphic>
          </wp:anchor>
        </w:drawing>
      </w:r>
    </w:p>
    <w:p>
      <w:pPr>
        <w:spacing w:after="0" w:line="14"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6"/>
          <w:szCs w:val="16"/>
          <w:color w:val="auto"/>
        </w:rPr>
        <w:t>27,916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-116205</wp:posOffset>
            </wp:positionV>
            <wp:extent cx="12172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2"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6"/>
          <w:szCs w:val="16"/>
          <w:color w:val="auto"/>
        </w:rPr>
        <w:t>86,858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-116205</wp:posOffset>
            </wp:positionV>
            <wp:extent cx="496316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63160" cy="145415"/>
                    </a:xfrm>
                    <a:prstGeom prst="rect">
                      <a:avLst/>
                    </a:prstGeom>
                    <a:noFill/>
                  </pic:spPr>
                </pic:pic>
              </a:graphicData>
            </a:graphic>
          </wp:anchor>
        </w:drawing>
      </w:r>
    </w:p>
    <w:p>
      <w:pPr>
        <w:spacing w:after="0" w:line="3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114,774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21590</wp:posOffset>
            </wp:positionV>
            <wp:extent cx="12172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38735</wp:posOffset>
            </wp:positionV>
            <wp:extent cx="12172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00"/>
            <w:col w:w="6340"/>
          </w:cols>
          <w:pgMar w:left="320" w:top="907" w:right="459" w:bottom="1440" w:gutter="0" w:footer="0" w:header="0"/>
        </w:sectPr>
      </w:pPr>
    </w:p>
    <w:p>
      <w:pPr>
        <w:spacing w:after="0" w:line="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6"/>
          <w:szCs w:val="16"/>
          <w:color w:val="auto"/>
        </w:rPr>
        <w:t xml:space="preserve">On March 30, 2023, GasLog Partners completed the sale and lease-back of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xml:space="preserve"> with a wholly-owned subsidiary of CDBL. The vessel was sold to CDBL for $140,000 and leased back under a bareboat charter for a period of five years with no repurchase option or obligation. This sale and lease-back met the definition of a lease under IFRS 16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resulting in the recognition of a right-of-use asset of $67,779 and a corresponding lease liability of $55,800.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Partners’ Equity</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Partnership’s cash distributions in the three months ended March 31, 2023 are presented in the following table:</w:t>
      </w:r>
    </w:p>
    <w:p>
      <w:pPr>
        <w:spacing w:after="0" w:line="200" w:lineRule="exact"/>
        <w:rPr>
          <w:sz w:val="20"/>
          <w:szCs w:val="20"/>
          <w:color w:val="auto"/>
        </w:rPr>
      </w:pPr>
    </w:p>
    <w:p>
      <w:pPr>
        <w:spacing w:after="0" w:line="249"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Type of units</w:t>
            </w:r>
          </w:p>
        </w:tc>
        <w:tc>
          <w:tcPr>
            <w:tcW w:w="300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Distribution per unit</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 paid</w:t>
            </w:r>
          </w:p>
        </w:tc>
      </w:tr>
      <w:tr>
        <w:trPr>
          <w:trHeight w:val="199"/>
        </w:trPr>
        <w:tc>
          <w:tcPr>
            <w:tcW w:w="1660" w:type="dxa"/>
            <w:vAlign w:val="bottom"/>
            <w:tcBorders>
              <w:top w:val="single" w:sz="8" w:color="auto"/>
            </w:tcBorders>
            <w:shd w:val="clear" w:color="auto" w:fill="E5FFFF"/>
          </w:tcPr>
          <w:p>
            <w:pPr>
              <w:ind w:left="260"/>
              <w:spacing w:after="0"/>
              <w:rPr>
                <w:sz w:val="20"/>
                <w:szCs w:val="20"/>
                <w:color w:val="auto"/>
              </w:rPr>
            </w:pPr>
            <w:r>
              <w:rPr>
                <w:rFonts w:ascii="Times New Roman" w:cs="Times New Roman" w:eastAsia="Times New Roman" w:hAnsi="Times New Roman"/>
                <w:sz w:val="16"/>
                <w:szCs w:val="16"/>
                <w:color w:val="auto"/>
              </w:rPr>
              <w:t>January 25, 2023</w:t>
            </w:r>
          </w:p>
        </w:tc>
        <w:tc>
          <w:tcPr>
            <w:tcW w:w="100" w:type="dxa"/>
            <w:vAlign w:val="bottom"/>
            <w:tcBorders>
              <w:top w:val="single" w:sz="8" w:color="E5FFFF"/>
            </w:tcBorders>
            <w:shd w:val="clear" w:color="auto" w:fill="E5FFFF"/>
          </w:tcPr>
          <w:p>
            <w:pPr>
              <w:spacing w:after="0"/>
              <w:rPr>
                <w:sz w:val="17"/>
                <w:szCs w:val="17"/>
                <w:color w:val="auto"/>
              </w:rPr>
            </w:pPr>
          </w:p>
        </w:tc>
        <w:tc>
          <w:tcPr>
            <w:tcW w:w="228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Common</w:t>
            </w:r>
          </w:p>
        </w:tc>
        <w:tc>
          <w:tcPr>
            <w:tcW w:w="100" w:type="dxa"/>
            <w:vAlign w:val="bottom"/>
            <w:tcBorders>
              <w:top w:val="single" w:sz="8" w:color="E5FFFF"/>
            </w:tcBorders>
            <w:shd w:val="clear" w:color="auto" w:fill="E5FFFF"/>
          </w:tcPr>
          <w:p>
            <w:pPr>
              <w:spacing w:after="0"/>
              <w:rPr>
                <w:sz w:val="17"/>
                <w:szCs w:val="17"/>
                <w:color w:val="auto"/>
              </w:rPr>
            </w:pPr>
          </w:p>
        </w:tc>
        <w:tc>
          <w:tcPr>
            <w:tcW w:w="2920" w:type="dxa"/>
            <w:vAlign w:val="bottom"/>
            <w:tcBorders>
              <w:top w:val="single" w:sz="8" w:color="auto"/>
            </w:tcBorders>
            <w:shd w:val="clear" w:color="auto" w:fill="E5FFFF"/>
          </w:tcPr>
          <w:p>
            <w:pPr>
              <w:jc w:val="right"/>
              <w:ind w:right="1199"/>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Borders>
              <w:top w:val="single" w:sz="8" w:color="E5FFFF"/>
            </w:tcBorders>
            <w:shd w:val="clear" w:color="auto" w:fill="E5FFFF"/>
          </w:tcPr>
          <w:p>
            <w:pPr>
              <w:spacing w:after="0"/>
              <w:rPr>
                <w:sz w:val="17"/>
                <w:szCs w:val="17"/>
                <w:color w:val="auto"/>
              </w:rPr>
            </w:pPr>
          </w:p>
        </w:tc>
        <w:tc>
          <w:tcPr>
            <w:tcW w:w="186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February 9, 2023</w:t>
            </w:r>
          </w:p>
        </w:tc>
        <w:tc>
          <w:tcPr>
            <w:tcW w:w="10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13"/>
        </w:trPr>
        <w:tc>
          <w:tcPr>
            <w:tcW w:w="1760" w:type="dxa"/>
            <w:vAlign w:val="bottom"/>
            <w:tcBorders>
              <w:bottom w:val="single" w:sz="8" w:color="E5FF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January 25, 2023</w:t>
            </w:r>
          </w:p>
        </w:tc>
        <w:tc>
          <w:tcPr>
            <w:tcW w:w="2380" w:type="dxa"/>
            <w:vAlign w:val="bottom"/>
            <w:tcBorders>
              <w:bottom w:val="single" w:sz="8" w:color="E5FF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Preference (Series A, B, C)</w:t>
            </w:r>
          </w:p>
        </w:tc>
        <w:tc>
          <w:tcPr>
            <w:tcW w:w="2920" w:type="dxa"/>
            <w:vAlign w:val="bottom"/>
            <w:tcBorders>
              <w:bottom w:val="single" w:sz="8" w:color="E5FFFF"/>
            </w:tcBorders>
          </w:tcPr>
          <w:p>
            <w:pPr>
              <w:jc w:val="right"/>
              <w:ind w:right="339"/>
              <w:spacing w:after="0"/>
              <w:rPr>
                <w:sz w:val="20"/>
                <w:szCs w:val="20"/>
                <w:color w:val="auto"/>
              </w:rPr>
            </w:pPr>
            <w:r>
              <w:rPr>
                <w:rFonts w:ascii="Times New Roman" w:cs="Times New Roman" w:eastAsia="Times New Roman" w:hAnsi="Times New Roman"/>
                <w:sz w:val="16"/>
                <w:szCs w:val="16"/>
                <w:color w:val="auto"/>
              </w:rPr>
              <w:t>$0.5390625, $0.5125, $0.53125</w:t>
            </w:r>
          </w:p>
        </w:tc>
        <w:tc>
          <w:tcPr>
            <w:tcW w:w="80" w:type="dxa"/>
            <w:vAlign w:val="bottom"/>
            <w:tcBorders>
              <w:bottom w:val="single" w:sz="8" w:color="E5FFFF"/>
            </w:tcBorders>
          </w:tcPr>
          <w:p>
            <w:pPr>
              <w:spacing w:after="0"/>
              <w:rPr>
                <w:sz w:val="18"/>
                <w:szCs w:val="18"/>
                <w:color w:val="auto"/>
              </w:rPr>
            </w:pPr>
          </w:p>
        </w:tc>
        <w:tc>
          <w:tcPr>
            <w:tcW w:w="1960" w:type="dxa"/>
            <w:vAlign w:val="bottom"/>
            <w:tcBorders>
              <w:bottom w:val="single" w:sz="8" w:color="E5FF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15, 2023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6,159</w:t>
            </w:r>
          </w:p>
        </w:tc>
      </w:tr>
      <w:tr>
        <w:trPr>
          <w:trHeight w:val="223"/>
        </w:trPr>
        <w:tc>
          <w:tcPr>
            <w:tcW w:w="166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E5FFFF"/>
            </w:tcBorders>
            <w:shd w:val="clear" w:color="auto" w:fill="E5FFFF"/>
          </w:tcPr>
          <w:p>
            <w:pPr>
              <w:spacing w:after="0"/>
              <w:rPr>
                <w:sz w:val="19"/>
                <w:szCs w:val="19"/>
                <w:color w:val="auto"/>
              </w:rPr>
            </w:pPr>
          </w:p>
        </w:tc>
        <w:tc>
          <w:tcPr>
            <w:tcW w:w="228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E5FFFF"/>
            </w:tcBorders>
            <w:shd w:val="clear" w:color="auto" w:fill="E5FFFF"/>
          </w:tcPr>
          <w:p>
            <w:pPr>
              <w:spacing w:after="0"/>
              <w:rPr>
                <w:sz w:val="19"/>
                <w:szCs w:val="19"/>
                <w:color w:val="auto"/>
              </w:rPr>
            </w:pPr>
          </w:p>
        </w:tc>
        <w:tc>
          <w:tcPr>
            <w:tcW w:w="2920" w:type="dxa"/>
            <w:vAlign w:val="bottom"/>
            <w:tcBorders>
              <w:bottom w:val="single" w:sz="8" w:color="E5FFFF"/>
            </w:tcBorders>
            <w:shd w:val="clear" w:color="auto" w:fill="E5FFFF"/>
          </w:tcPr>
          <w:p>
            <w:pPr>
              <w:spacing w:after="0"/>
              <w:rPr>
                <w:sz w:val="19"/>
                <w:szCs w:val="19"/>
                <w:color w:val="auto"/>
              </w:rPr>
            </w:pPr>
          </w:p>
        </w:tc>
        <w:tc>
          <w:tcPr>
            <w:tcW w:w="80" w:type="dxa"/>
            <w:vAlign w:val="bottom"/>
            <w:tcBorders>
              <w:bottom w:val="single" w:sz="8" w:color="E5FFFF"/>
            </w:tcBorders>
            <w:shd w:val="clear" w:color="auto" w:fill="E5FFFF"/>
          </w:tcPr>
          <w:p>
            <w:pPr>
              <w:spacing w:after="0"/>
              <w:rPr>
                <w:sz w:val="19"/>
                <w:szCs w:val="19"/>
                <w:color w:val="auto"/>
              </w:rPr>
            </w:pPr>
          </w:p>
        </w:tc>
        <w:tc>
          <w:tcPr>
            <w:tcW w:w="1960" w:type="dxa"/>
            <w:vAlign w:val="bottom"/>
            <w:tcBorders>
              <w:bottom w:val="single" w:sz="8" w:color="E5FFFF"/>
            </w:tcBorders>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$6,687</w:t>
            </w: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98" w:lineRule="auto"/>
        <w:rPr>
          <w:sz w:val="20"/>
          <w:szCs w:val="20"/>
          <w:color w:val="auto"/>
        </w:rPr>
      </w:pPr>
      <w:r>
        <w:rPr>
          <w:rFonts w:ascii="Times New Roman" w:cs="Times New Roman" w:eastAsia="Times New Roman" w:hAnsi="Times New Roman"/>
          <w:sz w:val="16"/>
          <w:szCs w:val="16"/>
          <w:color w:val="auto"/>
        </w:rPr>
        <w:t>Since March 15, 2023, the Series B Preference Units are redeemable, wholly or partially, at our option, while distributions have been accruing based on a floating rate equal to three-month USD London Interbank Offered Rate (“LIBOR”) plus a spread of 5.839% per annum per preference unit.</w:t>
      </w:r>
    </w:p>
    <w:p>
      <w:pPr>
        <w:spacing w:after="0" w:line="164" w:lineRule="exact"/>
        <w:rPr>
          <w:sz w:val="20"/>
          <w:szCs w:val="20"/>
          <w:color w:val="auto"/>
        </w:rPr>
      </w:pPr>
    </w:p>
    <w:p>
      <w:pPr>
        <w:ind w:right="700" w:firstLine="324"/>
        <w:spacing w:after="0" w:line="298" w:lineRule="auto"/>
        <w:rPr>
          <w:sz w:val="20"/>
          <w:szCs w:val="20"/>
          <w:color w:val="auto"/>
        </w:rPr>
      </w:pPr>
      <w:r>
        <w:rPr>
          <w:rFonts w:ascii="Times New Roman" w:cs="Times New Roman" w:eastAsia="Times New Roman" w:hAnsi="Times New Roman"/>
          <w:sz w:val="16"/>
          <w:szCs w:val="16"/>
          <w:color w:val="auto"/>
        </w:rPr>
        <w:t>On April 3, 2023, GasLog Partners issued 108,894 common units in connection with the vesting of 92,805 Restricted Common Units (“RCUs”) and 16,089 Performance Common Units (“PCUs”) under its 2015 Long-Term Incentive Plan (the “2015 Plan”) (Note 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7. Borrowings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8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836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Amounts due within one year</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93,964</w:t>
            </w:r>
          </w:p>
        </w:tc>
        <w:tc>
          <w:tcPr>
            <w:tcW w:w="10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227,444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deferred loan issuance costs</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(3,606)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83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Borrowings – current portion</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90,358</w:t>
            </w:r>
          </w:p>
        </w:tc>
        <w:tc>
          <w:tcPr>
            <w:tcW w:w="10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224,199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Amounts due after one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837,186</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586,219</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3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Less: unamortized deferred loan issuance costs</w:t>
            </w:r>
          </w:p>
        </w:tc>
        <w:tc>
          <w:tcPr>
            <w:tcW w:w="14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(5,598)</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3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Borrowings – non-current portion</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831,588</w:t>
            </w:r>
          </w:p>
        </w:tc>
        <w:tc>
          <w:tcPr>
            <w:tcW w:w="10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581,390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36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921,946</w:t>
            </w:r>
          </w:p>
        </w:tc>
        <w:tc>
          <w:tcPr>
            <w:tcW w:w="100" w:type="dxa"/>
            <w:vAlign w:val="bottom"/>
            <w:tcBorders>
              <w:bottom w:val="single" w:sz="8" w:color="E5FFFF"/>
            </w:tcBorders>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805,589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00" w:firstLine="324"/>
        <w:spacing w:after="0" w:line="298" w:lineRule="auto"/>
        <w:rPr>
          <w:sz w:val="20"/>
          <w:szCs w:val="20"/>
          <w:color w:val="auto"/>
        </w:rPr>
      </w:pPr>
      <w:r>
        <w:rPr>
          <w:rFonts w:ascii="Times New Roman" w:cs="Times New Roman" w:eastAsia="Times New Roman" w:hAnsi="Times New Roman"/>
          <w:sz w:val="16"/>
          <w:szCs w:val="16"/>
          <w:color w:val="auto"/>
        </w:rPr>
        <w:t>The main terms of the credit facilities, including financial covenants, have been disclosed in the annual consolidated financial statements for the year ended December 31, 2022. Refer to Note 7 “Borrowings”.</w:t>
      </w:r>
    </w:p>
    <w:p>
      <w:pPr>
        <w:spacing w:after="0" w:line="164"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6"/>
          <w:szCs w:val="16"/>
          <w:color w:val="auto"/>
        </w:rPr>
        <w:t>On March 30, 2023, the outstanding indebtedness of GAS-five Ltd. in the amount of $87,780 was prepaid pursuant to the sale and lease-back agreement entered into with a wholly-owned subsidiary of CDBL (refer to Note 5). The relevant advance of the loan agreement was cancelled and the respective unamortized loan fees of $229 written-off to the consolidated statement of profit or loss.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 the three months ended March 31, 2023, the Partnership repaid $29,707 in accordance with the repayment terms under its credit facilities.</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7" w:right="459" w:bottom="1440" w:gutter="0" w:footer="0" w:header="0"/>
          <w:type w:val="continuous"/>
        </w:sectPr>
      </w:pPr>
    </w:p>
    <w:bookmarkStart w:id="29" w:name="page30"/>
    <w:bookmarkEnd w:id="29"/>
    <w:p>
      <w:pPr>
        <w:ind w:left="340"/>
        <w:spacing w:after="0"/>
        <w:rPr>
          <w:sz w:val="20"/>
          <w:szCs w:val="20"/>
          <w:color w:val="auto"/>
        </w:rPr>
      </w:pPr>
      <w:r>
        <w:rPr>
          <w:rFonts w:ascii="Times New Roman" w:cs="Times New Roman" w:eastAsia="Times New Roman" w:hAnsi="Times New Roman"/>
          <w:sz w:val="16"/>
          <w:szCs w:val="16"/>
          <w:color w:val="auto"/>
        </w:rPr>
        <w:t>GasLog Partners was in compliance with its financial covenants as of March 31,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Other Payables and Accruals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 analysis of other payables and accruals is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Unearned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off-hire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interest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Revenues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Partnership has recognized the following amounts relating to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r>
      <w:tr>
        <w:trPr>
          <w:trHeight w:val="188"/>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30,991</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25,859</w:t>
            </w:r>
          </w:p>
        </w:tc>
        <w:tc>
          <w:tcPr>
            <w:tcW w:w="20" w:type="dxa"/>
            <w:vAlign w:val="bottom"/>
          </w:tcPr>
          <w:p>
            <w:pPr>
              <w:spacing w:after="0"/>
              <w:rPr>
                <w:sz w:val="16"/>
                <w:szCs w:val="16"/>
                <w:color w:val="auto"/>
              </w:rPr>
            </w:pPr>
          </w:p>
        </w:tc>
      </w:tr>
      <w:tr>
        <w:trPr>
          <w:trHeight w:val="210"/>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1,800</w:t>
            </w:r>
          </w:p>
        </w:tc>
      </w:tr>
      <w:tr>
        <w:trPr>
          <w:trHeight w:val="216"/>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4,696</w:t>
            </w:r>
          </w:p>
        </w:tc>
      </w:tr>
      <w:tr>
        <w:trPr>
          <w:trHeight w:val="216"/>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9,555</w:t>
            </w:r>
          </w:p>
        </w:tc>
      </w:tr>
      <w:tr>
        <w:trPr>
          <w:trHeight w:val="229"/>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8,618</w:t>
            </w:r>
          </w:p>
        </w:tc>
      </w:tr>
      <w:tr>
        <w:trPr>
          <w:trHeight w:val="223"/>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57,266</w:t>
            </w: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50,528</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32" w:lineRule="exact"/>
        <w:rPr>
          <w:sz w:val="20"/>
          <w:szCs w:val="20"/>
          <w:color w:val="auto"/>
        </w:rPr>
      </w:pPr>
    </w:p>
    <w:p>
      <w:pPr>
        <w:ind w:left="140"/>
        <w:spacing w:after="0"/>
        <w:tabs>
          <w:tab w:leader="none" w:pos="1500" w:val="left"/>
        </w:tabs>
        <w:rPr>
          <w:sz w:val="20"/>
          <w:szCs w:val="20"/>
          <w:color w:val="auto"/>
        </w:rPr>
      </w:pPr>
      <w:r>
        <w:rPr>
          <w:rFonts w:ascii="Times New Roman" w:cs="Times New Roman" w:eastAsia="Times New Roman" w:hAnsi="Times New Roman"/>
          <w:sz w:val="16"/>
          <w:szCs w:val="16"/>
          <w:b w:val="1"/>
          <w:bCs w:val="1"/>
          <w:color w:val="auto"/>
        </w:rPr>
        <w:t>March 31, 2022</w:t>
      </w:r>
      <w:r>
        <w:rPr>
          <w:sz w:val="20"/>
          <w:szCs w:val="20"/>
          <w:color w:val="auto"/>
        </w:rPr>
        <w:tab/>
      </w:r>
      <w:r>
        <w:rPr>
          <w:rFonts w:ascii="Times New Roman" w:cs="Times New Roman" w:eastAsia="Times New Roman" w:hAnsi="Times New Roman"/>
          <w:sz w:val="16"/>
          <w:szCs w:val="16"/>
          <w:b w:val="1"/>
          <w:bCs w:val="1"/>
          <w:color w:val="auto"/>
        </w:rPr>
        <w:t>March 31, 2023</w:t>
      </w:r>
    </w:p>
    <w:p>
      <w:pPr>
        <w:spacing w:after="0" w:line="28" w:lineRule="exact"/>
        <w:rPr>
          <w:sz w:val="20"/>
          <w:szCs w:val="20"/>
          <w:color w:val="auto"/>
        </w:rPr>
      </w:pPr>
    </w:p>
    <w:p>
      <w:pPr>
        <w:sectPr>
          <w:pgSz w:w="11900" w:h="16838" w:orient="portrait"/>
          <w:cols w:equalWidth="0" w:num="2">
            <w:col w:w="7740" w:space="720"/>
            <w:col w:w="2720"/>
          </w:cols>
          <w:pgMar w:left="320" w:top="909" w:right="399" w:bottom="1440" w:gutter="0" w:footer="0" w:header="0"/>
        </w:sectPr>
      </w:pPr>
    </w:p>
    <w:tbl>
      <w:tblPr>
        <w:tblLayout w:type="fixed"/>
        <w:tblInd w:w="0" w:type="dxa"/>
        <w:tblCellMar>
          <w:top w:w="0" w:type="dxa"/>
          <w:left w:w="0" w:type="dxa"/>
          <w:bottom w:w="0" w:type="dxa"/>
          <w:right w:w="0" w:type="dxa"/>
        </w:tblCellMar>
      </w:tblPr>
      <w:tr>
        <w:trPr>
          <w:trHeight w:val="202"/>
        </w:trPr>
        <w:tc>
          <w:tcPr>
            <w:tcW w:w="84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 from long-term time charters</w:t>
            </w: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49,534</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38,213</w:t>
            </w:r>
          </w:p>
        </w:tc>
      </w:tr>
      <w:tr>
        <w:trPr>
          <w:trHeight w:val="213"/>
        </w:trPr>
        <w:tc>
          <w:tcPr>
            <w:tcW w:w="84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Revenues from spot time charters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35,925</w:t>
            </w:r>
          </w:p>
        </w:tc>
        <w:tc>
          <w:tcPr>
            <w:tcW w:w="1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60,856</w:t>
            </w:r>
          </w:p>
        </w:tc>
      </w:tr>
      <w:tr>
        <w:trPr>
          <w:trHeight w:val="223"/>
        </w:trPr>
        <w:tc>
          <w:tcPr>
            <w:tcW w:w="846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85,459</w:t>
            </w:r>
          </w:p>
        </w:tc>
        <w:tc>
          <w:tcPr>
            <w:tcW w:w="100" w:type="dxa"/>
            <w:vAlign w:val="bottom"/>
            <w:tcBorders>
              <w:bottom w:val="single" w:sz="8" w:color="E5FFFF"/>
            </w:tcBorders>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99,069</w:t>
            </w:r>
          </w:p>
        </w:tc>
      </w:tr>
      <w:tr>
        <w:trPr>
          <w:trHeight w:val="20"/>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6"/>
          <w:szCs w:val="16"/>
          <w:color w:val="auto"/>
        </w:rPr>
        <w:t>The Partnership defines long-term time charters as charter party agreements with an initial duration of more than three years (excluding any optional periods), while all charter party agreements of an initial duration of less than (or equal to) three years (excluding any optional periods) are classified as spot time charters. Comparative figures have been retrospectively adjusted to reflect the revised presentation using an initial duration of less than three years (instead of less than five years), disclosed in the annual audited consolidated financial statements for the year ended December 31, 2022. Refer to Note 9 “Revenues”. This resulted in the reclassification of $4,182 from Revenues from spot time charters to Revenues from long-term time charters in the three months ended March 31, 2022.</w:t>
      </w:r>
    </w:p>
    <w:p>
      <w:pPr>
        <w:sectPr>
          <w:pgSz w:w="11900" w:h="16838" w:orient="portrait"/>
          <w:cols w:equalWidth="0" w:num="1">
            <w:col w:w="11180"/>
          </w:cols>
          <w:pgMar w:left="320" w:top="909" w:right="39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General and Administrative Expenses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 analysis of general and administrative expenses is as follows: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Administrative services fees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Commercial management fees (Note 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expenses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6374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63740" cy="16256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Vessel Operating Costs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 analysis of vessel operating costs is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Crew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Technical maintenance expenses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Derivative Financial Instruments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fair value of the Partnership’s derivative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06374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6374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assets carried at fair value through profit or loss (FVTPL)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rate swaps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188"/>
        </w:trPr>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20" w:type="dxa"/>
            <w:vAlign w:val="bottom"/>
          </w:tcPr>
          <w:p>
            <w:pPr>
              <w:spacing w:after="0"/>
              <w:rPr>
                <w:sz w:val="16"/>
                <w:szCs w:val="16"/>
                <w:color w:val="auto"/>
              </w:rPr>
            </w:pPr>
          </w:p>
        </w:tc>
      </w:tr>
      <w:tr>
        <w:trPr>
          <w:trHeight w:val="210"/>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1,229</w:t>
            </w:r>
          </w:p>
        </w:tc>
      </w:tr>
      <w:tr>
        <w:trPr>
          <w:trHeight w:val="216"/>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146</w:t>
            </w:r>
          </w:p>
        </w:tc>
      </w:tr>
      <w:tr>
        <w:trPr>
          <w:trHeight w:val="229"/>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2,023</w:t>
            </w:r>
          </w:p>
        </w:tc>
      </w:tr>
      <w:tr>
        <w:trPr>
          <w:trHeight w:val="223"/>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4,691</w:t>
            </w: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5,647</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188"/>
        </w:trPr>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10,350</w:t>
            </w:r>
          </w:p>
        </w:tc>
        <w:tc>
          <w:tcPr>
            <w:tcW w:w="10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8,858</w:t>
            </w:r>
          </w:p>
        </w:tc>
        <w:tc>
          <w:tcPr>
            <w:tcW w:w="20" w:type="dxa"/>
            <w:vAlign w:val="bottom"/>
          </w:tcPr>
          <w:p>
            <w:pPr>
              <w:spacing w:after="0"/>
              <w:rPr>
                <w:sz w:val="16"/>
                <w:szCs w:val="16"/>
                <w:color w:val="auto"/>
              </w:rPr>
            </w:pPr>
          </w:p>
        </w:tc>
      </w:tr>
      <w:tr>
        <w:trPr>
          <w:trHeight w:val="210"/>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3,382</w:t>
            </w:r>
          </w:p>
        </w:tc>
      </w:tr>
      <w:tr>
        <w:trPr>
          <w:trHeight w:val="229"/>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3,686</w:t>
            </w:r>
          </w:p>
        </w:tc>
      </w:tr>
      <w:tr>
        <w:trPr>
          <w:trHeight w:val="223"/>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18,574</w:t>
            </w: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15,926</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5"/>
        </w:trPr>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23"/>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w:t>
            </w:r>
          </w:p>
        </w:tc>
      </w:tr>
    </w:tbl>
    <w:p>
      <w:pPr>
        <w:spacing w:after="0" w:line="200" w:lineRule="exact"/>
        <w:rPr>
          <w:sz w:val="20"/>
          <w:szCs w:val="20"/>
          <w:color w:val="auto"/>
        </w:rPr>
      </w:pPr>
    </w:p>
    <w:p>
      <w:pPr>
        <w:sectPr>
          <w:pgSz w:w="11900" w:h="16838" w:orient="portrait"/>
          <w:cols w:equalWidth="0" w:num="2">
            <w:col w:w="7740" w:space="720"/>
            <w:col w:w="2720"/>
          </w:cols>
          <w:pgMar w:left="320" w:top="909" w:right="399" w:bottom="1440" w:gutter="0" w:footer="0" w:header="0"/>
          <w:type w:val="continuous"/>
        </w:sect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9" w:right="39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84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Forward foreign exchange contracts</w:t>
            </w:r>
          </w:p>
        </w:tc>
        <w:tc>
          <w:tcPr>
            <w:tcW w:w="14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60"/>
        </w:trPr>
        <w:tc>
          <w:tcPr>
            <w:tcW w:w="84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3,576</w:t>
            </w:r>
          </w:p>
        </w:tc>
        <w:tc>
          <w:tcPr>
            <w:tcW w:w="100" w:type="dxa"/>
            <w:vAlign w:val="bottom"/>
            <w:tcBorders>
              <w:bottom w:val="single" w:sz="8" w:color="E5FF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2,880</w:t>
            </w:r>
          </w:p>
        </w:tc>
      </w:tr>
      <w:tr>
        <w:trPr>
          <w:trHeight w:val="186"/>
        </w:trPr>
        <w:tc>
          <w:tcPr>
            <w:tcW w:w="8460" w:type="dxa"/>
            <w:vAlign w:val="bottom"/>
            <w:shd w:val="clear" w:color="auto" w:fill="E5FFFF"/>
          </w:tcPr>
          <w:p>
            <w:pPr>
              <w:spacing w:after="0" w:line="180" w:lineRule="exact"/>
              <w:rPr>
                <w:sz w:val="20"/>
                <w:szCs w:val="20"/>
                <w:color w:val="auto"/>
              </w:rPr>
            </w:pPr>
            <w:r>
              <w:rPr>
                <w:rFonts w:ascii="Times New Roman" w:cs="Times New Roman" w:eastAsia="Times New Roman" w:hAnsi="Times New Roman"/>
                <w:sz w:val="16"/>
                <w:szCs w:val="16"/>
                <w:color w:val="auto"/>
              </w:rPr>
              <w:t>Derivative financial instruments, current assets</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00" w:type="dxa"/>
            <w:vAlign w:val="bottom"/>
            <w:shd w:val="clear" w:color="auto" w:fill="E5FFFF"/>
          </w:tcPr>
          <w:p>
            <w:pPr>
              <w:spacing w:after="0"/>
              <w:rPr>
                <w:sz w:val="16"/>
                <w:szCs w:val="16"/>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2,438</w:t>
            </w:r>
          </w:p>
        </w:tc>
      </w:tr>
      <w:tr>
        <w:trPr>
          <w:trHeight w:val="210"/>
        </w:trPr>
        <w:tc>
          <w:tcPr>
            <w:tcW w:w="84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assets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26"/>
        </w:trPr>
        <w:tc>
          <w:tcPr>
            <w:tcW w:w="846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3,576</w:t>
            </w:r>
          </w:p>
        </w:tc>
        <w:tc>
          <w:tcPr>
            <w:tcW w:w="100" w:type="dxa"/>
            <w:vAlign w:val="bottom"/>
            <w:tcBorders>
              <w:bottom w:val="single" w:sz="8" w:color="E5FFFF"/>
            </w:tcBorders>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2,880</w:t>
            </w:r>
          </w:p>
        </w:tc>
      </w:tr>
      <w:tr>
        <w:trPr>
          <w:trHeight w:val="20"/>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Interest rate swap agreements</w:t>
      </w:r>
    </w:p>
    <w:p>
      <w:pPr>
        <w:spacing w:after="0" w:line="237" w:lineRule="exact"/>
        <w:rPr>
          <w:sz w:val="20"/>
          <w:szCs w:val="20"/>
          <w:color w:val="auto"/>
        </w:rPr>
      </w:pPr>
    </w:p>
    <w:p>
      <w:pPr>
        <w:ind w:right="280" w:firstLine="324"/>
        <w:spacing w:after="0" w:line="275" w:lineRule="auto"/>
        <w:rPr>
          <w:sz w:val="20"/>
          <w:szCs w:val="20"/>
          <w:color w:val="auto"/>
        </w:rPr>
      </w:pPr>
      <w:r>
        <w:rPr>
          <w:rFonts w:ascii="Times New Roman" w:cs="Times New Roman" w:eastAsia="Times New Roman" w:hAnsi="Times New Roman"/>
          <w:sz w:val="16"/>
          <w:szCs w:val="16"/>
          <w:color w:val="auto"/>
        </w:rPr>
        <w:t>The Partnership enters into interest rate swap agreements which convert the floating interest rate exposure into a fixed interest rate in order to economically hedge a portion of the Partnership’s exposure to fluctuations in prevailing market interest rates. Under the interest rate swaps, the counterparty effects quarterly floating-rate payments to the Partnership for the notional amount based on the three-month LIBOR, and the Partnership effects quarterly payments to the counterparty on the notional amount at the respective fixed rates.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Interest rate swaps held for trading</w:t>
      </w:r>
    </w:p>
    <w:p>
      <w:pPr>
        <w:spacing w:after="0" w:line="239" w:lineRule="exact"/>
        <w:rPr>
          <w:sz w:val="20"/>
          <w:szCs w:val="20"/>
          <w:color w:val="auto"/>
        </w:rPr>
      </w:pPr>
    </w:p>
    <w:p>
      <w:pPr>
        <w:ind w:right="340" w:firstLine="324"/>
        <w:spacing w:after="0" w:line="298" w:lineRule="auto"/>
        <w:rPr>
          <w:sz w:val="20"/>
          <w:szCs w:val="20"/>
          <w:color w:val="auto"/>
        </w:rPr>
      </w:pPr>
      <w:r>
        <w:rPr>
          <w:rFonts w:ascii="Times New Roman" w:cs="Times New Roman" w:eastAsia="Times New Roman" w:hAnsi="Times New Roman"/>
          <w:sz w:val="16"/>
          <w:szCs w:val="16"/>
          <w:color w:val="auto"/>
        </w:rPr>
        <w:t>The principal terms of the Partnership’s interest rate swaps held for trading have been disclosed in the annual audited consolidated financial statements for the year ended December 31, 2022. Refer to Note 18 “Derivative Financial Instruments”.</w:t>
      </w:r>
    </w:p>
    <w:p>
      <w:pPr>
        <w:spacing w:after="0" w:line="164"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6"/>
          <w:szCs w:val="16"/>
          <w:color w:val="auto"/>
        </w:rPr>
        <w:t>The derivative instruments of the Partnership were not designated as cash flow hedging instruments as of March 31, 2023. The change in the fair value of the interest rate swaps for the three months ended March 31, 2023 amounted to a loss of $803 (a gain of $6,823 for the three months ended March 31, 2022), which was recognized in profit or loss in the period incurred and is included in Gain/(loss) on derivatives. During the three months ended March 31, 2023, the loss of $803 (Note 13) was mainly attributable to changes in the LIBOR yield curve, which was used to calculate the present value of the estimated future cash flows, resulting in a decrease in derivative assets from interest rate swaps held for trading.</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Forward foreign exchange contracts</w:t>
      </w:r>
    </w:p>
    <w:p>
      <w:pPr>
        <w:spacing w:after="0" w:line="237"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6"/>
          <w:szCs w:val="16"/>
          <w:color w:val="auto"/>
        </w:rPr>
        <w:t>The Partnership uses forward foreign exchange contracts to mitigate foreign exchange transaction exposures in Euros (“EUR”). Under these forward foreign exchange contracts, the bank counterparty will effect fixed payments in EUR to the Partnership and the Partnership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Forward foreign exchange contracts held for trading</w:t>
      </w:r>
    </w:p>
    <w:p>
      <w:pPr>
        <w:spacing w:after="0" w:line="239" w:lineRule="exact"/>
        <w:rPr>
          <w:sz w:val="20"/>
          <w:szCs w:val="20"/>
          <w:color w:val="auto"/>
        </w:rPr>
      </w:pPr>
    </w:p>
    <w:p>
      <w:pPr>
        <w:jc w:val="both"/>
        <w:ind w:right="20" w:firstLine="324"/>
        <w:spacing w:after="0" w:line="298" w:lineRule="auto"/>
        <w:rPr>
          <w:sz w:val="20"/>
          <w:szCs w:val="20"/>
          <w:color w:val="auto"/>
        </w:rPr>
      </w:pPr>
      <w:r>
        <w:rPr>
          <w:rFonts w:ascii="Times New Roman" w:cs="Times New Roman" w:eastAsia="Times New Roman" w:hAnsi="Times New Roman"/>
          <w:sz w:val="16"/>
          <w:szCs w:val="16"/>
          <w:color w:val="auto"/>
        </w:rPr>
        <w:t>During the three months ended March 31, 2023, the Partnership entered into eleven new forward foreign exchange contracts with HSBC Bank PLC for a total exchange amount of EUR 7,500 with staggered settlement dates throughout 2023, of which ten remain unsettled as of March 31, 2023.</w:t>
      </w:r>
    </w:p>
    <w:p>
      <w:pPr>
        <w:spacing w:after="0" w:line="164"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6"/>
          <w:szCs w:val="16"/>
          <w:color w:val="auto"/>
        </w:rPr>
        <w:t>The Partnership’s forward foreign exchange contracts were not designated as cash flow hedging instruments as of March 31, 2023. The change in the fair value of these contracts for the three months ended March 31, 2023 amounted to a net gain of $107 (nil for the three months ended March 31, 2022), which was recognized in profit or loss in the period incurred and is included in Gain/(loss) on derivatives (Note 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13. Financial Costs and (Gain)/loss on Derivatives</w:t>
            </w:r>
          </w:p>
        </w:tc>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financial costs is as follows:</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78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0" w:type="dxa"/>
            <w:vAlign w:val="bottom"/>
          </w:tcPr>
          <w:p>
            <w:pPr>
              <w:spacing w:after="0"/>
              <w:rPr>
                <w:sz w:val="1"/>
                <w:szCs w:val="1"/>
                <w:color w:val="auto"/>
              </w:rPr>
            </w:pPr>
          </w:p>
        </w:tc>
      </w:tr>
      <w:tr>
        <w:trPr>
          <w:trHeight w:val="202"/>
        </w:trPr>
        <w:tc>
          <w:tcPr>
            <w:tcW w:w="50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 xml:space="preserve">Amortization </w:t>
            </w:r>
            <w:r>
              <w:rPr>
                <w:rFonts w:ascii="Times New Roman" w:cs="Times New Roman" w:eastAsia="Times New Roman" w:hAnsi="Times New Roman"/>
                <w:sz w:val="17"/>
                <w:szCs w:val="17"/>
                <w:color w:val="auto"/>
              </w:rPr>
              <w:t>a</w:t>
            </w:r>
            <w:r>
              <w:rPr>
                <w:rFonts w:ascii="Times New Roman" w:cs="Times New Roman" w:eastAsia="Times New Roman" w:hAnsi="Times New Roman"/>
                <w:sz w:val="16"/>
                <w:szCs w:val="16"/>
                <w:color w:val="auto"/>
              </w:rPr>
              <w:t>nd write-off of deferred loan issuance costs</w:t>
            </w:r>
          </w:p>
        </w:tc>
        <w:tc>
          <w:tcPr>
            <w:tcW w:w="34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on loans</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6,905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Interest expense on leases</w:t>
            </w:r>
          </w:p>
        </w:tc>
        <w:tc>
          <w:tcPr>
            <w:tcW w:w="4860" w:type="dxa"/>
            <w:vAlign w:val="bottom"/>
            <w:gridSpan w:val="3"/>
            <w:shd w:val="clear" w:color="auto" w:fill="E5FFFF"/>
          </w:tcPr>
          <w:p>
            <w:pPr>
              <w:jc w:val="right"/>
              <w:ind w:right="21"/>
              <w:spacing w:after="0"/>
              <w:rPr>
                <w:sz w:val="20"/>
                <w:szCs w:val="20"/>
                <w:color w:val="auto"/>
              </w:rPr>
            </w:pPr>
            <w:r>
              <w:rPr>
                <w:rFonts w:ascii="Times New Roman" w:cs="Times New Roman" w:eastAsia="Times New Roman" w:hAnsi="Times New Roman"/>
                <w:sz w:val="16"/>
                <w:szCs w:val="16"/>
                <w:color w:val="auto"/>
              </w:rPr>
              <w:t>411</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Commitment fees</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financial costs including bank commissions</w:t>
            </w:r>
          </w:p>
        </w:tc>
        <w:tc>
          <w:tcPr>
            <w:tcW w:w="3420" w:type="dxa"/>
            <w:vAlign w:val="bottom"/>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financial costs</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8,781</w:t>
            </w: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17,353</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An analysis of (gain)/loss on derivatives is as follows:</w:t>
            </w:r>
          </w:p>
        </w:tc>
        <w:tc>
          <w:tcPr>
            <w:tcW w:w="3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4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78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0" w:type="dxa"/>
            <w:vAlign w:val="bottom"/>
          </w:tcPr>
          <w:p>
            <w:pPr>
              <w:spacing w:after="0"/>
              <w:rPr>
                <w:sz w:val="1"/>
                <w:szCs w:val="1"/>
                <w:color w:val="auto"/>
              </w:rPr>
            </w:pPr>
          </w:p>
        </w:tc>
      </w:tr>
      <w:tr>
        <w:trPr>
          <w:trHeight w:val="202"/>
        </w:trPr>
        <w:tc>
          <w:tcPr>
            <w:tcW w:w="50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Unrealized (gain)/loss on interest rate swaps held for trading (Note 12)</w:t>
            </w:r>
          </w:p>
        </w:tc>
        <w:tc>
          <w:tcPr>
            <w:tcW w:w="34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00" w:type="dxa"/>
            <w:vAlign w:val="bottom"/>
            <w:tcBorders>
              <w:top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Realized loss/(gain) on interest rate swaps held for trading</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Unrealized gain on forward foreign exchange contracts held for trading</w:t>
            </w:r>
          </w:p>
        </w:tc>
        <w:tc>
          <w:tcPr>
            <w:tcW w:w="34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Realized gain on forward foreign exchange contracts held for trading</w:t>
            </w:r>
          </w:p>
        </w:tc>
        <w:tc>
          <w:tcPr>
            <w:tcW w:w="3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(gain)/loss on derivatives</w:t>
            </w:r>
          </w:p>
        </w:tc>
        <w:tc>
          <w:tcPr>
            <w:tcW w:w="3420" w:type="dxa"/>
            <w:vAlign w:val="bottom"/>
            <w:shd w:val="clear" w:color="auto" w:fill="E5FF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E5FFFF"/>
          </w:tcPr>
          <w:p>
            <w:pPr>
              <w:spacing w:after="0"/>
              <w:rPr>
                <w:sz w:val="19"/>
                <w:szCs w:val="19"/>
                <w:color w:val="auto"/>
              </w:rPr>
            </w:pPr>
          </w:p>
        </w:tc>
        <w:tc>
          <w:tcPr>
            <w:tcW w:w="34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(4,977)</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E5FFFF"/>
            </w:tcBorders>
          </w:tcPr>
          <w:p>
            <w:pPr>
              <w:spacing w:after="0" w:line="20" w:lineRule="exact"/>
              <w:rPr>
                <w:sz w:val="1"/>
                <w:szCs w:val="1"/>
                <w:color w:val="auto"/>
              </w:rPr>
            </w:pPr>
          </w:p>
        </w:tc>
        <w:tc>
          <w:tcPr>
            <w:tcW w:w="342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50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3"/>
          </w:tcPr>
          <w:p>
            <w:pPr>
              <w:jc w:val="right"/>
              <w:ind w:right="4061"/>
              <w:spacing w:after="0"/>
              <w:rPr>
                <w:sz w:val="20"/>
                <w:szCs w:val="20"/>
                <w:color w:val="auto"/>
              </w:rPr>
            </w:pPr>
            <w:r>
              <w:rPr>
                <w:rFonts w:ascii="Times New Roman" w:cs="Times New Roman" w:eastAsia="Times New Roman" w:hAnsi="Times New Roman"/>
                <w:sz w:val="18"/>
                <w:szCs w:val="18"/>
                <w:color w:val="auto"/>
              </w:rPr>
              <w:t>F-11</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14. Earnings per Unit (“EPU”)</w:t>
      </w:r>
    </w:p>
    <w:p>
      <w:pPr>
        <w:spacing w:after="0" w:line="237" w:lineRule="exact"/>
        <w:rPr>
          <w:sz w:val="20"/>
          <w:szCs w:val="20"/>
          <w:color w:val="auto"/>
        </w:rPr>
      </w:pPr>
    </w:p>
    <w:p>
      <w:pPr>
        <w:ind w:right="100" w:firstLine="324"/>
        <w:spacing w:after="0" w:line="298" w:lineRule="auto"/>
        <w:rPr>
          <w:sz w:val="20"/>
          <w:szCs w:val="20"/>
          <w:color w:val="auto"/>
        </w:rPr>
      </w:pPr>
      <w:r>
        <w:rPr>
          <w:rFonts w:ascii="Times New Roman" w:cs="Times New Roman" w:eastAsia="Times New Roman" w:hAnsi="Times New Roman"/>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64"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6"/>
          <w:szCs w:val="16"/>
          <w:color w:val="auto"/>
        </w:rPr>
        <w:t>Basic earnings per unit is determined by dividing profit for the period, after deducting preference unit distributions and adding/ deducting any difference of the carrying amount of preference units above/below the fair value of the consideration paid to settle them,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ectPr>
          <w:pgSz w:w="11900" w:h="16838" w:orient="portrait"/>
          <w:cols w:equalWidth="0" w:num="1">
            <w:col w:w="11240"/>
          </w:cols>
          <w:pgMar w:left="320" w:top="934" w:right="339" w:bottom="1440" w:gutter="0" w:footer="0" w:header="0"/>
        </w:sectPr>
      </w:pP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Earnings per unit is presented for the period in which the units were outstanding, with earnings calculated as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Profit for the period and Partnership’s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6374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preference unit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Differences on repurchase of preference units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Partnership’s profit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6374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63740" cy="16256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unitholders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Weighted average number of units outstanding (basic)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unit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6374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Weighted average number of units outstanding (diluted)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unit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6374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140" w:right="180" w:firstLine="247"/>
        <w:spacing w:after="0" w:line="281" w:lineRule="auto"/>
        <w:rPr>
          <w:sz w:val="20"/>
          <w:szCs w:val="20"/>
          <w:color w:val="auto"/>
        </w:rPr>
      </w:pPr>
      <w:r>
        <w:rPr>
          <w:rFonts w:ascii="Times New Roman" w:cs="Times New Roman" w:eastAsia="Times New Roman" w:hAnsi="Times New Roman"/>
          <w:sz w:val="16"/>
          <w:szCs w:val="16"/>
          <w:b w:val="1"/>
          <w:bCs w:val="1"/>
          <w:color w:val="auto"/>
        </w:rPr>
        <w:t>For the three months ended March 31, 2022 March 31, 2023</w:t>
      </w:r>
    </w:p>
    <w:p>
      <w:pPr>
        <w:spacing w:after="0" w:line="1" w:lineRule="exact"/>
        <w:rPr>
          <w:sz w:val="20"/>
          <w:szCs w:val="20"/>
          <w:color w:val="auto"/>
        </w:rPr>
      </w:pPr>
    </w:p>
    <w:p>
      <w:pPr>
        <w:ind w:left="900"/>
        <w:spacing w:after="0"/>
        <w:tabs>
          <w:tab w:leader="none" w:pos="2200" w:val="left"/>
        </w:tabs>
        <w:rPr>
          <w:sz w:val="20"/>
          <w:szCs w:val="20"/>
          <w:color w:val="auto"/>
        </w:rPr>
      </w:pPr>
      <w:r>
        <w:rPr>
          <w:rFonts w:ascii="Times New Roman" w:cs="Times New Roman" w:eastAsia="Times New Roman" w:hAnsi="Times New Roman"/>
          <w:sz w:val="16"/>
          <w:szCs w:val="16"/>
          <w:b w:val="1"/>
          <w:bCs w:val="1"/>
          <w:color w:val="auto"/>
        </w:rPr>
        <w:t>34,981</w:t>
      </w:r>
      <w:r>
        <w:rPr>
          <w:sz w:val="20"/>
          <w:szCs w:val="20"/>
          <w:color w:val="auto"/>
        </w:rPr>
        <w:tab/>
      </w:r>
      <w:r>
        <w:rPr>
          <w:rFonts w:ascii="Times New Roman" w:cs="Times New Roman" w:eastAsia="Times New Roman" w:hAnsi="Times New Roman"/>
          <w:sz w:val="16"/>
          <w:szCs w:val="16"/>
          <w:b w:val="1"/>
          <w:bCs w:val="1"/>
          <w:color w:val="auto"/>
        </w:rPr>
        <w:t>36,375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(6,990)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0" w:type="dxa"/>
            <w:vAlign w:val="bottom"/>
          </w:tcPr>
          <w:p>
            <w:pPr>
              <w:spacing w:after="0"/>
              <w:rPr>
                <w:sz w:val="1"/>
                <w:szCs w:val="1"/>
                <w:color w:val="auto"/>
              </w:rPr>
            </w:pPr>
          </w:p>
        </w:tc>
      </w:tr>
      <w:tr>
        <w:trPr>
          <w:trHeight w:val="219"/>
        </w:trPr>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27,909</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29,652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27,333</w:t>
            </w:r>
          </w:p>
        </w:tc>
        <w:tc>
          <w:tcPr>
            <w:tcW w:w="100" w:type="dxa"/>
            <w:vAlign w:val="bottom"/>
            <w:vMerge w:val="continue"/>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29,045</w:t>
            </w:r>
          </w:p>
        </w:tc>
        <w:tc>
          <w:tcPr>
            <w:tcW w:w="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51,137,201</w:t>
            </w:r>
          </w:p>
        </w:tc>
        <w:tc>
          <w:tcPr>
            <w:tcW w:w="10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51,687,865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1,077,494</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1,080,263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53,064,141</w:t>
            </w:r>
          </w:p>
        </w:tc>
        <w:tc>
          <w:tcPr>
            <w:tcW w:w="10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53,245,148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1,077,494</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1,080,263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940" w:space="520"/>
            <w:col w:w="2780"/>
          </w:cols>
          <w:pgMar w:left="320" w:top="934" w:right="339" w:bottom="1440" w:gutter="0" w:footer="0" w:header="0"/>
          <w:type w:val="continuous"/>
        </w:sectPr>
      </w:pPr>
    </w:p>
    <w:p>
      <w:pPr>
        <w:spacing w:after="0" w:line="215" w:lineRule="exact"/>
        <w:rPr>
          <w:sz w:val="20"/>
          <w:szCs w:val="20"/>
          <w:color w:val="auto"/>
        </w:rPr>
      </w:pPr>
    </w:p>
    <w:p>
      <w:pPr>
        <w:ind w:right="100" w:firstLine="8"/>
        <w:spacing w:after="0" w:line="241" w:lineRule="auto"/>
        <w:tabs>
          <w:tab w:leader="none" w:pos="10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unvested awards with respect to the 2015 Plan and Class B units. After the conversion of the first, second and third tranche of 415,000 Class B units on July 1, 2020, 2021 and 2022, respectively, the remaining 1,245,000 Class B units are due to become eligible for conversion on a one-for-one basis into common units at GasLog’s option in three tranches of 415,000 units per annum on July 1 of 2023, 2024 and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Commitments and Contingencies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Future gross minimum lease payments receivable in relation to non-cancellable time charter agreements for vessels in operation, including vessels under a lease (Note</w:t>
      </w:r>
    </w:p>
    <w:p>
      <w:pPr>
        <w:spacing w:after="0" w:line="26" w:lineRule="exact"/>
        <w:rPr>
          <w:sz w:val="20"/>
          <w:szCs w:val="20"/>
          <w:color w:val="auto"/>
        </w:rPr>
      </w:pPr>
    </w:p>
    <w:p>
      <w:pPr>
        <w:ind w:right="180" w:firstLine="8"/>
        <w:spacing w:after="0" w:line="288" w:lineRule="auto"/>
        <w:tabs>
          <w:tab w:leader="none" w:pos="17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2023,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Period</w:t>
            </w:r>
          </w:p>
        </w:tc>
        <w:tc>
          <w:tcPr>
            <w:tcW w:w="2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02"/>
        </w:trPr>
        <w:tc>
          <w:tcPr>
            <w:tcW w:w="9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Not later than one year</w:t>
            </w:r>
          </w:p>
        </w:tc>
        <w:tc>
          <w:tcPr>
            <w:tcW w:w="20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252,289</w:t>
            </w:r>
          </w:p>
        </w:tc>
      </w:tr>
      <w:tr>
        <w:trPr>
          <w:trHeight w:val="203"/>
        </w:trPr>
        <w:tc>
          <w:tcPr>
            <w:tcW w:w="9220" w:type="dxa"/>
            <w:vAlign w:val="bottom"/>
          </w:tcPr>
          <w:p>
            <w:pPr>
              <w:spacing w:after="0"/>
              <w:rPr>
                <w:sz w:val="20"/>
                <w:szCs w:val="20"/>
                <w:color w:val="auto"/>
              </w:rPr>
            </w:pPr>
            <w:r>
              <w:rPr>
                <w:rFonts w:ascii="Times New Roman" w:cs="Times New Roman" w:eastAsia="Times New Roman" w:hAnsi="Times New Roman"/>
                <w:sz w:val="16"/>
                <w:szCs w:val="16"/>
                <w:color w:val="auto"/>
              </w:rPr>
              <w:t>Later than one year and not later than two years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141,604</w:t>
            </w:r>
          </w:p>
        </w:tc>
      </w:tr>
      <w:tr>
        <w:trPr>
          <w:trHeight w:val="203"/>
        </w:trPr>
        <w:tc>
          <w:tcPr>
            <w:tcW w:w="9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Later than two years and not later than three years</w:t>
            </w:r>
          </w:p>
        </w:tc>
        <w:tc>
          <w:tcPr>
            <w:tcW w:w="20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104,944</w:t>
            </w:r>
          </w:p>
        </w:tc>
      </w:tr>
      <w:tr>
        <w:trPr>
          <w:trHeight w:val="203"/>
        </w:trPr>
        <w:tc>
          <w:tcPr>
            <w:tcW w:w="9220" w:type="dxa"/>
            <w:vAlign w:val="bottom"/>
          </w:tcPr>
          <w:p>
            <w:pPr>
              <w:spacing w:after="0"/>
              <w:rPr>
                <w:sz w:val="20"/>
                <w:szCs w:val="20"/>
                <w:color w:val="auto"/>
              </w:rPr>
            </w:pPr>
            <w:r>
              <w:rPr>
                <w:rFonts w:ascii="Times New Roman" w:cs="Times New Roman" w:eastAsia="Times New Roman" w:hAnsi="Times New Roman"/>
                <w:sz w:val="16"/>
                <w:szCs w:val="16"/>
                <w:color w:val="auto"/>
              </w:rPr>
              <w:t>Later than three years and not later than four years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55,420</w:t>
            </w:r>
          </w:p>
        </w:tc>
      </w:tr>
      <w:tr>
        <w:trPr>
          <w:trHeight w:val="202"/>
        </w:trPr>
        <w:tc>
          <w:tcPr>
            <w:tcW w:w="9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Later than four years and not later than five years</w:t>
            </w:r>
          </w:p>
        </w:tc>
        <w:tc>
          <w:tcPr>
            <w:tcW w:w="20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51,142</w:t>
            </w:r>
          </w:p>
        </w:tc>
      </w:tr>
      <w:tr>
        <w:trPr>
          <w:trHeight w:val="203"/>
        </w:trPr>
        <w:tc>
          <w:tcPr>
            <w:tcW w:w="9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Later than five years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38,279</w:t>
            </w:r>
          </w:p>
        </w:tc>
      </w:tr>
      <w:tr>
        <w:trPr>
          <w:trHeight w:val="208"/>
        </w:trPr>
        <w:tc>
          <w:tcPr>
            <w:tcW w:w="92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$643,678</w:t>
            </w:r>
          </w:p>
        </w:tc>
      </w:tr>
      <w:tr>
        <w:trPr>
          <w:trHeight w:val="20"/>
        </w:trPr>
        <w:tc>
          <w:tcPr>
            <w:tcW w:w="9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98" w:lineRule="auto"/>
        <w:rPr>
          <w:sz w:val="20"/>
          <w:szCs w:val="20"/>
          <w:color w:val="auto"/>
        </w:rPr>
      </w:pPr>
      <w:r>
        <w:rPr>
          <w:rFonts w:ascii="Times New Roman" w:cs="Times New Roman" w:eastAsia="Times New Roman" w:hAnsi="Times New Roman"/>
          <w:sz w:val="16"/>
          <w:szCs w:val="16"/>
          <w:color w:val="auto"/>
        </w:rPr>
        <w:t>In September 2017 and July 2018, GasLog LNG Services entered into maintenance agreements with Wartsila Greece S.A. in respect of nine of the Partnership’s LNG carriers. The agreements ensure dynamic maintenance planning, technical support, security of spare parts supply, specialist technical personnel and performance monitoring.</w:t>
      </w:r>
    </w:p>
    <w:p>
      <w:pPr>
        <w:spacing w:after="0" w:line="164"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6"/>
          <w:szCs w:val="16"/>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March 31, 2023, ballast water management systems had been installed on eight out of the eleven vessels.</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type w:val="continuous"/>
        </w:sectPr>
      </w:pPr>
    </w:p>
    <w:bookmarkStart w:id="32" w:name="page33"/>
    <w:bookmarkEnd w:id="32"/>
    <w:p>
      <w:pPr>
        <w:ind w:right="100" w:firstLine="324"/>
        <w:spacing w:after="0" w:line="281" w:lineRule="auto"/>
        <w:rPr>
          <w:sz w:val="20"/>
          <w:szCs w:val="20"/>
          <w:color w:val="auto"/>
        </w:rPr>
      </w:pPr>
      <w:r>
        <w:rPr>
          <w:rFonts w:ascii="Times New Roman" w:cs="Times New Roman" w:eastAsia="Times New Roman" w:hAnsi="Times New Roman"/>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Subsequent Events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On April 3, 2023, GasLog Partners issued 108,894 common units in connection with the vesting of 92,805 RCUs and 16,089 PCUs under its 2015 Plan.</w:t>
      </w:r>
    </w:p>
    <w:p>
      <w:pPr>
        <w:spacing w:after="0" w:line="235" w:lineRule="exact"/>
        <w:rPr>
          <w:sz w:val="20"/>
          <w:szCs w:val="20"/>
          <w:color w:val="auto"/>
        </w:rPr>
      </w:pPr>
    </w:p>
    <w:p>
      <w:pPr>
        <w:ind w:right="80" w:firstLine="324"/>
        <w:spacing w:after="0" w:line="271" w:lineRule="auto"/>
        <w:rPr>
          <w:sz w:val="20"/>
          <w:szCs w:val="20"/>
          <w:color w:val="auto"/>
        </w:rPr>
      </w:pPr>
      <w:r>
        <w:rPr>
          <w:rFonts w:ascii="Times New Roman" w:cs="Times New Roman" w:eastAsia="Times New Roman" w:hAnsi="Times New Roman"/>
          <w:sz w:val="16"/>
          <w:szCs w:val="16"/>
          <w:color w:val="auto"/>
        </w:rPr>
        <w:t>On April 6, 2023, the Partnership entered into an Agreement and Plan of Merger (the “Merger Agreement”) with GasLog Partners GP LLC, its General Partner, GasLog and Merger Sub, a wholly owned subsidiary of GasLog (Note 1). Pursuant to the Merger Agreement, GasLog will acquire the outstanding common units of the Partnership not beneficially owned by GasLog for overall consideration of $8.65 per common unit in cash, consisting in part of a special distribution by the Partnership of $3.28 per common unit in cash that will be distributed to the Partnership’s unitholders in connection with the closing of the Transaction and the remainder to be paid by GasLog as merger consideration at the closing of the Transaction. The Transaction is expected to close by the end of the third quarter of 2023, subject to approval of the Transaction by holders of a majority of the common units of the Partnership and the satisfaction of certain closing conditions.</w:t>
      </w:r>
    </w:p>
    <w:p>
      <w:pPr>
        <w:spacing w:after="0" w:line="184"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6"/>
          <w:szCs w:val="16"/>
          <w:color w:val="auto"/>
        </w:rPr>
        <w:t>On April 26, 2023, the board of directors of GasLog Partners approved and declared a quarterly cash distribution of $0.01 per common unit for the quarter ended March 31, 2023. The cash distribution is payable on May 11, 2023 to all unitholders of record as of May 8, 2023. The aggregate amount of the declared distribution will be $528 based on the number of units issued and outstanding as of March 31, 2023.</w:t>
      </w: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90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emdash "/>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Roman"/>
      <w:start w:val="1"/>
    </w:lvl>
  </w:abstractNum>
  <w:abstractNum w:abstractNumId="12">
    <w:nsid w:val="DED7263"/>
    <w:multiLevelType w:val="hybridMultilevel"/>
    <w:lvl w:ilvl="0">
      <w:lvlJc w:val="left"/>
      <w:lvlText w:val="%1."/>
      <w:numFmt w:val="decimal"/>
      <w:start w:val="4"/>
    </w:lvl>
    <w:lvl w:ilvl="1">
      <w:lvlJc w:val="left"/>
      <w:lvlText w:val="%2"/>
      <w:numFmt w:val="lowerRoman"/>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2023-04-27T05:50:07Z</dcterms:created>
  <dcterms:modified xsi:type="dcterms:W3CDTF">2023-04-27T05:50:07Z</dcterms:modified>
</cp:coreProperties>
</file>