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For the month of June 2018</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rPr>
              <w:t>Commission File Number 001-36433</w:t>
            </w:r>
          </w:p>
        </w:tc>
        <w:tc>
          <w:tcPr>
            <w:tcW w:w="2280" w:type="dxa"/>
            <w:vAlign w:val="bottom"/>
          </w:tcPr>
          <w:p>
            <w:pPr>
              <w:spacing w:after="0"/>
              <w:rPr>
                <w:sz w:val="24"/>
                <w:szCs w:val="24"/>
                <w:color w:val="auto"/>
              </w:rPr>
            </w:pPr>
          </w:p>
        </w:tc>
      </w:tr>
      <w:tr>
        <w:trPr>
          <w:trHeight w:val="418"/>
        </w:trPr>
        <w:tc>
          <w:tcPr>
            <w:tcW w:w="9180" w:type="dxa"/>
            <w:vAlign w:val="bottom"/>
          </w:tcPr>
          <w:p>
            <w:pPr>
              <w:jc w:val="center"/>
              <w:ind w:left="2150"/>
              <w:spacing w:after="0"/>
              <w:rPr>
                <w:sz w:val="20"/>
                <w:szCs w:val="20"/>
                <w:color w:val="auto"/>
              </w:rPr>
            </w:pPr>
            <w:r>
              <w:rPr>
                <w:rFonts w:ascii="Arial" w:cs="Arial" w:eastAsia="Arial" w:hAnsi="Arial"/>
                <w:sz w:val="18"/>
                <w:szCs w:val="18"/>
                <w:b w:val="1"/>
                <w:bCs w:val="1"/>
                <w:color w:val="auto"/>
                <w:w w:val="91"/>
              </w:rPr>
              <w:t>GasLog Partners LP</w:t>
            </w:r>
          </w:p>
        </w:tc>
        <w:tc>
          <w:tcPr>
            <w:tcW w:w="2280" w:type="dxa"/>
            <w:vAlign w:val="bottom"/>
          </w:tcPr>
          <w:p>
            <w:pPr>
              <w:spacing w:after="0"/>
              <w:rPr>
                <w:sz w:val="24"/>
                <w:szCs w:val="24"/>
                <w:color w:val="auto"/>
              </w:rPr>
            </w:pPr>
          </w:p>
        </w:tc>
      </w:tr>
      <w:tr>
        <w:trPr>
          <w:trHeight w:val="230"/>
        </w:trPr>
        <w:tc>
          <w:tcPr>
            <w:tcW w:w="9180" w:type="dxa"/>
            <w:vAlign w:val="bottom"/>
          </w:tcPr>
          <w:p>
            <w:pPr>
              <w:jc w:val="center"/>
              <w:ind w:left="2170"/>
              <w:spacing w:after="0"/>
              <w:rPr>
                <w:sz w:val="20"/>
                <w:szCs w:val="20"/>
                <w:color w:val="auto"/>
              </w:rPr>
            </w:pPr>
            <w:r>
              <w:rPr>
                <w:rFonts w:ascii="Arial" w:cs="Arial" w:eastAsia="Arial" w:hAnsi="Arial"/>
                <w:sz w:val="18"/>
                <w:szCs w:val="18"/>
                <w:color w:val="auto"/>
                <w:w w:val="91"/>
              </w:rPr>
              <w:t>(Translation of registrant’s name into English)</w:t>
            </w:r>
          </w:p>
        </w:tc>
        <w:tc>
          <w:tcPr>
            <w:tcW w:w="2280" w:type="dxa"/>
            <w:vAlign w:val="bottom"/>
          </w:tcPr>
          <w:p>
            <w:pPr>
              <w:spacing w:after="0"/>
              <w:rPr>
                <w:sz w:val="20"/>
                <w:szCs w:val="20"/>
                <w:color w:val="auto"/>
              </w:rPr>
            </w:pPr>
          </w:p>
        </w:tc>
      </w:tr>
      <w:tr>
        <w:trPr>
          <w:trHeight w:val="418"/>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Gildo Pastor Center</w:t>
            </w:r>
          </w:p>
        </w:tc>
        <w:tc>
          <w:tcPr>
            <w:tcW w:w="2280" w:type="dxa"/>
            <w:vAlign w:val="bottom"/>
          </w:tcPr>
          <w:p>
            <w:pPr>
              <w:spacing w:after="0"/>
              <w:rPr>
                <w:sz w:val="24"/>
                <w:szCs w:val="24"/>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89"/>
              </w:rPr>
              <w:t>7 Rue du Gabian</w:t>
            </w:r>
          </w:p>
        </w:tc>
        <w:tc>
          <w:tcPr>
            <w:tcW w:w="2280" w:type="dxa"/>
            <w:vAlign w:val="bottom"/>
          </w:tcPr>
          <w:p>
            <w:pPr>
              <w:spacing w:after="0"/>
              <w:rPr>
                <w:sz w:val="18"/>
                <w:szCs w:val="18"/>
                <w:color w:val="auto"/>
              </w:rPr>
            </w:pPr>
          </w:p>
        </w:tc>
      </w:tr>
      <w:tr>
        <w:trPr>
          <w:trHeight w:val="216"/>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MC 98000, Monaco</w:t>
            </w:r>
          </w:p>
        </w:tc>
        <w:tc>
          <w:tcPr>
            <w:tcW w:w="2280" w:type="dxa"/>
            <w:vAlign w:val="bottom"/>
          </w:tcPr>
          <w:p>
            <w:pPr>
              <w:spacing w:after="0"/>
              <w:rPr>
                <w:sz w:val="18"/>
                <w:szCs w:val="18"/>
                <w:color w:val="auto"/>
              </w:rPr>
            </w:pPr>
          </w:p>
        </w:tc>
      </w:tr>
      <w:tr>
        <w:trPr>
          <w:trHeight w:val="230"/>
        </w:trPr>
        <w:tc>
          <w:tcPr>
            <w:tcW w:w="9180" w:type="dxa"/>
            <w:vAlign w:val="bottom"/>
          </w:tcPr>
          <w:p>
            <w:pPr>
              <w:jc w:val="center"/>
              <w:ind w:left="2150"/>
              <w:spacing w:after="0"/>
              <w:rPr>
                <w:sz w:val="20"/>
                <w:szCs w:val="20"/>
                <w:color w:val="auto"/>
              </w:rPr>
            </w:pPr>
            <w:r>
              <w:rPr>
                <w:rFonts w:ascii="Arial" w:cs="Arial" w:eastAsia="Arial" w:hAnsi="Arial"/>
                <w:sz w:val="18"/>
                <w:szCs w:val="18"/>
                <w:color w:val="auto"/>
                <w:w w:val="92"/>
              </w:rPr>
              <w:t>(Address of principal executive office)</w:t>
            </w:r>
          </w:p>
        </w:tc>
        <w:tc>
          <w:tcPr>
            <w:tcW w:w="2280" w:type="dxa"/>
            <w:vAlign w:val="bottom"/>
          </w:tcPr>
          <w:p>
            <w:pPr>
              <w:spacing w:after="0"/>
              <w:rPr>
                <w:sz w:val="20"/>
                <w:szCs w:val="20"/>
                <w:color w:val="auto"/>
              </w:rPr>
            </w:pP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9"/>
              </w:rPr>
              <w:t>Indicate by check mark whether the registrant files or will file annual reports under cover of Form 20-F or Form 40-F.</w:t>
            </w:r>
          </w:p>
        </w:tc>
        <w:tc>
          <w:tcPr>
            <w:tcW w:w="2280" w:type="dxa"/>
            <w:vAlign w:val="bottom"/>
          </w:tcPr>
          <w:p>
            <w:pPr>
              <w:spacing w:after="0"/>
              <w:rPr>
                <w:sz w:val="24"/>
                <w:szCs w:val="24"/>
                <w:color w:val="auto"/>
              </w:rPr>
            </w:pPr>
          </w:p>
        </w:tc>
      </w:tr>
      <w:tr>
        <w:trPr>
          <w:trHeight w:val="452"/>
        </w:trPr>
        <w:tc>
          <w:tcPr>
            <w:tcW w:w="918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2280" w:type="dxa"/>
            <w:vAlign w:val="bottom"/>
          </w:tcPr>
          <w:p>
            <w:pPr>
              <w:spacing w:after="0"/>
              <w:rPr>
                <w:sz w:val="24"/>
                <w:szCs w:val="24"/>
                <w:color w:val="auto"/>
              </w:rPr>
            </w:pPr>
          </w:p>
        </w:tc>
      </w:tr>
      <w:tr>
        <w:trPr>
          <w:trHeight w:val="41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101(b)(1):</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432"/>
        </w:trPr>
        <w:tc>
          <w:tcPr>
            <w:tcW w:w="9180" w:type="dxa"/>
            <w:vAlign w:val="bottom"/>
          </w:tcPr>
          <w:p>
            <w:pPr>
              <w:spacing w:after="0"/>
              <w:rPr>
                <w:sz w:val="20"/>
                <w:szCs w:val="20"/>
                <w:color w:val="auto"/>
              </w:rPr>
            </w:pPr>
            <w:r>
              <w:rPr>
                <w:rFonts w:ascii="Arial" w:cs="Arial" w:eastAsia="Arial" w:hAnsi="Arial"/>
                <w:sz w:val="18"/>
                <w:szCs w:val="18"/>
                <w:color w:val="auto"/>
                <w:w w:val="94"/>
              </w:rPr>
              <w:t>Indicate by check mark if the registrant is submitting the Form 6-K in paper as permitted by Regulation S-T Rule 101(b)(7):</w:t>
            </w:r>
          </w:p>
        </w:tc>
        <w:tc>
          <w:tcPr>
            <w:tcW w:w="2280" w:type="dxa"/>
            <w:vAlign w:val="bottom"/>
          </w:tcPr>
          <w:p>
            <w:pPr>
              <w:ind w:left="220"/>
              <w:spacing w:after="0"/>
              <w:rPr>
                <w:sz w:val="20"/>
                <w:szCs w:val="20"/>
                <w:color w:val="auto"/>
              </w:rPr>
            </w:pPr>
            <w:r>
              <w:rPr>
                <w:rFonts w:ascii="Arial" w:cs="Arial" w:eastAsia="Arial" w:hAnsi="Arial"/>
                <w:sz w:val="18"/>
                <w:szCs w:val="18"/>
                <w:color w:val="auto"/>
              </w:rPr>
              <w:t>o</w:t>
            </w:r>
          </w:p>
        </w:tc>
      </w:tr>
      <w:tr>
        <w:trPr>
          <w:trHeight w:val="348"/>
        </w:trPr>
        <w:tc>
          <w:tcPr>
            <w:tcW w:w="91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both"/>
        <w:ind w:right="40" w:firstLine="383"/>
        <w:spacing w:after="0" w:line="277" w:lineRule="auto"/>
        <w:rPr>
          <w:sz w:val="20"/>
          <w:szCs w:val="20"/>
          <w:color w:val="auto"/>
        </w:rPr>
      </w:pPr>
      <w:r>
        <w:rPr>
          <w:rFonts w:ascii="Arial" w:cs="Arial" w:eastAsia="Arial" w:hAnsi="Arial"/>
          <w:sz w:val="18"/>
          <w:szCs w:val="18"/>
          <w:color w:val="auto"/>
        </w:rPr>
        <w:t>The press release issued by GasLog Partners LP on June 19, 2018 announcing that it has entered into a new charter agreement with Cheniere Energy, Inc. is attached hereto as Exhibit 99.1.</w:t>
      </w:r>
    </w:p>
    <w:p>
      <w:pPr>
        <w:spacing w:after="0" w:line="17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4"/>
          <w:szCs w:val="24"/>
          <w:color w:val="auto"/>
        </w:rPr>
      </w:pPr>
    </w:p>
    <w:p>
      <w:pPr>
        <w:jc w:val="both"/>
        <w:ind w:right="40"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93"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EXHIBIT LIST</w:t>
      </w:r>
    </w:p>
    <w:p>
      <w:pPr>
        <w:spacing w:after="0" w:line="230"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4"/>
          <w:szCs w:val="24"/>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800"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June 19, 2018</w:t>
      </w:r>
    </w:p>
    <w:p>
      <w:pPr>
        <w:spacing w:after="0" w:line="225"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GASLOG PARTNERS LP</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628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Andrew Orekar</w:t>
            </w:r>
          </w:p>
        </w:tc>
        <w:tc>
          <w:tcPr>
            <w:tcW w:w="40" w:type="dxa"/>
            <w:vAlign w:val="bottom"/>
          </w:tcPr>
          <w:p>
            <w:pPr>
              <w:spacing w:after="0"/>
              <w:rPr>
                <w:sz w:val="20"/>
                <w:szCs w:val="20"/>
                <w:color w:val="auto"/>
              </w:rPr>
            </w:pPr>
          </w:p>
        </w:tc>
      </w:tr>
      <w:tr>
        <w:trPr>
          <w:trHeight w:val="195"/>
        </w:trPr>
        <w:tc>
          <w:tcPr>
            <w:tcW w:w="67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67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7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left="10580"/>
        <w:spacing w:after="0"/>
        <w:rPr>
          <w:sz w:val="20"/>
          <w:szCs w:val="20"/>
          <w:color w:val="auto"/>
        </w:rPr>
      </w:pPr>
      <w:r>
        <w:rPr>
          <w:rFonts w:ascii="Arial" w:cs="Arial" w:eastAsia="Arial" w:hAnsi="Arial"/>
          <w:sz w:val="15"/>
          <w:szCs w:val="15"/>
          <w:b w:val="1"/>
          <w:bCs w:val="1"/>
          <w:color w:val="auto"/>
        </w:rPr>
        <w:t>Exhibit 99.1</w:t>
      </w:r>
    </w:p>
    <w:p>
      <w:pPr>
        <w:spacing w:after="0" w:line="22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b w:val="1"/>
          <w:bCs w:val="1"/>
          <w:color w:val="auto"/>
        </w:rPr>
        <w:t xml:space="preserve">MONACO — June 19, 2018 — </w:t>
      </w:r>
      <w:r>
        <w:rPr>
          <w:rFonts w:ascii="Arial" w:cs="Arial" w:eastAsia="Arial" w:hAnsi="Arial"/>
          <w:sz w:val="18"/>
          <w:szCs w:val="18"/>
          <w:color w:val="auto"/>
        </w:rPr>
        <w:t>GasLog Partners LP (NYSE:GLOP) (“GasLog Partners” or the “Partnership”) announced today that it has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new multi-year time charter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with a wholly owned subsidiary of Cheniere Energy, Inc. (“Cheniere”) scheduled to commence in 2018. The charterer has options to extend the charter for up to two consecutive periods at escalating rates.</w:t>
      </w:r>
    </w:p>
    <w:p>
      <w:pPr>
        <w:spacing w:after="0" w:line="177" w:lineRule="exact"/>
        <w:rPr>
          <w:sz w:val="20"/>
          <w:szCs w:val="20"/>
          <w:color w:val="auto"/>
        </w:rPr>
      </w:pPr>
    </w:p>
    <w:p>
      <w:pPr>
        <w:jc w:val="both"/>
        <w:ind w:right="200"/>
        <w:spacing w:after="0" w:line="235" w:lineRule="auto"/>
        <w:rPr>
          <w:sz w:val="20"/>
          <w:szCs w:val="20"/>
          <w:color w:val="auto"/>
        </w:rPr>
      </w:pPr>
      <w:r>
        <w:rPr>
          <w:rFonts w:ascii="Arial" w:cs="Arial" w:eastAsia="Arial" w:hAnsi="Arial"/>
          <w:sz w:val="18"/>
          <w:szCs w:val="18"/>
          <w:i w:val="1"/>
          <w:iCs w:val="1"/>
          <w:color w:val="auto"/>
        </w:rPr>
        <w:t xml:space="preserve">GasLog Sydney </w:t>
      </w:r>
      <w:r>
        <w:rPr>
          <w:rFonts w:ascii="Arial" w:cs="Arial" w:eastAsia="Arial" w:hAnsi="Arial"/>
          <w:sz w:val="18"/>
          <w:szCs w:val="18"/>
          <w:color w:val="auto"/>
        </w:rPr>
        <w:t>is a 155,000 cbm tri-fuel diesel electric liquefied natural gas (“LNG”) carrier built in 2013 and currently on a multi-year time charter with a</w:t>
      </w:r>
      <w:r>
        <w:rPr>
          <w:rFonts w:ascii="Arial" w:cs="Arial" w:eastAsia="Arial" w:hAnsi="Arial"/>
          <w:sz w:val="18"/>
          <w:szCs w:val="18"/>
          <w:i w:val="1"/>
          <w:iCs w:val="1"/>
          <w:color w:val="auto"/>
        </w:rPr>
        <w:t xml:space="preserve"> </w:t>
      </w:r>
      <w:r>
        <w:rPr>
          <w:rFonts w:ascii="Arial" w:cs="Arial" w:eastAsia="Arial" w:hAnsi="Arial"/>
          <w:sz w:val="18"/>
          <w:szCs w:val="18"/>
          <w:color w:val="auto"/>
        </w:rPr>
        <w:t>wholly owned subsidiary of Royal Dutch Shell plc through September 2018. The vessel is currently undergoing a scheduled dry-docking during which the Partnership is enhancing its future marketability through the installation of a reliquefaction module.</w:t>
      </w:r>
    </w:p>
    <w:p>
      <w:pPr>
        <w:spacing w:after="0" w:line="175" w:lineRule="exact"/>
        <w:rPr>
          <w:sz w:val="20"/>
          <w:szCs w:val="20"/>
          <w:color w:val="auto"/>
        </w:rPr>
      </w:pPr>
    </w:p>
    <w:p>
      <w:pPr>
        <w:jc w:val="both"/>
        <w:ind w:right="300"/>
        <w:spacing w:after="0" w:line="253" w:lineRule="auto"/>
        <w:rPr>
          <w:sz w:val="20"/>
          <w:szCs w:val="20"/>
          <w:color w:val="auto"/>
        </w:rPr>
      </w:pPr>
      <w:r>
        <w:rPr>
          <w:rFonts w:ascii="Arial" w:cs="Arial" w:eastAsia="Arial" w:hAnsi="Arial"/>
          <w:sz w:val="17"/>
          <w:szCs w:val="17"/>
          <w:color w:val="auto"/>
        </w:rPr>
        <w:t>Andy Orekar, Chief Executive Officer of GasLog Partners, stated, “I am very pleased to announce the signing of this charter agreement with Cheniere, the Partnership’s second agreement this year with a new and high-quality counterparty. The execution of the charter further diversifies our customer base and increases our contracted revenue visibility, supporting our year-on-year distribution growth guidance of 5% to 7% in 2018.”</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 xml:space="preserve">GasLog Partners is a growth-oriented master limited partnership focused on owning, operating and acquiring LNG carriers under multi-year charters. GasLog Partners’ fleet consists of 13 LNG carriers with an average carrying capacity of approximately 156,000 cbm. GasLog Partners’ principal executive office is located at Gildo Pastor Center, 7 Rue du Gabian, MC 98000, Monaco. Visit GasLog Partners website at </w:t>
      </w:r>
      <w:r>
        <w:rPr>
          <w:rFonts w:ascii="Arial" w:cs="Arial" w:eastAsia="Arial" w:hAnsi="Arial"/>
          <w:sz w:val="17"/>
          <w:szCs w:val="17"/>
          <w:u w:val="single" w:color="auto"/>
          <w:color w:val="0000FF"/>
        </w:rPr>
        <w:t>http://www.gaslogmlp.com</w:t>
      </w:r>
      <w:r>
        <w:rPr>
          <w:rFonts w:ascii="Arial" w:cs="Arial" w:eastAsia="Arial" w:hAnsi="Arial"/>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1" w:lineRule="auto"/>
        <w:rPr>
          <w:sz w:val="20"/>
          <w:szCs w:val="20"/>
          <w:color w:val="auto"/>
        </w:rPr>
      </w:pPr>
      <w:r>
        <w:rPr>
          <w:rFonts w:ascii="Arial" w:cs="Arial" w:eastAsia="Arial" w:hAnsi="Arial"/>
          <w:sz w:val="18"/>
          <w:szCs w:val="18"/>
          <w:color w:val="auto"/>
        </w:rPr>
        <w:t>Alastair Maxwell</w:t>
      </w:r>
    </w:p>
    <w:p>
      <w:pPr>
        <w:spacing w:after="0" w:line="219"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19" w:lineRule="auto"/>
        <w:rPr>
          <w:sz w:val="20"/>
          <w:szCs w:val="20"/>
          <w:color w:val="auto"/>
        </w:rPr>
      </w:pPr>
      <w:r>
        <w:rPr>
          <w:rFonts w:ascii="Arial" w:cs="Arial" w:eastAsia="Arial" w:hAnsi="Arial"/>
          <w:sz w:val="18"/>
          <w:szCs w:val="18"/>
          <w:color w:val="auto"/>
        </w:rPr>
        <w:t>Head of Investor Relations</w:t>
      </w:r>
    </w:p>
    <w:p>
      <w:pPr>
        <w:spacing w:after="0"/>
        <w:rPr>
          <w:sz w:val="20"/>
          <w:szCs w:val="20"/>
          <w:color w:val="auto"/>
        </w:rPr>
      </w:pPr>
      <w:r>
        <w:rPr>
          <w:rFonts w:ascii="Arial" w:cs="Arial" w:eastAsia="Arial" w:hAnsi="Arial"/>
          <w:sz w:val="18"/>
          <w:szCs w:val="18"/>
          <w:color w:val="auto"/>
        </w:rPr>
        <w:t>Phone: +44-203-388-3116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19" w:lineRule="auto"/>
        <w:rPr>
          <w:sz w:val="20"/>
          <w:szCs w:val="20"/>
          <w:color w:val="auto"/>
        </w:rPr>
      </w:pPr>
      <w:r>
        <w:rPr>
          <w:rFonts w:ascii="Arial" w:cs="Arial" w:eastAsia="Arial" w:hAnsi="Arial"/>
          <w:sz w:val="18"/>
          <w:szCs w:val="18"/>
          <w:color w:val="auto"/>
        </w:rPr>
        <w:t>Deputy Head of Investor Relations</w:t>
      </w:r>
    </w:p>
    <w:p>
      <w:pPr>
        <w:spacing w:after="0"/>
        <w:rPr>
          <w:sz w:val="20"/>
          <w:szCs w:val="20"/>
          <w:color w:val="auto"/>
        </w:rPr>
      </w:pPr>
      <w:r>
        <w:rPr>
          <w:rFonts w:ascii="Arial" w:cs="Arial" w:eastAsia="Arial" w:hAnsi="Arial"/>
          <w:sz w:val="18"/>
          <w:szCs w:val="18"/>
          <w:color w:val="auto"/>
        </w:rPr>
        <w:t>Phone: +1 212-223-0643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ir@gaslogmlp.com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980" w:hanging="324"/>
        <w:spacing w:after="0" w:line="277"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profitable operations of LNG carriers;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225" w:lineRule="exact"/>
        <w:rPr>
          <w:rFonts w:ascii="Arial" w:cs="Arial" w:eastAsia="Arial" w:hAnsi="Arial"/>
          <w:sz w:val="18"/>
          <w:szCs w:val="18"/>
          <w:color w:val="auto"/>
        </w:rPr>
      </w:pPr>
    </w:p>
    <w:p>
      <w:pPr>
        <w:ind w:left="980" w:right="180" w:hanging="324"/>
        <w:spacing w:after="0" w:line="264" w:lineRule="auto"/>
        <w:tabs>
          <w:tab w:leader="none" w:pos="97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time charter commitments, including the risk that certain of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secure new multi-year charters, at economically attractive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fleet by acquiring vessels through our drop-down pipeline with GasLog Ltd. (“GasLog”);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ability of GasLog to maintain long-term relationships with major energy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-4077335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0" w:gutter="0" w:footer="0" w:header="0"/>
        </w:sectPr>
      </w:pPr>
    </w:p>
    <w:bookmarkStart w:id="2" w:name="page3"/>
    <w:bookmarkEnd w:id="2"/>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distributions;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acquire assets in the future, including vessels from GasLog;</w:t>
      </w:r>
    </w:p>
    <w:p>
      <w:pPr>
        <w:spacing w:after="0" w:line="225" w:lineRule="exact"/>
        <w:rPr>
          <w:rFonts w:ascii="Arial" w:cs="Arial" w:eastAsia="Arial" w:hAnsi="Arial"/>
          <w:sz w:val="18"/>
          <w:szCs w:val="18"/>
          <w:color w:val="auto"/>
        </w:rPr>
      </w:pPr>
    </w:p>
    <w:p>
      <w:pPr>
        <w:ind w:left="980" w:hanging="324"/>
        <w:spacing w:after="0" w:line="264"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any sponsor credit facility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248" w:lineRule="exact"/>
        <w:rPr>
          <w:rFonts w:ascii="Arial" w:cs="Arial" w:eastAsia="Arial" w:hAnsi="Arial"/>
          <w:sz w:val="16"/>
          <w:szCs w:val="16"/>
          <w:color w:val="auto"/>
        </w:rPr>
      </w:pPr>
    </w:p>
    <w:p>
      <w:pPr>
        <w:ind w:left="980" w:right="100" w:hanging="324"/>
        <w:spacing w:after="0" w:line="264"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GasLog’s relationships with its employees and ship crews, its ability to retain key employees and provide services to us, and the availability of skilled labor, ship crews and management;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12, 2018,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3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GasLog Partners undertakes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2019-12-08T10:11:19Z</dcterms:created>
  <dcterms:modified xsi:type="dcterms:W3CDTF">2019-12-08T10:11:19Z</dcterms:modified>
</cp:coreProperties>
</file>