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5981d1_6k.htm"/>
      <w:bookmarkStart w:id="1" w:name="kstm265981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13a-16 OR 15d-16 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February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001-36433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GasLog Partners LP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GasLog LNG Services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 Akti Miaouli, 18537</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Piraeus, Greece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press release issued by GasLog Partners LP on February 12, 2026 relating to its results for the three-month period and the year ended December 31, 2025 is attached hereto as 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LIST</w:t>
      </w:r>
    </w:p>
    <w:p>
      <w:pPr>
        <w:pStyle w:val="TextBody"/>
        <w:bidi w:val="0"/>
        <w:spacing w:before="0" w:after="0"/>
        <w:ind w:left="0" w:right="0" w:hanging="0"/>
        <w:jc w:val="left"/>
        <w:rPr>
          <w:caps w:val="false"/>
          <w:smallCaps w:val="false"/>
        </w:rPr>
      </w:pPr>
      <w:r>
        <w:rPr>
          <w:caps w:val="false"/>
          <w:smallCaps w:val="false"/>
        </w:rPr>
        <w:t> </w:t>
      </w:r>
    </w:p>
    <w:tbl>
      <w:tblPr>
        <w:tblW w:w="3850" w:type="dxa"/>
        <w:jc w:val="left"/>
        <w:tblInd w:w="0" w:type="dxa"/>
        <w:tblLayout w:type="fixed"/>
        <w:tblCellMar>
          <w:top w:w="0" w:type="dxa"/>
          <w:left w:w="0" w:type="dxa"/>
          <w:bottom w:w="0" w:type="dxa"/>
          <w:right w:w="0" w:type="dxa"/>
        </w:tblCellMar>
      </w:tblPr>
      <w:tblGrid>
        <w:gridCol w:w="650"/>
        <w:gridCol w:w="60"/>
        <w:gridCol w:w="3140"/>
      </w:tblGrid>
      <w:tr>
        <w:trPr/>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w:t>
            </w:r>
          </w:p>
        </w:tc>
        <w:tc>
          <w:tcPr>
            <w:tcW w:w="60"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Description</w:t>
            </w:r>
          </w:p>
        </w:tc>
      </w:tr>
      <w:tr>
        <w:trPr/>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pPr>
            <w:hyperlink w:anchor="tm265981d1_ex99-1.htm">
              <w:r>
                <w:rPr>
                  <w:rStyle w:val="InternetLink"/>
                  <w:rFonts w:ascii="Times New Roman;Times;Serif" w:hAnsi="Times New Roman;Times;Serif"/>
                  <w:sz w:val="20"/>
                </w:rPr>
                <w:t>99.1</w:t>
              </w:r>
            </w:hyperlink>
          </w:p>
        </w:tc>
        <w:tc>
          <w:tcPr>
            <w:tcW w:w="60"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pPr>
            <w:hyperlink w:anchor="tm265981d1_ex99-1.htm">
              <w:r>
                <w:rPr>
                  <w:rStyle w:val="InternetLink"/>
                  <w:rFonts w:ascii="Times New Roman;Times;Serif" w:hAnsi="Times New Roman;Times;Serif"/>
                  <w:sz w:val="20"/>
                </w:rPr>
                <w:t>Press Release dated February 12,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February 12, 2026</w:t>
      </w:r>
    </w:p>
    <w:p>
      <w:pPr>
        <w:pStyle w:val="TextBody"/>
        <w:bidi w:val="0"/>
        <w:spacing w:before="0" w:after="0"/>
        <w:ind w:left="0" w:right="0" w:hanging="0"/>
        <w:jc w:val="left"/>
        <w:rPr>
          <w:caps w:val="false"/>
          <w:smallCaps w:val="false"/>
        </w:rPr>
      </w:pPr>
      <w:r>
        <w:rPr>
          <w:caps w:val="false"/>
          <w:smallCaps w:val="false"/>
        </w:rPr>
        <w:t> </w:t>
      </w:r>
    </w:p>
    <w:tbl>
      <w:tblPr>
        <w:tblW w:w="2895" w:type="dxa"/>
        <w:jc w:val="left"/>
        <w:tblInd w:w="0" w:type="dxa"/>
        <w:tblLayout w:type="fixed"/>
        <w:tblCellMar>
          <w:top w:w="0" w:type="dxa"/>
          <w:left w:w="0" w:type="dxa"/>
          <w:bottom w:w="0" w:type="dxa"/>
          <w:right w:w="0" w:type="dxa"/>
        </w:tblCellMar>
      </w:tblPr>
      <w:tblGrid>
        <w:gridCol w:w="75"/>
        <w:gridCol w:w="60"/>
        <w:gridCol w:w="260"/>
        <w:gridCol w:w="545"/>
        <w:gridCol w:w="1955"/>
      </w:tblGrid>
      <w:tr>
        <w:trPr/>
        <w:tc>
          <w:tcPr>
            <w:tcW w:w="75" w:type="dxa"/>
            <w:tcBorders/>
            <w:vAlign w:val="center"/>
          </w:tcPr>
          <w:p>
            <w:pPr>
              <w:pStyle w:val="TableContents"/>
              <w:bidi w:val="0"/>
              <w:spacing w:before="0" w:after="283"/>
              <w:jc w:val="left"/>
              <w:rPr/>
            </w:pPr>
            <w:r>
              <w:rPr/>
              <w:t> </w:t>
            </w:r>
          </w:p>
        </w:tc>
        <w:tc>
          <w:tcPr>
            <w:tcW w:w="2820" w:type="dxa"/>
            <w:gridSpan w:val="4"/>
            <w:tcBorders/>
            <w:vAlign w:val="center"/>
          </w:tcPr>
          <w:p>
            <w:pPr>
              <w:pStyle w:val="TableContents"/>
              <w:bidi w:val="0"/>
              <w:spacing w:before="0" w:after="283"/>
              <w:jc w:val="left"/>
              <w:rPr/>
            </w:pPr>
            <w:r>
              <w:rPr>
                <w:rFonts w:ascii="Times New Roman;Times;Serif" w:hAnsi="Times New Roman;Times;Serif"/>
                <w:sz w:val="20"/>
              </w:rPr>
              <w:t>GASLOG PARTNERS LP</w:t>
            </w:r>
            <w:r>
              <w:rPr/>
              <w:t xml:space="preserve">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250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by</w:t>
            </w:r>
          </w:p>
        </w:tc>
        <w:tc>
          <w:tcPr>
            <w:tcW w:w="250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Paolo Enoizi</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Paolo Enoizi</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0" w:right="0" w:hanging="0"/>
        <w:jc w:val="left"/>
        <w:rPr/>
      </w:pPr>
      <w:bookmarkStart w:id="2" w:name="tm265981d1_ex99-1.htm"/>
      <w:bookmarkStart w:id="3" w:name="kstm265981d1_ex991"/>
      <w:bookmarkEnd w:id="2"/>
      <w:bookmarkEnd w:id="3"/>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GasLog Partners LP Reports Financial Results for the Three-Month Period and the Year Ended December 31, 2025 and Declares Distributions on Series A, B and C Preference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Majuro, Marshall Islands, February 12, 2026, GasLog Partners LP (“GasLog Partners” or the “Partnership”) (NYSE: GLOP-PA, GLOP-PB, GLOP-PC), </w:t>
      </w:r>
      <w:r>
        <w:rPr>
          <w:rFonts w:ascii="Times New Roman;Times;Serif" w:hAnsi="Times New Roman;Times;Serif"/>
          <w:b w:val="false"/>
          <w:i w:val="false"/>
          <w:caps w:val="false"/>
          <w:smallCaps w:val="false"/>
          <w:sz w:val="20"/>
        </w:rPr>
        <w:t>an international owner and operator of liquefied natural gas (“LNG”) carriers, today reported its financial results for the three-month period and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Impairment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quarter ended December 31, 2025, the Partnership recognized an aggregate non-cash impairment loss of $35.4 million, with respect to one owned steam turbine propulsion (“Steam”) vessel and three bareboat tri-fuel diesel electric engine propulsion (“TFDE”) vessels, in accordance with International Financial Reporting Standards. The indications that led to the recognition of this non-cash impairment loss included the current low market rates and the differences between the ship brokers’ valuations of our owned fleet and their carrying values.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year ended December 31, 2025, the Partnership recognized an aggregate non-cash impairment loss of $93.4 million, $58.0 million of which related to the two vessels sold in 2025 (the </w:t>
      </w:r>
      <w:r>
        <w:rPr>
          <w:rFonts w:ascii="Times New Roman;Times;Serif" w:hAnsi="Times New Roman;Times;Serif"/>
          <w:b w:val="false"/>
          <w:i/>
          <w:caps w:val="false"/>
          <w:smallCaps w:val="false"/>
          <w:sz w:val="20"/>
        </w:rPr>
        <w:t>Methane Alison Victoria</w:t>
      </w:r>
      <w:r>
        <w:rPr>
          <w:rFonts w:ascii="Times New Roman;Times;Serif" w:hAnsi="Times New Roman;Times;Serif"/>
          <w:b w:val="false"/>
          <w:i w:val="false"/>
          <w:caps w:val="false"/>
          <w:smallCaps w:val="false"/>
          <w:sz w:val="20"/>
        </w:rPr>
        <w:t xml:space="preserve"> and the </w:t>
      </w:r>
      <w:r>
        <w:rPr>
          <w:rFonts w:ascii="Times New Roman;Times;Serif" w:hAnsi="Times New Roman;Times;Serif"/>
          <w:b w:val="false"/>
          <w:i/>
          <w:caps w:val="false"/>
          <w:smallCaps w:val="false"/>
          <w:sz w:val="20"/>
        </w:rPr>
        <w:t>Methane Jane Elizabeth)</w:t>
      </w:r>
      <w:r>
        <w:rPr>
          <w:rFonts w:ascii="Times New Roman;Times;Serif" w:hAnsi="Times New Roman;Times;Serif"/>
          <w:b w:val="false"/>
          <w:i w:val="false"/>
          <w:caps w:val="false"/>
          <w:smallCaps w:val="false"/>
          <w:sz w:val="20"/>
        </w:rPr>
        <w:t xml:space="preserve"> and $35.4 million related to the December impairment assessment mentioned above. In December 2024, the Partnership recognized an aggregate non-cash impairment loss of $8.7 million with respect to two owned Steam vessels and one bareboat TFDE vessel.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GasLog Partners Dividend Declaration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11, 2026, the board of directors of GasLog Partners approved and declared: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 distribution on the 8.625% Series A Cumulative Redeemable Perpetual Fixed to Floating Rate Preference Units (“Series A Preference Units”) of $0.5390625 per preference unit (based on the fixed rate),</w:t>
            </w:r>
          </w:p>
        </w:tc>
      </w:tr>
    </w:tbl>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 distribution on the 8.200% Series B Cumulative Redeemable Perpetual Fixed to Floating Rate Preference Units (“Series B Preference Units”) of $0.6129300 per preference unit (based on a floating rate equal to the Term Secured Overnight Financing Rate (“SOFR”) for a three-month tenor published by the Chicago Mercantile Exchange (“CME”) of 3.70627% plus 0.26161% of Credit Adjustment Spread (“CAS”) and spread of 5.839% per annum) and</w:t>
            </w:r>
          </w:p>
        </w:tc>
      </w:tr>
    </w:tbl>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 distribution on the 8.500% Series C Cumulative Redeemable Perpetual Fixed to Floating Rate Preference Units (“Series C Preference Units”) of $0.5803050 per preference unit (based on a floating rate equal to the three-month Term SOFR as published by the CME of 3.70627% plus 0.26161% of CAS and spread of 5.317% per annum).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cash distributions are payable on March 16, 2026 to all unitholders of record as of March 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LNG Industry and Market Update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LNG Supply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supply-led rebalancing of the LNG market is anticipated from 2026 onward, driven by a record year for Final Investment Decisions (“FIDs”) in 2025, according to Wood Mackenzie. More than 72 million metric tonnes per annum (“mmtpa”) of capacity reached FID during the year, with a further 56 mmtpa expected by 2027, primarily in the United States, Canada, and the Middle East.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United States dominates the supply outlook and is estimated to account for around 38% of global LNG supply by 2035, with total capacity anticipated to reach approximately 256 mmtpa. Canada emerges as a meaningful new supplier, estimated to reach around 32 mmtpa by 2035, supported by LNG Canada, Woodfibre and Cedar LNG, with further upside from LNG Canada Phase 2 in the early 2030s. Qatar remains the world’s lowest-cost LNG supplier and a critical anchor of long-term supply, with its North Field East and South projects expected to add nearly 50 mmtpa by the end of the decade, with further expansion in the mid-2030s lifting total capacity to around 140 mmtpa.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LNG Demand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Strong global LNG demand growth of around 60% (250 mmtpa) is expected by 2035, significantly outpacing total gas demand growth, according to Wood Mackenzie. Asia remains the dominant driver, accounting for approximately 75% of global LNG demand growth. South and Southeast Asia emerge as the strongest structural growth markets, with LNG expected to become the primary gas supply source in the regions by the early 2030s. In Northeast Asia, LNG demand is expected to remain resilient through the mid-2030s, supported by coal-to-gas switching and data centre growth. Europe represents a structurally important LNG market despite limited overall gas demand growth, as the phase-out of Russian pipeline gas and LNG, declining domestic production and more resilient industrial and residential demand are expected to drive LNG imports to cover around 45% of European gas demand by 2035. New demand centres have also emerged in the Middle East and Africa. Egypt, Bahrain, Iraq and South Africa drive an upward revision in LNG demand, supported by declining domestic supply and the deployment of Floating Storage and Regasification Units as a rapid import 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LNG Shipping Rates and Chartering Activity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Spot charter rates have demonstrated a consistent downward trend throughout 2025, with 160,000 cubic meters (“cbm”) 0.1% boil-off TFDE headline rates, as reported by Clarkson Research Services Limited, averaging $24,245 per day in 2025, a 42.6% decrease year-on-year, and 68.5% lower compared to the five-year average. LNG shipping markets remained subdued for most of 2025, with rates hovering near historic lows amid weak demand fundamentals and persistent vessel oversupply. During the first three quarters, lower Asian LNG imports, milder weather, geopolitical trade disruptions and expanding intra-basin trade weighed heavily on tonne-mile demand.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sentiment shifted abruptly in the fourth quarter as winter conditions tightened vessel availability in the Atlantic Basin, driving spot rates for modern low pressure dual fuel two-stroke engine and M-type, electronically controlled, gas injection carriers above $100,000 per day. This surge was primarily underpinned by Europe’s first winter without Russian gas, lower storage levels, stronger U.S.–Europe trade flows and temporary tightening of prompt tonnage.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early 2026, after the peak winter delivery window plateaued, freight demand declined noticeably. With fewer cargo deliveries required, the market was quickly flooded with prompt sublet tonnage, predominantly in the Atlantic, with players trying to capitalize on the stronger market. The Pacific remained relatively more balanced for a time, supported by Middle East demand pulling vessels away from Southeast Asia, but it has now largely converged with the softer Atlantic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Global LNG Fleet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Poten &amp; Partners Group, Inc. (“Poten”), as of December 31, 2025, the global fleet of LNG carriers (&gt;100,000 cbm) consisted of 705 vessels with another 271 on order. Poten estimates that a total of 94 LNG carriers is due to be delivered in 2026. We believe that the growing global demand for natural gas, especially in Asia, increasing supply from the U.S. and other regions and other LNG market trends, including increased trading of LNG, should support the existing order backlog for vessels and should also drive a need for additional LNG carrier newbuildings. Finally, the scrapping of older and less efficient vessels, the conversion of existing vessels to Floating Storage and Regasification Units or Floating Storage Units and/or employing LNG carriers for short-term storage purposes in order to exploit arbitrage opportunities could reduce the availability of LNG carriers on the water today.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Financial Results</w:t>
      </w:r>
    </w:p>
    <w:p>
      <w:pPr>
        <w:pStyle w:val="TextBody"/>
        <w:bidi w:val="0"/>
        <w:spacing w:before="0" w:after="0"/>
        <w:ind w:left="0" w:right="0" w:hanging="0"/>
        <w:jc w:val="left"/>
        <w:rPr>
          <w:caps w:val="false"/>
          <w:smallCaps w:val="false"/>
        </w:rPr>
      </w:pPr>
      <w:r>
        <w:rPr>
          <w:caps w:val="false"/>
          <w:smallCaps w:val="false"/>
        </w:rPr>
        <w:t>  </w:t>
      </w:r>
    </w:p>
    <w:tbl>
      <w:tblPr>
        <w:tblW w:w="9100" w:type="dxa"/>
        <w:jc w:val="left"/>
        <w:tblInd w:w="0" w:type="dxa"/>
        <w:tblLayout w:type="fixed"/>
        <w:tblCellMar>
          <w:top w:w="0" w:type="dxa"/>
          <w:left w:w="0" w:type="dxa"/>
          <w:bottom w:w="0" w:type="dxa"/>
          <w:right w:w="0" w:type="dxa"/>
        </w:tblCellMar>
      </w:tblPr>
      <w:tblGrid>
        <w:gridCol w:w="2165"/>
        <w:gridCol w:w="60"/>
        <w:gridCol w:w="1175"/>
        <w:gridCol w:w="60"/>
        <w:gridCol w:w="60"/>
        <w:gridCol w:w="1175"/>
        <w:gridCol w:w="80"/>
        <w:gridCol w:w="60"/>
        <w:gridCol w:w="665"/>
        <w:gridCol w:w="80"/>
        <w:gridCol w:w="60"/>
        <w:gridCol w:w="1175"/>
        <w:gridCol w:w="60"/>
        <w:gridCol w:w="60"/>
        <w:gridCol w:w="1175"/>
        <w:gridCol w:w="80"/>
        <w:gridCol w:w="60"/>
        <w:gridCol w:w="755"/>
        <w:gridCol w:w="95"/>
      </w:tblGrid>
      <w:tr>
        <w:trPr/>
        <w:tc>
          <w:tcPr>
            <w:tcW w:w="2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75" w:type="dxa"/>
            <w:gridSpan w:val="7"/>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 the three months ended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65" w:type="dxa"/>
            <w:gridSpan w:val="7"/>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 the years ended</w:t>
            </w:r>
          </w:p>
        </w:tc>
        <w:tc>
          <w:tcPr>
            <w:tcW w:w="95" w:type="dxa"/>
            <w:tcBorders/>
            <w:vAlign w:val="center"/>
          </w:tcPr>
          <w:p>
            <w:pPr>
              <w:pStyle w:val="TableContents"/>
              <w:bidi w:val="0"/>
              <w:spacing w:before="0" w:after="283"/>
              <w:jc w:val="left"/>
              <w:rPr/>
            </w:pPr>
            <w:r>
              <w:rPr/>
              <w:t> </w:t>
            </w:r>
          </w:p>
        </w:tc>
      </w:tr>
      <w:tr>
        <w:trPr/>
        <w:tc>
          <w:tcPr>
            <w:tcW w:w="21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b/>
                <w:i/>
                <w:sz w:val="20"/>
              </w:rPr>
              <w:t>All amounts expressed in</w:t>
              <w:br/>
              <w:t>thousands of U.S. dollars)</w:t>
            </w:r>
          </w:p>
        </w:tc>
        <w:tc>
          <w:tcPr>
            <w:tcW w:w="60" w:type="dxa"/>
            <w:tcBorders/>
            <w:vAlign w:val="center"/>
          </w:tcPr>
          <w:p>
            <w:pPr>
              <w:pStyle w:val="TableContents"/>
              <w:bidi w:val="0"/>
              <w:spacing w:before="0" w:after="283"/>
              <w:jc w:val="center"/>
              <w:rPr/>
            </w:pPr>
            <w:r>
              <w:rPr/>
              <w:t> </w:t>
            </w:r>
          </w:p>
        </w:tc>
        <w:tc>
          <w:tcPr>
            <w:tcW w:w="1175"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br/>
              <w:t>2024</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75"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br/>
              <w:t>2025</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6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Change</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75"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br/>
              <w:t>2024</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75"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br/>
              <w:t>2025</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Change</w:t>
            </w:r>
          </w:p>
        </w:tc>
        <w:tc>
          <w:tcPr>
            <w:tcW w:w="95" w:type="dxa"/>
            <w:tcBorders/>
            <w:vAlign w:val="center"/>
          </w:tcPr>
          <w:p>
            <w:pPr>
              <w:pStyle w:val="TableContents"/>
              <w:bidi w:val="0"/>
              <w:spacing w:before="0" w:after="283"/>
              <w:jc w:val="center"/>
              <w:rPr/>
            </w:pPr>
            <w:r>
              <w:rPr/>
              <w:t> </w:t>
            </w:r>
          </w:p>
        </w:tc>
      </w:tr>
      <w:tr>
        <w:trPr/>
        <w:tc>
          <w:tcPr>
            <w:tcW w:w="21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Revenues</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85,225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66,846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(18,379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356,262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278,217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(78,045</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1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Profit/(loss) for the period</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17,959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(15,047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(33,006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150,950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(20,152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(171,102</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Revenues were $66.8 million for the quarter ended December 31, 2025 ($85.2 million for the same period in 2024). The decrease of $18.4 million is mainly attributable to the 263 less calendar days due to the </w:t>
      </w:r>
      <w:r>
        <w:rPr>
          <w:rFonts w:ascii="Times New Roman;Times;Serif" w:hAnsi="Times New Roman;Times;Serif"/>
          <w:b w:val="false"/>
          <w:i/>
          <w:caps w:val="false"/>
          <w:smallCaps w:val="false"/>
          <w:sz w:val="20"/>
        </w:rPr>
        <w:t>Methane Heather Sally</w:t>
      </w:r>
      <w:r>
        <w:rPr>
          <w:rFonts w:ascii="Times New Roman;Times;Serif" w:hAnsi="Times New Roman;Times;Serif"/>
          <w:b w:val="false"/>
          <w:i w:val="false"/>
          <w:caps w:val="false"/>
          <w:smallCaps w:val="false"/>
          <w:sz w:val="20"/>
        </w:rPr>
        <w:t xml:space="preserve">, which was under a bareboat agreement and was redelivered to its owners in July 2025, the sale of the </w:t>
      </w:r>
      <w:r>
        <w:rPr>
          <w:rFonts w:ascii="Times New Roman;Times;Serif" w:hAnsi="Times New Roman;Times;Serif"/>
          <w:b w:val="false"/>
          <w:i/>
          <w:caps w:val="false"/>
          <w:smallCaps w:val="false"/>
          <w:sz w:val="20"/>
        </w:rPr>
        <w:t>Methane Alison Victoria</w:t>
      </w:r>
      <w:r>
        <w:rPr>
          <w:rFonts w:ascii="Times New Roman;Times;Serif" w:hAnsi="Times New Roman;Times;Serif"/>
          <w:b w:val="false"/>
          <w:i w:val="false"/>
          <w:caps w:val="false"/>
          <w:smallCaps w:val="false"/>
          <w:sz w:val="20"/>
        </w:rPr>
        <w:t xml:space="preserve"> in July 2025, the sale of the </w:t>
      </w:r>
      <w:r>
        <w:rPr>
          <w:rFonts w:ascii="Times New Roman;Times;Serif" w:hAnsi="Times New Roman;Times;Serif"/>
          <w:b w:val="false"/>
          <w:i/>
          <w:caps w:val="false"/>
          <w:smallCaps w:val="false"/>
          <w:sz w:val="20"/>
        </w:rPr>
        <w:t>Methane Jane Elizabeth</w:t>
      </w:r>
      <w:r>
        <w:rPr>
          <w:rFonts w:ascii="Times New Roman;Times;Serif" w:hAnsi="Times New Roman;Times;Serif"/>
          <w:b w:val="false"/>
          <w:i w:val="false"/>
          <w:caps w:val="false"/>
          <w:smallCaps w:val="false"/>
          <w:sz w:val="20"/>
        </w:rPr>
        <w:t xml:space="preserve"> in October 2025 and the 2025 fixtures for our open days at lower rates due to the weak market in the three months ended December 31, 2025. Revenues were $278.2 million for the year ended December 31, 2025 ($356.3 million for the same period in 2024). The decrease of $78.1 million is mainly attributable to the 428 less calendar days due to the redelivery of the </w:t>
      </w:r>
      <w:r>
        <w:rPr>
          <w:rFonts w:ascii="Times New Roman;Times;Serif" w:hAnsi="Times New Roman;Times;Serif"/>
          <w:b w:val="false"/>
          <w:i/>
          <w:caps w:val="false"/>
          <w:smallCaps w:val="false"/>
          <w:sz w:val="20"/>
        </w:rPr>
        <w:t>Methane Heather Sally</w:t>
      </w:r>
      <w:r>
        <w:rPr>
          <w:rFonts w:ascii="Times New Roman;Times;Serif" w:hAnsi="Times New Roman;Times;Serif"/>
          <w:b w:val="false"/>
          <w:i w:val="false"/>
          <w:caps w:val="false"/>
          <w:smallCaps w:val="false"/>
          <w:sz w:val="20"/>
        </w:rPr>
        <w:t xml:space="preserve"> to its owners in July 2025, the sale of the </w:t>
      </w:r>
      <w:r>
        <w:rPr>
          <w:rFonts w:ascii="Times New Roman;Times;Serif" w:hAnsi="Times New Roman;Times;Serif"/>
          <w:b w:val="false"/>
          <w:i/>
          <w:caps w:val="false"/>
          <w:smallCaps w:val="false"/>
          <w:sz w:val="20"/>
        </w:rPr>
        <w:t>Methane Alison Victoria</w:t>
      </w:r>
      <w:r>
        <w:rPr>
          <w:rFonts w:ascii="Times New Roman;Times;Serif" w:hAnsi="Times New Roman;Times;Serif"/>
          <w:b w:val="false"/>
          <w:i w:val="false"/>
          <w:caps w:val="false"/>
          <w:smallCaps w:val="false"/>
          <w:sz w:val="20"/>
        </w:rPr>
        <w:t xml:space="preserve"> in July 2025 and the sale of the </w:t>
      </w:r>
      <w:r>
        <w:rPr>
          <w:rFonts w:ascii="Times New Roman;Times;Serif" w:hAnsi="Times New Roman;Times;Serif"/>
          <w:b w:val="false"/>
          <w:i/>
          <w:caps w:val="false"/>
          <w:smallCaps w:val="false"/>
          <w:sz w:val="20"/>
        </w:rPr>
        <w:t>Methane Jane Elizabeth</w:t>
      </w:r>
      <w:r>
        <w:rPr>
          <w:rFonts w:ascii="Times New Roman;Times;Serif" w:hAnsi="Times New Roman;Times;Serif"/>
          <w:b w:val="false"/>
          <w:i w:val="false"/>
          <w:caps w:val="false"/>
          <w:smallCaps w:val="false"/>
          <w:sz w:val="20"/>
        </w:rPr>
        <w:t xml:space="preserve"> in October 2025, the fixtures at lower charter rates due to the weak market and the 610 idle days in the year ended December 31, 2025 (42 idle days for the same period in 2024). As a result, the average daily hire rate we earned decreased from $71,238 for the year ended December 31, 2024, to $69,799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was $15.0 million for the quarter ended December 31, 2025 (profit of $18.0 million for the same period in 2024). The decrease in profit of $33.0 million is mainly attributable to a) an increase of $26.6 million in the non-cash impairment loss, as discussed above, and b) a decrease of $18.4 million in revenues, as discussed above, partially offset by a) a decrease of $4.6 million in depreciation as a result of the decrease in the average number of vessels in our fleet and b) a decrease of $4.4 million in vessel operating costs, mainly attributable to the decrease in the average number of vessels in our fleet and in the scheduled technical and maintenance costs, partially offset by an unfavorable movement in Euros/U.S. dollars exchange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Loss was $20.2 million for the year ended December 31, 2025 (profit of $151.0 million for the same period in 2024). The decrease in profit of $171.2 million is mainly attributable to a) an increase of $84.7 million in the non-cash impairment loss, as discussed above, b) a decrease of $8.4 million in non-cash gain on disposal of vessels ($8.2 million non-cash gain on disposal was recognized in 2024 as a result of the </w:t>
      </w:r>
      <w:r>
        <w:rPr>
          <w:rFonts w:ascii="Times New Roman;Times;Serif" w:hAnsi="Times New Roman;Times;Serif"/>
          <w:b w:val="false"/>
          <w:i/>
          <w:caps w:val="false"/>
          <w:smallCaps w:val="false"/>
          <w:sz w:val="20"/>
        </w:rPr>
        <w:t>GasLog Santiago</w:t>
      </w:r>
      <w:r>
        <w:rPr>
          <w:rFonts w:ascii="Times New Roman;Times;Serif" w:hAnsi="Times New Roman;Times;Serif"/>
          <w:b w:val="false"/>
          <w:i w:val="false"/>
          <w:caps w:val="false"/>
          <w:smallCaps w:val="false"/>
          <w:sz w:val="20"/>
        </w:rPr>
        <w:t xml:space="preserve"> sale and leaseback completed on August 27, 2024), c) a decrease of $78.1 million in revenues, as discussed above, and d) an increase of $9.2 million in voyage expenses and commissions mainly attributable to an increase in bunkers consumption as a result of the idle days mentioned above. The abovementioned fluctuations were partially offset by a) a decrease of $7.1 million in vessel operating costs mainly attributable to the decrease in the average number of vessels in our fleet and in the scheduled technical and maintenance costs, which were partially offset by an unfavorable movement in Euros/U.S. dollars exchange rate and b) a decrease of $2.6 million in general and administrative expenses mainly attributable to a decrease in commercial management fees in line with the decrease in revenues, discussed above and a decrease in administrative services fees attributable to the decrease in the average number of vessels.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we had $5.2 million cash and cash equivalents, held in current accounts (December 31, 2024: $7.8 million). During the year ended December 31, 2025, we made a return of capital to GasLog Ltd. (“GasLog”) of $51.5 million, reflecting the net proceeds from the sale of the </w:t>
      </w:r>
      <w:r>
        <w:rPr>
          <w:rFonts w:ascii="Times New Roman;Times;Serif" w:hAnsi="Times New Roman;Times;Serif"/>
          <w:b w:val="false"/>
          <w:i/>
          <w:caps w:val="false"/>
          <w:smallCaps w:val="false"/>
          <w:sz w:val="20"/>
        </w:rPr>
        <w:t>Methane Alison Victoria</w:t>
      </w:r>
      <w:r>
        <w:rPr>
          <w:rFonts w:ascii="Times New Roman;Times;Serif" w:hAnsi="Times New Roman;Times;Serif"/>
          <w:b w:val="false"/>
          <w:i w:val="false"/>
          <w:caps w:val="false"/>
          <w:smallCaps w:val="false"/>
          <w:sz w:val="20"/>
        </w:rPr>
        <w:t xml:space="preserve"> and the </w:t>
      </w:r>
      <w:r>
        <w:rPr>
          <w:rFonts w:ascii="Times New Roman;Times;Serif" w:hAnsi="Times New Roman;Times;Serif"/>
          <w:b w:val="false"/>
          <w:i/>
          <w:caps w:val="false"/>
          <w:smallCaps w:val="false"/>
          <w:sz w:val="20"/>
        </w:rPr>
        <w:t>Methane Jane Elizabeth</w:t>
      </w:r>
      <w:r>
        <w:rPr>
          <w:rFonts w:ascii="Times New Roman;Times;Serif" w:hAnsi="Times New Roman;Times;Serif"/>
          <w:b w:val="false"/>
          <w:i w:val="false"/>
          <w:caps w:val="false"/>
          <w:smallCaps w:val="false"/>
          <w:sz w:val="20"/>
        </w:rPr>
        <w:t>, which were vessels pledged as collateral under the terms of the facility entered into by GasLog in November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existing charters as of December 31, 2025, we had contracted revenues of $164.5 million for 2026 and $278.5 million thereafter. As of December 31, 2025, we had a total of 1,619 open days during 2026. Although the contracted revenues are based on contracted charter rates, we are dependent on the ability and willingness of our charterers to meet their obligations under these charters.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we had an aggregate of $64.9 million of lease liabilities (December 31, 2024: $107.6 million) mainly related to the sale and leasebacks of the </w:t>
      </w:r>
      <w:r>
        <w:rPr>
          <w:rFonts w:ascii="Times New Roman;Times;Serif" w:hAnsi="Times New Roman;Times;Serif"/>
          <w:b w:val="false"/>
          <w:i/>
          <w:caps w:val="false"/>
          <w:smallCaps w:val="false"/>
          <w:sz w:val="20"/>
        </w:rPr>
        <w:t>GasLog Shanghai,</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caps w:val="false"/>
          <w:smallCaps w:val="false"/>
          <w:sz w:val="20"/>
        </w:rPr>
        <w:t xml:space="preserve">GasLog Sydney </w:t>
      </w:r>
      <w:r>
        <w:rPr>
          <w:rFonts w:ascii="Times New Roman;Times;Serif" w:hAnsi="Times New Roman;Times;Serif"/>
          <w:b w:val="false"/>
          <w:i w:val="false"/>
          <w:caps w:val="false"/>
          <w:smallCaps w:val="false"/>
          <w:sz w:val="20"/>
        </w:rPr>
        <w:t xml:space="preserve">and the </w:t>
      </w:r>
      <w:r>
        <w:rPr>
          <w:rFonts w:ascii="Times New Roman;Times;Serif" w:hAnsi="Times New Roman;Times;Serif"/>
          <w:b w:val="false"/>
          <w:i/>
          <w:caps w:val="false"/>
          <w:smallCaps w:val="false"/>
          <w:sz w:val="20"/>
        </w:rPr>
        <w:t>GasLog Santiago</w:t>
      </w:r>
      <w:r>
        <w:rPr>
          <w:rFonts w:ascii="Times New Roman;Times;Serif" w:hAnsi="Times New Roman;Times;Serif"/>
          <w:b w:val="false"/>
          <w:i w:val="false"/>
          <w:caps w:val="false"/>
          <w:smallCaps w:val="false"/>
          <w:sz w:val="20"/>
        </w:rPr>
        <w:t xml:space="preserve">, of which $38.7 million was repayable within one year. In October 2026, the </w:t>
      </w:r>
      <w:r>
        <w:rPr>
          <w:rFonts w:ascii="Times New Roman;Times;Serif" w:hAnsi="Times New Roman;Times;Serif"/>
          <w:b w:val="false"/>
          <w:i/>
          <w:caps w:val="false"/>
          <w:smallCaps w:val="false"/>
          <w:sz w:val="20"/>
        </w:rPr>
        <w:t>GasLog Shanghai</w:t>
      </w:r>
      <w:r>
        <w:rPr>
          <w:rFonts w:ascii="Times New Roman;Times;Serif" w:hAnsi="Times New Roman;Times;Serif"/>
          <w:b w:val="false"/>
          <w:i w:val="false"/>
          <w:caps w:val="false"/>
          <w:smallCaps w:val="false"/>
          <w:sz w:val="20"/>
        </w:rPr>
        <w:t xml:space="preserve"> will be redelivered to its owners upon completion of the sale and leaseback agreement and will exit our fleet.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our current assets totaled $29.7 million and current liabilities totaled $81.0 million, resulting in a negative working capital position of $51.3 million. Current liabilities include $21.2 million of unearned revenue in relation to hires received in advance as of December 31, 2025 (which represents a non-cash liability that will be recognized as revenues after December 31, 2025 as the services are rendered). In considering going concern, management has reviewed the Partnership’s future cash requirements and earnings projections.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monitors the Partnership’s liquidity position throughout the year to ensure that it has access to sufficient funds to meet its forecast cash requirements. We anticipate that our primary sources of funds over the next twelve months will be available cash, cash from operations, capital contributions from GasLog, future sales and sale and leaseback transactions. We believe that these anticipated sources of funds will be sufficient to meet our liquidity needs for at least twelve months from the date of this report and therefore it is appropriate to prepare the financial statements on a going concern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Our Fleet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owned and bareboat fleet currently consists of the following vessels: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Owned Fleet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841"/>
        <w:gridCol w:w="60"/>
        <w:gridCol w:w="864"/>
        <w:gridCol w:w="60"/>
        <w:gridCol w:w="785"/>
        <w:gridCol w:w="60"/>
        <w:gridCol w:w="2718"/>
        <w:gridCol w:w="60"/>
        <w:gridCol w:w="950"/>
        <w:gridCol w:w="60"/>
        <w:gridCol w:w="1340"/>
        <w:gridCol w:w="60"/>
        <w:gridCol w:w="1347"/>
      </w:tblGrid>
      <w:tr>
        <w:trPr/>
        <w:tc>
          <w:tcPr>
            <w:tcW w:w="1841" w:type="dxa"/>
            <w:tcBorders>
              <w:bottom w:val="single" w:sz="8" w:space="0" w:color="000000"/>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LNG Carrier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864"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Built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78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Cargo</w:t>
              <w:br/>
              <w:t>Capacity</w:t>
              <w:br/>
              <w:t>(cbm)</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718"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Charterer (for</w:t>
              <w:br/>
              <w:t xml:space="preserve">contracts of more </w:t>
              <w:br/>
              <w:t>than six months)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50" w:type="dxa"/>
            <w:tcBorders>
              <w:bottom w:val="single" w:sz="8" w:space="0" w:color="000000"/>
            </w:tcBorders>
            <w:vAlign w:val="center"/>
          </w:tcPr>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Propulsion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4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Charter</w:t>
              <w:br/>
              <w:t>Expiration</w:t>
            </w:r>
            <w:r>
              <w:rPr>
                <w:rFonts w:ascii="Times New Roman;Times;Serif" w:hAnsi="Times New Roman;Times;Serif"/>
                <w:b/>
                <w:i w:val="false"/>
                <w:caps w:val="false"/>
                <w:smallCaps w:val="false"/>
                <w:position w:val="7"/>
                <w:sz w:val="16"/>
                <w:sz w:val="20"/>
              </w:rPr>
              <w:t>(1)</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47"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Optional Period</w:t>
            </w:r>
          </w:p>
        </w:tc>
      </w:tr>
      <w:tr>
        <w:trPr/>
        <w:tc>
          <w:tcPr>
            <w:tcW w:w="184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GasLog Greece</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864"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2016</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78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174,000</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718"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Shell </w:t>
            </w:r>
            <w:r>
              <w:rPr>
                <w:rFonts w:ascii="Times New Roman;Times;Serif" w:hAnsi="Times New Roman;Times;Serif"/>
                <w:b w:val="false"/>
                <w:i w:val="false"/>
                <w:caps w:val="false"/>
                <w:smallCaps w:val="false"/>
                <w:position w:val="7"/>
                <w:sz w:val="16"/>
                <w:sz w:val="20"/>
              </w:rPr>
              <w:t>(2)</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TFDE</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4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2026</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47"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w:t>
            </w:r>
          </w:p>
        </w:tc>
      </w:tr>
      <w:tr>
        <w:trPr/>
        <w:tc>
          <w:tcPr>
            <w:tcW w:w="1841"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Methane Rita Andrea</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864"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2006</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78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145,000</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718"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Asian LNG buyer</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Steam</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4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2026</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47"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w:t>
            </w:r>
          </w:p>
        </w:tc>
      </w:tr>
      <w:tr>
        <w:trPr/>
        <w:tc>
          <w:tcPr>
            <w:tcW w:w="184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GasLog Glasgow</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864"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2016</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78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174,000</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718"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Shell </w:t>
            </w:r>
            <w:r>
              <w:rPr>
                <w:rFonts w:ascii="Times New Roman;Times;Serif" w:hAnsi="Times New Roman;Times;Serif"/>
                <w:b w:val="false"/>
                <w:i w:val="false"/>
                <w:caps w:val="false"/>
                <w:smallCaps w:val="false"/>
                <w:position w:val="7"/>
                <w:sz w:val="16"/>
                <w:sz w:val="20"/>
              </w:rPr>
              <w:t>(2)</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TFDE</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4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2026</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47"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w:t>
            </w:r>
          </w:p>
        </w:tc>
      </w:tr>
      <w:tr>
        <w:trPr/>
        <w:tc>
          <w:tcPr>
            <w:tcW w:w="1841"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GasLog Seattle</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864"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2013</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78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155,000</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718"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Energy Trading &amp; Marketing Firm</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TFDE</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4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2026</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47"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w:t>
            </w:r>
          </w:p>
        </w:tc>
      </w:tr>
      <w:tr>
        <w:trPr/>
        <w:tc>
          <w:tcPr>
            <w:tcW w:w="184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GasLog Geneva</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864"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2016</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78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174,000</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718"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Shell</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TFDE</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4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2028</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47"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2031 </w:t>
            </w:r>
            <w:r>
              <w:rPr>
                <w:rFonts w:ascii="Times New Roman;Times;Serif" w:hAnsi="Times New Roman;Times;Serif"/>
                <w:b w:val="false"/>
                <w:i w:val="false"/>
                <w:caps w:val="false"/>
                <w:smallCaps w:val="false"/>
                <w:position w:val="7"/>
                <w:sz w:val="16"/>
                <w:sz w:val="20"/>
              </w:rPr>
              <w:t>(2)</w:t>
            </w:r>
          </w:p>
        </w:tc>
      </w:tr>
      <w:tr>
        <w:trPr/>
        <w:tc>
          <w:tcPr>
            <w:tcW w:w="1841"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GasLog Gibraltar </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864"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2016</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78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174,000</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718"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Shell</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TFDE</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4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2028</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47"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2031 </w:t>
            </w:r>
            <w:r>
              <w:rPr>
                <w:rFonts w:ascii="Times New Roman;Times;Serif" w:hAnsi="Times New Roman;Times;Serif"/>
                <w:b w:val="false"/>
                <w:i w:val="false"/>
                <w:caps w:val="false"/>
                <w:smallCaps w:val="false"/>
                <w:position w:val="7"/>
                <w:sz w:val="16"/>
                <w:sz w:val="20"/>
              </w:rPr>
              <w:t>(2)</w:t>
            </w:r>
          </w:p>
        </w:tc>
      </w:tr>
      <w:tr>
        <w:trPr/>
        <w:tc>
          <w:tcPr>
            <w:tcW w:w="184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Methane Becki Anne</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864"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2010</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78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170,000</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718"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Shell </w:t>
            </w:r>
            <w:r>
              <w:rPr>
                <w:rFonts w:ascii="Times New Roman;Times;Serif" w:hAnsi="Times New Roman;Times;Serif"/>
                <w:b w:val="false"/>
                <w:i w:val="false"/>
                <w:caps w:val="false"/>
                <w:smallCaps w:val="false"/>
                <w:position w:val="7"/>
                <w:sz w:val="16"/>
                <w:sz w:val="20"/>
              </w:rPr>
              <w:t>(2)</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TFDE</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4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2029</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47"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w:t>
            </w:r>
          </w:p>
        </w:tc>
      </w:tr>
      <w:tr>
        <w:trPr/>
        <w:tc>
          <w:tcPr>
            <w:tcW w:w="1841"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Solaris</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864"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2014</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78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155,000</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718"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Kansai </w:t>
            </w:r>
            <w:r>
              <w:rPr>
                <w:rFonts w:ascii="Times New Roman;Times;Serif" w:hAnsi="Times New Roman;Times;Serif"/>
                <w:b w:val="false"/>
                <w:i w:val="false"/>
                <w:caps w:val="false"/>
                <w:smallCaps w:val="false"/>
                <w:position w:val="7"/>
                <w:sz w:val="16"/>
                <w:sz w:val="20"/>
              </w:rPr>
              <w:t>(3)</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TFDE</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4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2030</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47"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ind w:left="0" w:right="0" w:firstLine="360"/>
        <w:jc w:val="left"/>
        <w:rPr>
          <w:bdr w:val="single" w:sz="8" w:space="1" w:color="000000"/>
        </w:rPr>
      </w:pPr>
      <w:r>
        <w:rPr>
          <w:bdr w:val="single" w:sz="8" w:space="1" w:color="000000"/>
        </w:rPr>
        <w:t> </w:t>
      </w:r>
    </w:p>
    <w:tbl>
      <w:tblPr>
        <w:tblW w:w="4210" w:type="dxa"/>
        <w:jc w:val="left"/>
        <w:tblInd w:w="0" w:type="dxa"/>
        <w:tblLayout w:type="fixed"/>
        <w:tblCellMar>
          <w:top w:w="0" w:type="dxa"/>
          <w:left w:w="0" w:type="dxa"/>
          <w:bottom w:w="0" w:type="dxa"/>
          <w:right w:w="0" w:type="dxa"/>
        </w:tblCellMar>
      </w:tblPr>
      <w:tblGrid>
        <w:gridCol w:w="260"/>
        <w:gridCol w:w="3950"/>
      </w:tblGrid>
      <w:tr>
        <w:trPr/>
        <w:tc>
          <w:tcPr>
            <w:tcW w:w="260" w:type="dxa"/>
            <w:tcBorders/>
            <w:vAlign w:val="center"/>
          </w:tcPr>
          <w:p>
            <w:pPr>
              <w:pStyle w:val="TableContents"/>
              <w:bidi w:val="0"/>
              <w:spacing w:before="0" w:after="283"/>
              <w:jc w:val="left"/>
              <w:rPr>
                <w:position w:val="8"/>
                <w:sz w:val="19"/>
              </w:rPr>
            </w:pPr>
            <w:r>
              <w:rPr>
                <w:position w:val="8"/>
                <w:sz w:val="19"/>
              </w:rPr>
              <w:t>(1)</w:t>
            </w:r>
          </w:p>
        </w:tc>
        <w:tc>
          <w:tcPr>
            <w:tcW w:w="3950" w:type="dxa"/>
            <w:tcBorders/>
            <w:vAlign w:val="center"/>
          </w:tcPr>
          <w:p>
            <w:pPr>
              <w:pStyle w:val="TableContents"/>
              <w:bidi w:val="0"/>
              <w:spacing w:before="0" w:after="283"/>
              <w:jc w:val="left"/>
              <w:rPr/>
            </w:pPr>
            <w:r>
              <w:rPr/>
              <w:t>Indicates the expiration of the initial term.</w:t>
            </w:r>
          </w:p>
        </w:tc>
      </w:tr>
    </w:tbl>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283"/>
              <w:jc w:val="left"/>
              <w:rPr>
                <w:position w:val="8"/>
                <w:sz w:val="19"/>
              </w:rPr>
            </w:pPr>
            <w:r>
              <w:rPr>
                <w:position w:val="8"/>
                <w:sz w:val="19"/>
              </w:rPr>
              <w:t>(2)</w:t>
            </w:r>
          </w:p>
        </w:tc>
        <w:tc>
          <w:tcPr>
            <w:tcW w:w="9983" w:type="dxa"/>
            <w:tcBorders/>
            <w:vAlign w:val="center"/>
          </w:tcPr>
          <w:p>
            <w:pPr>
              <w:pStyle w:val="TableContents"/>
              <w:bidi w:val="0"/>
              <w:spacing w:before="0" w:after="283"/>
              <w:jc w:val="left"/>
              <w:rPr/>
            </w:pPr>
            <w:r>
              <w:rPr/>
              <w:t xml:space="preserve">The vessel is chartered to a wholly owned subsidiary of Shell plc (“Shell”). Shell has the right to extend the charters of the </w:t>
            </w:r>
            <w:r>
              <w:rPr>
                <w:i/>
              </w:rPr>
              <w:t>GasLog Geneva</w:t>
            </w:r>
            <w:r>
              <w:rPr/>
              <w:t xml:space="preserve"> and the </w:t>
            </w:r>
            <w:r>
              <w:rPr>
                <w:i/>
              </w:rPr>
              <w:t>GasLog Gibraltar</w:t>
            </w:r>
            <w:r>
              <w:rPr/>
              <w:t xml:space="preserve"> for a period of three years, provided that Shell gives us advance notice of the declarations.</w:t>
            </w:r>
          </w:p>
        </w:tc>
      </w:tr>
    </w:tbl>
    <w:tbl>
      <w:tblPr>
        <w:tblW w:w="5020" w:type="dxa"/>
        <w:jc w:val="left"/>
        <w:tblInd w:w="0" w:type="dxa"/>
        <w:tblLayout w:type="fixed"/>
        <w:tblCellMar>
          <w:top w:w="0" w:type="dxa"/>
          <w:left w:w="0" w:type="dxa"/>
          <w:bottom w:w="0" w:type="dxa"/>
          <w:right w:w="0" w:type="dxa"/>
        </w:tblCellMar>
      </w:tblPr>
      <w:tblGrid>
        <w:gridCol w:w="260"/>
        <w:gridCol w:w="4760"/>
      </w:tblGrid>
      <w:tr>
        <w:trPr/>
        <w:tc>
          <w:tcPr>
            <w:tcW w:w="260" w:type="dxa"/>
            <w:tcBorders/>
            <w:vAlign w:val="center"/>
          </w:tcPr>
          <w:p>
            <w:pPr>
              <w:pStyle w:val="TableContents"/>
              <w:bidi w:val="0"/>
              <w:spacing w:before="0" w:after="283"/>
              <w:jc w:val="left"/>
              <w:rPr>
                <w:position w:val="8"/>
                <w:sz w:val="19"/>
              </w:rPr>
            </w:pPr>
            <w:r>
              <w:rPr>
                <w:position w:val="8"/>
                <w:sz w:val="19"/>
              </w:rPr>
              <w:t>(3)</w:t>
            </w:r>
          </w:p>
        </w:tc>
        <w:tc>
          <w:tcPr>
            <w:tcW w:w="4760" w:type="dxa"/>
            <w:tcBorders/>
            <w:vAlign w:val="center"/>
          </w:tcPr>
          <w:p>
            <w:pPr>
              <w:pStyle w:val="TableContents"/>
              <w:bidi w:val="0"/>
              <w:spacing w:before="0" w:after="283"/>
              <w:jc w:val="left"/>
              <w:rPr/>
            </w:pPr>
            <w:r>
              <w:rPr/>
              <w:t>“</w:t>
            </w:r>
            <w:r>
              <w:rPr/>
              <w:t>Kansai” refers to KE Fuel International Co., Ltd.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Bareboat Fleet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389"/>
        <w:gridCol w:w="60"/>
        <w:gridCol w:w="755"/>
        <w:gridCol w:w="60"/>
        <w:gridCol w:w="785"/>
        <w:gridCol w:w="60"/>
        <w:gridCol w:w="3162"/>
        <w:gridCol w:w="60"/>
        <w:gridCol w:w="950"/>
        <w:gridCol w:w="60"/>
        <w:gridCol w:w="1600"/>
        <w:gridCol w:w="60"/>
        <w:gridCol w:w="1204"/>
      </w:tblGrid>
      <w:tr>
        <w:trPr/>
        <w:tc>
          <w:tcPr>
            <w:tcW w:w="1389" w:type="dxa"/>
            <w:tcBorders>
              <w:bottom w:val="single" w:sz="8" w:space="0" w:color="000000"/>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LNG Carrier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75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Built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78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Cargo</w:t>
              <w:br/>
              <w:t>Capacity</w:t>
              <w:br/>
              <w:t>(cbm)</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162"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Charterer (for contracts of more than six months)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50" w:type="dxa"/>
            <w:tcBorders>
              <w:bottom w:val="single" w:sz="8" w:space="0" w:color="000000"/>
            </w:tcBorders>
            <w:vAlign w:val="center"/>
          </w:tcPr>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Propulsion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Charter Expiration</w:t>
            </w:r>
            <w:r>
              <w:rPr>
                <w:rFonts w:ascii="Times New Roman;Times;Serif" w:hAnsi="Times New Roman;Times;Serif"/>
                <w:b/>
                <w:i w:val="false"/>
                <w:caps w:val="false"/>
                <w:smallCaps w:val="false"/>
                <w:position w:val="7"/>
                <w:sz w:val="16"/>
                <w:sz w:val="20"/>
              </w:rPr>
              <w:t>(1)</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04"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Optional Period</w:t>
            </w:r>
          </w:p>
        </w:tc>
      </w:tr>
      <w:tr>
        <w:trPr/>
        <w:tc>
          <w:tcPr>
            <w:tcW w:w="138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GasLog Shanghai</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75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2013</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78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155,000</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162"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Spot Market</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TFDE</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0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04"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w:t>
            </w:r>
          </w:p>
        </w:tc>
      </w:tr>
      <w:tr>
        <w:trPr/>
        <w:tc>
          <w:tcPr>
            <w:tcW w:w="138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GasLog Sydney</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75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2013</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78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155,000</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162"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Spot Market</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TFDE</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0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04"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w:t>
            </w:r>
          </w:p>
        </w:tc>
      </w:tr>
      <w:tr>
        <w:trPr/>
        <w:tc>
          <w:tcPr>
            <w:tcW w:w="138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GasLog Santiago</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75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2013</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78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155,000</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162"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Major Energy Exploration Company</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TFDE</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0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2026</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04"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w:t>
            </w:r>
          </w:p>
        </w:tc>
      </w:tr>
    </w:tbl>
    <w:p>
      <w:pPr>
        <w:pStyle w:val="TextBody"/>
        <w:bidi w:val="0"/>
        <w:spacing w:before="0" w:after="0"/>
        <w:ind w:left="0" w:right="0" w:hanging="0"/>
        <w:jc w:val="center"/>
        <w:rPr>
          <w:caps w:val="false"/>
          <w:smallCaps w:val="false"/>
        </w:rPr>
      </w:pPr>
      <w:r>
        <w:rPr>
          <w:caps w:val="false"/>
          <w:smallCaps w:val="false"/>
        </w:rPr>
        <w:t> </w:t>
      </w:r>
    </w:p>
    <w:tbl>
      <w:tblPr>
        <w:tblW w:w="4210" w:type="dxa"/>
        <w:jc w:val="left"/>
        <w:tblInd w:w="0" w:type="dxa"/>
        <w:tblLayout w:type="fixed"/>
        <w:tblCellMar>
          <w:top w:w="0" w:type="dxa"/>
          <w:left w:w="0" w:type="dxa"/>
          <w:bottom w:w="0" w:type="dxa"/>
          <w:right w:w="0" w:type="dxa"/>
        </w:tblCellMar>
      </w:tblPr>
      <w:tblGrid>
        <w:gridCol w:w="260"/>
        <w:gridCol w:w="3950"/>
      </w:tblGrid>
      <w:tr>
        <w:trPr/>
        <w:tc>
          <w:tcPr>
            <w:tcW w:w="260" w:type="dxa"/>
            <w:tcBorders/>
            <w:vAlign w:val="center"/>
          </w:tcPr>
          <w:p>
            <w:pPr>
              <w:pStyle w:val="TableContents"/>
              <w:bidi w:val="0"/>
              <w:spacing w:before="0" w:after="283"/>
              <w:jc w:val="left"/>
              <w:rPr>
                <w:position w:val="8"/>
                <w:sz w:val="19"/>
              </w:rPr>
            </w:pPr>
            <w:r>
              <w:rPr>
                <w:position w:val="8"/>
                <w:sz w:val="19"/>
              </w:rPr>
              <w:t>(1)</w:t>
            </w:r>
          </w:p>
        </w:tc>
        <w:tc>
          <w:tcPr>
            <w:tcW w:w="3950" w:type="dxa"/>
            <w:tcBorders/>
            <w:vAlign w:val="center"/>
          </w:tcPr>
          <w:p>
            <w:pPr>
              <w:pStyle w:val="TableContents"/>
              <w:bidi w:val="0"/>
              <w:spacing w:before="0" w:after="283"/>
              <w:jc w:val="left"/>
              <w:rPr/>
            </w:pPr>
            <w:r>
              <w:rPr/>
              <w:t>Indicates the expiration of the initial term.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the Partnership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and involve known and unknown risks, uncertainties and other important factors that may cause our actual results, performance or achievements to be materially different from the expectations expressed or implied by the forward-looking statements, including, among others, LNG shipping market trends, including in the context of broader geopolitical conditions, our ability to secure future employment for our vessels in the spot market, the availability of financing for our commitments, our ability to comply with evolving regulatory requirements, our ability to maintain and grow our customer relationships and the effective and efficient technical and operational management of our ships. Any of these factors or a combination of these factors could materially affect future results of operations and the ultimate accuracy of the forward-looking statements. Other factors that might cause future results and outcomes to differ include, but are not limited to, the other risks and uncertainties described in the Partnership’s Annual Report on Form 20-F filed with the SEC on March 14, 2025, available at http://www.sec.gov. Accordingly, you should not unduly rely on any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undertake no obligation to update or revise any forward-looking statements contained in this press release,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 – Unaudited Interim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financial position</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expressed in thousands of U.S. Dollars)</w:t>
      </w:r>
    </w:p>
    <w:p>
      <w:pPr>
        <w:pStyle w:val="TextBody"/>
        <w:bidi w:val="0"/>
        <w:spacing w:before="0" w:after="0"/>
        <w:ind w:left="0" w:right="0" w:hanging="0"/>
        <w:jc w:val="left"/>
        <w:rPr>
          <w:caps w:val="false"/>
          <w:smallCaps w:val="false"/>
        </w:rPr>
      </w:pPr>
      <w:r>
        <w:rPr>
          <w:caps w:val="false"/>
          <w:smallCaps w:val="false"/>
        </w:rPr>
        <w:t> </w:t>
      </w:r>
    </w:p>
    <w:tbl>
      <w:tblPr>
        <w:tblW w:w="5970" w:type="dxa"/>
        <w:jc w:val="left"/>
        <w:tblInd w:w="0" w:type="dxa"/>
        <w:tblLayout w:type="fixed"/>
        <w:tblCellMar>
          <w:top w:w="0" w:type="dxa"/>
          <w:left w:w="0" w:type="dxa"/>
          <w:bottom w:w="0" w:type="dxa"/>
          <w:right w:w="0" w:type="dxa"/>
        </w:tblCellMar>
      </w:tblPr>
      <w:tblGrid>
        <w:gridCol w:w="3365"/>
        <w:gridCol w:w="60"/>
        <w:gridCol w:w="77"/>
        <w:gridCol w:w="1098"/>
        <w:gridCol w:w="60"/>
        <w:gridCol w:w="60"/>
        <w:gridCol w:w="77"/>
        <w:gridCol w:w="1098"/>
        <w:gridCol w:w="75"/>
      </w:tblGrid>
      <w:tr>
        <w:trPr/>
        <w:tc>
          <w:tcPr>
            <w:tcW w:w="33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br/>
              <w:t>2024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b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 assets</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Tangible fixed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1,276,472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1,116,578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129,890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54,960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non-current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1,407,844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1,172,611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assets</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and other receivables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13,383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16,959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4,644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from related parties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10,408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Prepayments and other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3,986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7,771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5,221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38,273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29,689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1,446,117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1,202,300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Partners’ equity and liabilities</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Partners’ equity</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unitholders and general partner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1,016,574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814,972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Preference unitholders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280,129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279,859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partners’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1,296,703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1,094,831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accounts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7,733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payables and accruals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33,784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39,532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liabilities—current portion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42,741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38,679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84,258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81,026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 liabilities</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liabilities—non-current portion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64,852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26,233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non-current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65,156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26,443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partners’ equity and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1,446,117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1,202,300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profit or loss</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expressed in thousands of U.S. Dollars)</w:t>
      </w:r>
    </w:p>
    <w:p>
      <w:pPr>
        <w:pStyle w:val="TextBody"/>
        <w:bidi w:val="0"/>
        <w:spacing w:before="0" w:after="0"/>
        <w:ind w:left="0" w:right="0" w:hanging="0"/>
        <w:jc w:val="left"/>
        <w:rPr>
          <w:caps w:val="false"/>
          <w:smallCaps w:val="false"/>
        </w:rPr>
      </w:pPr>
      <w:r>
        <w:rPr>
          <w:caps w:val="false"/>
          <w:smallCaps w:val="false"/>
        </w:rPr>
        <w:t> </w:t>
      </w:r>
    </w:p>
    <w:tbl>
      <w:tblPr>
        <w:tblW w:w="10203" w:type="dxa"/>
        <w:jc w:val="left"/>
        <w:tblInd w:w="0" w:type="dxa"/>
        <w:tblLayout w:type="fixed"/>
        <w:tblCellMar>
          <w:top w:w="0" w:type="dxa"/>
          <w:left w:w="0" w:type="dxa"/>
          <w:bottom w:w="0" w:type="dxa"/>
          <w:right w:w="0" w:type="dxa"/>
        </w:tblCellMar>
      </w:tblPr>
      <w:tblGrid>
        <w:gridCol w:w="3005"/>
        <w:gridCol w:w="60"/>
        <w:gridCol w:w="138"/>
        <w:gridCol w:w="1501"/>
        <w:gridCol w:w="118"/>
        <w:gridCol w:w="89"/>
        <w:gridCol w:w="138"/>
        <w:gridCol w:w="1501"/>
        <w:gridCol w:w="80"/>
        <w:gridCol w:w="60"/>
        <w:gridCol w:w="120"/>
        <w:gridCol w:w="1519"/>
        <w:gridCol w:w="80"/>
        <w:gridCol w:w="60"/>
        <w:gridCol w:w="120"/>
        <w:gridCol w:w="1519"/>
        <w:gridCol w:w="95"/>
      </w:tblGrid>
      <w:tr>
        <w:trPr/>
        <w:tc>
          <w:tcPr>
            <w:tcW w:w="30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48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41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2024</w:t>
            </w:r>
          </w:p>
        </w:tc>
        <w:tc>
          <w:tcPr>
            <w:tcW w:w="118" w:type="dxa"/>
            <w:tcBorders/>
            <w:vAlign w:val="center"/>
          </w:tcPr>
          <w:p>
            <w:pPr>
              <w:pStyle w:val="TableContents"/>
              <w:bidi w:val="0"/>
              <w:spacing w:before="0" w:after="283"/>
              <w:jc w:val="left"/>
              <w:rPr>
                <w:caps w:val="false"/>
                <w:smallCaps w:val="false"/>
              </w:rPr>
            </w:pPr>
            <w:r>
              <w:rPr>
                <w:caps w:val="false"/>
                <w:smallCaps w:val="false"/>
              </w:rPr>
              <w:t> </w:t>
            </w:r>
          </w:p>
        </w:tc>
        <w:tc>
          <w:tcPr>
            <w:tcW w:w="89" w:type="dxa"/>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2024</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85,225</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66,846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356,262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278,217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Voyage expenses and commissions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(4,846</w:t>
            </w:r>
          </w:p>
        </w:tc>
        <w:tc>
          <w:tcPr>
            <w:tcW w:w="11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(9,141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(18,303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Vessel operating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(19,092</w:t>
            </w:r>
          </w:p>
        </w:tc>
        <w:tc>
          <w:tcPr>
            <w:tcW w:w="11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(14,672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(69,731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(62,554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(28,733</w:t>
            </w:r>
          </w:p>
        </w:tc>
        <w:tc>
          <w:tcPr>
            <w:tcW w:w="11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(24,108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(104,900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(105,140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(4,331</w:t>
            </w:r>
          </w:p>
        </w:tc>
        <w:tc>
          <w:tcPr>
            <w:tcW w:w="11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(3,494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(16,422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(13,793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Gain/(loss) on disposal of vessels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0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(8,674</w:t>
            </w:r>
          </w:p>
        </w:tc>
        <w:tc>
          <w:tcPr>
            <w:tcW w:w="11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0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(35,268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(8,674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(93,438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Profit/(loss)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0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19,549</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0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(14,019</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1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155,590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1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(15,195</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(1,637</w:t>
            </w:r>
          </w:p>
        </w:tc>
        <w:tc>
          <w:tcPr>
            <w:tcW w:w="11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(4,830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(5,043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0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0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1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1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other expenses,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0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(1,590</w:t>
            </w:r>
          </w:p>
        </w:tc>
        <w:tc>
          <w:tcPr>
            <w:tcW w:w="11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0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(1,028</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(4,640</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(4,957</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Profit/(loss) for the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0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17,959</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0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(15,047</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1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150,950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1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(20,152</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cash flows</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expressed in thousands of U.S. Dollars)</w:t>
      </w:r>
    </w:p>
    <w:p>
      <w:pPr>
        <w:pStyle w:val="TextBody"/>
        <w:bidi w:val="0"/>
        <w:spacing w:before="0" w:after="0"/>
        <w:ind w:left="0" w:right="0" w:hanging="0"/>
        <w:jc w:val="left"/>
        <w:rPr>
          <w:caps w:val="false"/>
          <w:smallCaps w:val="false"/>
        </w:rPr>
      </w:pPr>
      <w:r>
        <w:rPr>
          <w:caps w:val="false"/>
          <w:smallCaps w:val="false"/>
        </w:rPr>
        <w:t> </w:t>
      </w:r>
    </w:p>
    <w:tbl>
      <w:tblPr>
        <w:tblW w:w="7090" w:type="dxa"/>
        <w:jc w:val="left"/>
        <w:tblInd w:w="0" w:type="dxa"/>
        <w:tblLayout w:type="fixed"/>
        <w:tblCellMar>
          <w:top w:w="0" w:type="dxa"/>
          <w:left w:w="0" w:type="dxa"/>
          <w:bottom w:w="0" w:type="dxa"/>
          <w:right w:w="0" w:type="dxa"/>
        </w:tblCellMar>
      </w:tblPr>
      <w:tblGrid>
        <w:gridCol w:w="4445"/>
        <w:gridCol w:w="60"/>
        <w:gridCol w:w="86"/>
        <w:gridCol w:w="1089"/>
        <w:gridCol w:w="80"/>
        <w:gridCol w:w="60"/>
        <w:gridCol w:w="86"/>
        <w:gridCol w:w="1089"/>
        <w:gridCol w:w="95"/>
      </w:tblGrid>
      <w:tr>
        <w:trPr/>
        <w:tc>
          <w:tcPr>
            <w:tcW w:w="4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9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br/>
              <w:t>2024</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b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Profit/(loss) for the year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150,950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(20,152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 for:</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104,900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105,140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8,674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93,438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(Gain)/loss on disposal of vessels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(8,196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4,830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5,043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260,968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183,567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Movements in working capital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8,928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8,125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provided by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269,896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191,692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sales and sale and leaseback,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148,220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for tangible fixed assets additions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(8,477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(16,095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for right-of-use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income received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provided by investing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139,377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35,300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elements of lease payments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(33,863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(42,779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paid on leases and other financial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(4,830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(5,043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loan issuance costs,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Distributions paid (including common and preference)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(226,443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(130,220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Return of capital contributions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(148,220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(51,500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used in financing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(413,389</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(229,542</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4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Decrease in 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(4,116</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(2,550</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beginning of the year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11,887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7,771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and cash equivalents, end of the year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7,771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5,221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3541</Words>
  <Characters>19111</Characters>
  <CharactersWithSpaces>22903</CharactersWithSpaces>
  <Paragraphs>1192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