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10,017,810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10,017,810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10,017,810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460" w:right="7820" w:hanging="547"/>
        <w:spacing w:after="0" w:line="286" w:lineRule="auto"/>
        <w:tabs>
          <w:tab w:leader="none" w:pos="14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GasLog Partners LP</w:t>
      </w:r>
    </w:p>
    <w:p>
      <w:pPr>
        <w:spacing w:after="0" w:line="45" w:lineRule="exact"/>
        <w:rPr>
          <w:rFonts w:ascii="Times New Roman" w:cs="Times New Roman" w:eastAsia="Times New Roman" w:hAnsi="Times New Roman"/>
          <w:sz w:val="21"/>
          <w:szCs w:val="21"/>
          <w:b w:val="1"/>
          <w:bCs w:val="1"/>
          <w:color w:val="auto"/>
        </w:rPr>
      </w:pPr>
    </w:p>
    <w:p>
      <w:pPr>
        <w:ind w:left="1460" w:right="5260" w:hanging="547"/>
        <w:spacing w:after="0" w:line="262" w:lineRule="auto"/>
        <w:tabs>
          <w:tab w:leader="none" w:pos="14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69, Akti, Miaouli, Piraeus 330 53, GR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460" w:right="704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460" w:right="416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1555 Peachtree Street NE, Suite 1800, Atlanta, GA 30309</w:t>
      </w:r>
    </w:p>
    <w:p>
      <w:pPr>
        <w:spacing w:after="0" w:line="45" w:lineRule="exact"/>
        <w:rPr>
          <w:rFonts w:ascii="Times New Roman" w:cs="Times New Roman" w:eastAsia="Times New Roman" w:hAnsi="Times New Roman"/>
          <w:sz w:val="21"/>
          <w:szCs w:val="21"/>
          <w:b w:val="1"/>
          <w:bCs w:val="1"/>
          <w:color w:val="auto"/>
        </w:rPr>
      </w:pPr>
    </w:p>
    <w:p>
      <w:pPr>
        <w:ind w:left="1460" w:right="852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460" w:right="7180" w:hanging="547"/>
        <w:spacing w:after="0" w:line="262" w:lineRule="auto"/>
        <w:tabs>
          <w:tab w:leader="none" w:pos="14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460" w:right="8100" w:hanging="547"/>
        <w:spacing w:after="0" w:line="286" w:lineRule="auto"/>
        <w:tabs>
          <w:tab w:leader="none" w:pos="14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Y2687W108</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(a)</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(b)</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(c)</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(d)</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(e)</w:t>
        <w:tab/>
        <w:t>[X]</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(g)</w:t>
        <w:tab/>
        <w:t>[X]</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(h)</w:t>
        <w:tab/>
        <w:t>[ ]</w:t>
      </w:r>
    </w:p>
    <w:p>
      <w:pPr>
        <w:spacing w:after="0" w:line="368"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6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220"/>
            <w:col w:w="88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460" w:hanging="547"/>
        <w:spacing w:after="0"/>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460" w:right="66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Invesco Ltd. , in its capacity as a parent holding company to its investment advisers, may be deemed to beneficially own 10,017,810 shares of the Issuer which are held of record by clients of Invesco Ltd. ..</w:t>
      </w:r>
    </w:p>
    <w:p>
      <w:pPr>
        <w:sectPr>
          <w:pgSz w:w="11900" w:h="16838" w:orient="portrait"/>
          <w:cols w:equalWidth="0" w:num="1">
            <w:col w:w="11020"/>
          </w:cols>
          <w:pgMar w:left="400" w:top="419" w:right="479" w:bottom="0" w:gutter="0" w:footer="0" w:header="0"/>
          <w:type w:val="continuous"/>
        </w:sectPr>
      </w:pPr>
    </w:p>
    <w:p>
      <w:pPr>
        <w:spacing w:after="0" w:line="54" w:lineRule="exact"/>
        <w:rPr>
          <w:sz w:val="20"/>
          <w:szCs w:val="20"/>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21.1%</w:t>
      </w:r>
    </w:p>
    <w:p>
      <w:pPr>
        <w:spacing w:after="0" w:line="125" w:lineRule="exact"/>
        <w:rPr>
          <w:rFonts w:ascii="Times New Roman" w:cs="Times New Roman" w:eastAsia="Times New Roman" w:hAnsi="Times New Roman"/>
          <w:sz w:val="22"/>
          <w:szCs w:val="22"/>
          <w:color w:val="auto"/>
        </w:rPr>
      </w:pPr>
    </w:p>
    <w:p>
      <w:pPr>
        <w:ind w:left="1460" w:hanging="547"/>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200" w:hanging="747"/>
        <w:spacing w:after="0"/>
        <w:tabs>
          <w:tab w:leader="none" w:pos="22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200" w:right="780" w:hanging="747"/>
        <w:spacing w:after="0" w:line="185" w:lineRule="auto"/>
        <w:tabs>
          <w:tab w:leader="none" w:pos="22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10,017,810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10,017,810</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400" w:space="260"/>
            <w:col w:w="43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Invesco Capital Management LLC is a subsidiary of Invesco Ltd. and it advises the Invesco International Dividend Achievers ETF which owns 16.10%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95"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January 11, 2021</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Assurance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2021-01-11T13:12:29Z</dcterms:created>
  <dcterms:modified xsi:type="dcterms:W3CDTF">2021-01-11T13:12:29Z</dcterms:modified>
</cp:coreProperties>
</file>