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65">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333-220736</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10,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144145</wp:posOffset>
            </wp:positionV>
            <wp:extent cx="133794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94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Units Representing Limited Partner Interests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Having an Aggregate Offering Price of Up to $144,040,000</w:t>
      </w:r>
    </w:p>
    <w:p>
      <w:pPr>
        <w:spacing w:after="0" w:line="216" w:lineRule="exact"/>
        <w:rPr>
          <w:sz w:val="24"/>
          <w:szCs w:val="24"/>
          <w:color w:val="auto"/>
        </w:rPr>
      </w:pPr>
    </w:p>
    <w:p>
      <w:pPr>
        <w:ind w:right="160" w:firstLine="348"/>
        <w:spacing w:after="0" w:line="289" w:lineRule="auto"/>
        <w:rPr>
          <w:sz w:val="20"/>
          <w:szCs w:val="20"/>
          <w:color w:val="auto"/>
        </w:rPr>
      </w:pPr>
      <w:r>
        <w:rPr>
          <w:rFonts w:ascii="Arial" w:cs="Arial" w:eastAsia="Arial" w:hAnsi="Arial"/>
          <w:sz w:val="16"/>
          <w:szCs w:val="16"/>
          <w:color w:val="auto"/>
        </w:rPr>
        <w:t>We have entered into a second amended and restated equity distribution agreement (the "Second Amended and Restated Equity Distribution Agreement") with Citigroup Global Markets Inc., Merrill Lynch, Pierce, Fenner &amp; Smith Incorporated, Credit Suisse Securities (USA) LLC, Morgan Stanley &amp; Co. LLC and UBS Securities LLC relating to the common units representing limited partner interests in GasLog Partners LP offered by this prospectus supplement and the accompanying prospectus. In accordance with the terms of the Second Amended and Restated Equity Distribution Agreement, we may offer and sell common units having an aggregate offering price of up to $144,040,000 from time to time through Citigroup Global Markets Inc., Merrill Lynch, Pierce, Fenner &amp; Smith Incorporated, Credit Suisse Securities (USA) LLC, Morgan Stanley &amp; Co. LLC and UBS Securities LLC as our sales agents. As of the date of this prospectus supplement, we have issued and sold common units having an aggregate offering price of $62,897,595, which means that we may sell common units having an aggregate offering price of up to $81,142,405.</w:t>
      </w:r>
    </w:p>
    <w:p>
      <w:pPr>
        <w:spacing w:after="0" w:line="172" w:lineRule="exact"/>
        <w:rPr>
          <w:sz w:val="24"/>
          <w:szCs w:val="24"/>
          <w:color w:val="auto"/>
        </w:rPr>
      </w:pPr>
    </w:p>
    <w:p>
      <w:pPr>
        <w:ind w:right="20" w:firstLine="351"/>
        <w:spacing w:after="0" w:line="268" w:lineRule="auto"/>
        <w:rPr>
          <w:sz w:val="20"/>
          <w:szCs w:val="20"/>
          <w:color w:val="auto"/>
        </w:rPr>
      </w:pPr>
      <w:r>
        <w:rPr>
          <w:rFonts w:ascii="Arial" w:cs="Arial" w:eastAsia="Arial" w:hAnsi="Arial"/>
          <w:sz w:val="18"/>
          <w:szCs w:val="18"/>
          <w:color w:val="auto"/>
        </w:rPr>
        <w:t>Sales of the common units, if any, will be made by means of ordinary brokers' transactions on the New York Stock Exchange, or the NYSE, at market prices, in block transactions, or as otherwise agreed upon by the sales agents and us.</w:t>
      </w:r>
    </w:p>
    <w:p>
      <w:pPr>
        <w:spacing w:after="0" w:line="186" w:lineRule="exact"/>
        <w:rPr>
          <w:sz w:val="24"/>
          <w:szCs w:val="24"/>
          <w:color w:val="auto"/>
        </w:rPr>
      </w:pPr>
    </w:p>
    <w:p>
      <w:pPr>
        <w:ind w:right="160" w:firstLine="348"/>
        <w:spacing w:after="0" w:line="268" w:lineRule="auto"/>
        <w:rPr>
          <w:sz w:val="20"/>
          <w:szCs w:val="20"/>
          <w:color w:val="auto"/>
        </w:rPr>
      </w:pPr>
      <w:r>
        <w:rPr>
          <w:rFonts w:ascii="Arial" w:cs="Arial" w:eastAsia="Arial" w:hAnsi="Arial"/>
          <w:sz w:val="18"/>
          <w:szCs w:val="18"/>
          <w:color w:val="auto"/>
        </w:rPr>
        <w:t>We will pay the sales agents a commission of up to 2.0% of the gross sales price per unit sold through them as sales agents under the Second Amended and Restated Equity Distribution Agreement.</w:t>
      </w:r>
    </w:p>
    <w:p>
      <w:pPr>
        <w:spacing w:after="0" w:line="186" w:lineRule="exact"/>
        <w:rPr>
          <w:sz w:val="24"/>
          <w:szCs w:val="24"/>
          <w:color w:val="auto"/>
        </w:rPr>
      </w:pPr>
    </w:p>
    <w:p>
      <w:pPr>
        <w:ind w:right="240" w:firstLine="351"/>
        <w:spacing w:after="0" w:line="306" w:lineRule="auto"/>
        <w:rPr>
          <w:sz w:val="20"/>
          <w:szCs w:val="20"/>
          <w:color w:val="auto"/>
        </w:rPr>
      </w:pPr>
      <w:r>
        <w:rPr>
          <w:rFonts w:ascii="Arial" w:cs="Arial" w:eastAsia="Arial" w:hAnsi="Arial"/>
          <w:sz w:val="16"/>
          <w:szCs w:val="16"/>
          <w:color w:val="auto"/>
        </w:rPr>
        <w:t>Under the terms of the Second Amended and Restated Equity Distribution Agreement, we also may sell common units to the sales agents as principals for their own account at a price agreed upon at the time of sale. If we sell common units to the sales agents as principals, we will enter into a separate terms agreement with the sales agents, and we will describe this agreement in a separate prospectus supplement or pricing supplement.</w:t>
      </w:r>
    </w:p>
    <w:p>
      <w:pPr>
        <w:spacing w:after="0" w:line="161" w:lineRule="exact"/>
        <w:rPr>
          <w:sz w:val="24"/>
          <w:szCs w:val="24"/>
          <w:color w:val="auto"/>
        </w:rPr>
      </w:pPr>
    </w:p>
    <w:p>
      <w:pPr>
        <w:ind w:right="120" w:firstLine="348"/>
        <w:spacing w:after="0" w:line="255" w:lineRule="auto"/>
        <w:rPr>
          <w:sz w:val="20"/>
          <w:szCs w:val="20"/>
          <w:color w:val="auto"/>
        </w:rPr>
      </w:pPr>
      <w:r>
        <w:rPr>
          <w:rFonts w:ascii="Arial" w:cs="Arial" w:eastAsia="Arial" w:hAnsi="Arial"/>
          <w:sz w:val="18"/>
          <w:szCs w:val="18"/>
          <w:color w:val="auto"/>
        </w:rPr>
        <w:t>The sales agents are not required to sell any specific number or dollar amount of our common units but will use their reasonable efforts, as our agents and subject to the terms of the Second Amended and Restated Equity Distribution Agreement, to sell the common units offered, as instructed by us. The offering of our common units pursuant to the Second Amended and Restated Equity Distribution Agreement will terminate upon the earlier of (1) the sale of all of the common units subject to the Second Amended and Restated Equity Distribution Agreement and (2) the termination of the Second Amended and Restated Equity Distribution Agreement by either the sales agents or us.</w:t>
      </w:r>
    </w:p>
    <w:p>
      <w:pPr>
        <w:spacing w:after="0" w:line="197" w:lineRule="exact"/>
        <w:rPr>
          <w:sz w:val="24"/>
          <w:szCs w:val="24"/>
          <w:color w:val="auto"/>
        </w:rPr>
      </w:pPr>
    </w:p>
    <w:p>
      <w:pPr>
        <w:ind w:right="320" w:firstLine="351"/>
        <w:spacing w:after="0" w:line="268" w:lineRule="auto"/>
        <w:rPr>
          <w:sz w:val="20"/>
          <w:szCs w:val="20"/>
          <w:color w:val="auto"/>
        </w:rPr>
      </w:pPr>
      <w:r>
        <w:rPr>
          <w:rFonts w:ascii="Arial" w:cs="Arial" w:eastAsia="Arial" w:hAnsi="Arial"/>
          <w:sz w:val="18"/>
          <w:szCs w:val="18"/>
          <w:color w:val="auto"/>
        </w:rPr>
        <w:t>Our common units are listed on the New York Stock Exchange under the symbol "GLOP". The last reported sales price of our common units on the New York Stock Exchange on July 25, 2018 was $24.45.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right="260"/>
        <w:spacing w:after="0" w:line="256" w:lineRule="auto"/>
        <w:rPr>
          <w:sz w:val="20"/>
          <w:szCs w:val="20"/>
          <w:color w:val="auto"/>
        </w:rPr>
      </w:pPr>
      <w:r>
        <w:rPr>
          <w:rFonts w:ascii="Arial" w:cs="Arial" w:eastAsia="Arial" w:hAnsi="Arial"/>
          <w:sz w:val="22"/>
          <w:szCs w:val="22"/>
          <w:b w:val="1"/>
          <w:bCs w:val="1"/>
          <w:color w:val="auto"/>
        </w:rPr>
        <w:t>Investing in our common units involves risks. Limited partnerships are inherently different from corporations. See "Risk Factors" beginning on page S-20 and page 7 of our Annual Report on Form 20-F.</w:t>
      </w:r>
    </w:p>
    <w:p>
      <w:pPr>
        <w:spacing w:after="0" w:line="182" w:lineRule="exact"/>
        <w:rPr>
          <w:sz w:val="24"/>
          <w:szCs w:val="24"/>
          <w:color w:val="auto"/>
        </w:rPr>
      </w:pPr>
    </w:p>
    <w:p>
      <w:pPr>
        <w:ind w:right="200" w:firstLine="351"/>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93980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1140"/>
        <w:spacing w:after="0"/>
        <w:tabs>
          <w:tab w:leader="none" w:pos="2700" w:val="left"/>
          <w:tab w:leader="none" w:pos="5220" w:val="left"/>
          <w:tab w:leader="none" w:pos="6640" w:val="left"/>
          <w:tab w:leader="none" w:pos="8320" w:val="left"/>
        </w:tabs>
        <w:rPr>
          <w:sz w:val="20"/>
          <w:szCs w:val="20"/>
          <w:color w:val="auto"/>
        </w:rPr>
      </w:pP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Credit Suisse</w:t>
        <w:tab/>
        <w:t>Morgan Stanley</w:t>
      </w:r>
      <w:r>
        <w:rPr>
          <w:sz w:val="20"/>
          <w:szCs w:val="20"/>
          <w:color w:val="auto"/>
        </w:rPr>
        <w:tab/>
      </w:r>
      <w:r>
        <w:rPr>
          <w:rFonts w:ascii="Arial" w:cs="Arial" w:eastAsia="Arial" w:hAnsi="Arial"/>
          <w:sz w:val="19"/>
          <w:szCs w:val="19"/>
          <w:b w:val="1"/>
          <w:bCs w:val="1"/>
          <w:color w:val="auto"/>
        </w:rPr>
        <w:t>UBS Investment Bank</w:t>
      </w:r>
    </w:p>
    <w:p>
      <w:pPr>
        <w:sectPr>
          <w:pgSz w:w="11900" w:h="16838" w:orient="portrait"/>
          <w:cols w:equalWidth="0" w:num="1">
            <w:col w:w="11420"/>
          </w:cols>
          <w:pgMar w:left="240" w:top="685" w:right="239" w:bottom="1440" w:gutter="0" w:footer="0" w:header="0"/>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July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June 1, 2015, GasLog Partners LP (the "Partnership") filed with the Securities and Exchange Commission (the "SEC") a shelf registration statement on Form F-3 (File No. 333-204616) (the "Registration Statement"), which was declared effective by the SEC on June 8, 2015. On May 16, 2017, the Partnership registered under the Registration Statement an at the market program which permitted the Partnership, from time to time, to raise equity through the issuance and sale of new common units having an aggregate offering price of up to $100.0 million (the "ATM Programme"). On November 3, 2017, the size of the ATM Programme was increased to $144.04 million and an additional sales agent was added.</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June 7, 2018, the Registration Statement expired. This prospectus is being filed to register the amount remaining under the ATM Programme onto the Partnership's shelf registration statement that was declared effective by the SEC on October 10, 2017 (File No. 333-220736). No other changes have been made to the ATM Programme.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250430" cy="7797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780" w:type="dxa"/>
            <w:vAlign w:val="bottom"/>
            <w:gridSpan w:val="3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gridSpan w:val="1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8640" w:type="dxa"/>
            <w:vAlign w:val="bottom"/>
            <w:gridSpan w:val="31"/>
          </w:tcPr>
          <w:p>
            <w:pPr>
              <w:spacing w:after="0"/>
              <w:rPr>
                <w:sz w:val="20"/>
                <w:szCs w:val="20"/>
                <w:color w:val="auto"/>
              </w:rPr>
            </w:pPr>
            <w:r>
              <w:rPr>
                <w:rFonts w:ascii="Arial" w:cs="Arial" w:eastAsia="Arial" w:hAnsi="Arial"/>
                <w:sz w:val="18"/>
                <w:szCs w:val="18"/>
                <w:b w:val="1"/>
                <w:bCs w:val="1"/>
                <w:color w:val="auto"/>
              </w:rPr>
              <w:t>PROSPECTUS SUPPLEMENT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3360" w:type="dxa"/>
            <w:vAlign w:val="bottom"/>
            <w:gridSpan w:val="19"/>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ABOUT THIS PROSPECTUS SUPPLEMENT</w:t>
              </w:r>
            </w:hyperlink>
          </w:p>
        </w:tc>
        <w:tc>
          <w:tcPr>
            <w:tcW w:w="5280" w:type="dxa"/>
            <w:vAlign w:val="bottom"/>
            <w:gridSpan w:val="1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iii</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36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528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gridSpan w:val="2"/>
          </w:tcPr>
          <w:p>
            <w:pPr>
              <w:jc w:val="right"/>
              <w:spacing w:after="0"/>
              <w:rPr>
                <w:rFonts w:ascii="Arial" w:cs="Arial" w:eastAsia="Arial" w:hAnsi="Arial"/>
                <w:sz w:val="14"/>
                <w:szCs w:val="14"/>
                <w:color w:val="0000EE"/>
                <w:w w:val="73"/>
              </w:rPr>
            </w:pPr>
            <w:hyperlink w:anchor="page6">
              <w:r>
                <w:rPr>
                  <w:rFonts w:ascii="Arial" w:cs="Arial" w:eastAsia="Arial" w:hAnsi="Arial"/>
                  <w:sz w:val="14"/>
                  <w:szCs w:val="14"/>
                  <w:color w:val="0000EE"/>
                  <w:w w:val="73"/>
                </w:rPr>
                <w:t>S-1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25">
              <w:r>
                <w:rPr>
                  <w:rFonts w:ascii="Arial" w:cs="Arial" w:eastAsia="Arial" w:hAnsi="Arial"/>
                  <w:sz w:val="18"/>
                  <w:szCs w:val="18"/>
                  <w:color w:val="0000EE"/>
                  <w:w w:val="84"/>
                </w:rPr>
                <w:t>S-20</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FORWARD-LOOKING STATEMENTS</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26">
              <w:r>
                <w:rPr>
                  <w:rFonts w:ascii="Arial" w:cs="Arial" w:eastAsia="Arial" w:hAnsi="Arial"/>
                  <w:sz w:val="18"/>
                  <w:szCs w:val="18"/>
                  <w:color w:val="0000EE"/>
                  <w:w w:val="84"/>
                </w:rPr>
                <w:t>S-21</w:t>
              </w:r>
            </w:hyperlink>
          </w:p>
        </w:tc>
      </w:tr>
      <w:tr>
        <w:trPr>
          <w:trHeight w:val="196"/>
        </w:trPr>
        <w:tc>
          <w:tcPr>
            <w:tcW w:w="114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USE OF PROCEEDS</w:t>
              </w:r>
            </w:hyperlink>
          </w:p>
        </w:tc>
        <w:tc>
          <w:tcPr>
            <w:tcW w:w="1300" w:type="dxa"/>
            <w:vAlign w:val="bottom"/>
            <w:tcBorders>
              <w:top w:val="single" w:sz="8" w:color="0000EE"/>
            </w:tcBorders>
            <w:gridSpan w:val="7"/>
          </w:tcPr>
          <w:p>
            <w:pPr>
              <w:spacing w:after="0"/>
              <w:rPr>
                <w:sz w:val="17"/>
                <w:szCs w:val="17"/>
                <w:color w:val="auto"/>
              </w:rPr>
            </w:pPr>
          </w:p>
        </w:tc>
        <w:tc>
          <w:tcPr>
            <w:tcW w:w="5780" w:type="dxa"/>
            <w:vAlign w:val="bottom"/>
            <w:gridSpan w:val="17"/>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8">
              <w:r>
                <w:rPr>
                  <w:rFonts w:ascii="Arial" w:cs="Arial" w:eastAsia="Arial" w:hAnsi="Arial"/>
                  <w:sz w:val="18"/>
                  <w:szCs w:val="18"/>
                  <w:color w:val="0000EE"/>
                  <w:w w:val="84"/>
                </w:rPr>
                <w:t>S-23</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CASH AND CAPITALIZATION</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29">
              <w:r>
                <w:rPr>
                  <w:rFonts w:ascii="Arial" w:cs="Arial" w:eastAsia="Arial" w:hAnsi="Arial"/>
                  <w:sz w:val="18"/>
                  <w:szCs w:val="18"/>
                  <w:color w:val="0000EE"/>
                  <w:w w:val="84"/>
                </w:rPr>
                <w:t>S-24</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2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PRICE RANGE OF OUR COMMON UNITS</w:t>
              </w:r>
            </w:hyperlink>
          </w:p>
        </w:tc>
        <w:tc>
          <w:tcPr>
            <w:tcW w:w="5380" w:type="dxa"/>
            <w:vAlign w:val="bottom"/>
            <w:gridSpan w:val="13"/>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S-25</w:t>
              </w:r>
            </w:hyperlink>
          </w:p>
        </w:tc>
      </w:tr>
      <w:tr>
        <w:trPr>
          <w:trHeight w:val="196"/>
        </w:trPr>
        <w:tc>
          <w:tcPr>
            <w:tcW w:w="1140" w:type="dxa"/>
            <w:vAlign w:val="bottom"/>
          </w:tcPr>
          <w:p>
            <w:pPr>
              <w:spacing w:after="0"/>
              <w:rPr>
                <w:sz w:val="17"/>
                <w:szCs w:val="17"/>
                <w:color w:val="auto"/>
              </w:rPr>
            </w:pPr>
          </w:p>
        </w:tc>
        <w:tc>
          <w:tcPr>
            <w:tcW w:w="322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DESCRIPTION OF THE COMMON UNITS</w:t>
              </w:r>
            </w:hyperlink>
          </w:p>
        </w:tc>
        <w:tc>
          <w:tcPr>
            <w:tcW w:w="5420" w:type="dxa"/>
            <w:vAlign w:val="bottom"/>
            <w:gridSpan w:val="14"/>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31">
              <w:r>
                <w:rPr>
                  <w:rFonts w:ascii="Arial" w:cs="Arial" w:eastAsia="Arial" w:hAnsi="Arial"/>
                  <w:sz w:val="18"/>
                  <w:szCs w:val="18"/>
                  <w:color w:val="0000EE"/>
                  <w:w w:val="84"/>
                </w:rPr>
                <w:t>S-26</w:t>
              </w:r>
            </w:hyperlink>
          </w:p>
        </w:tc>
      </w:tr>
      <w:tr>
        <w:trPr>
          <w:trHeight w:val="196"/>
        </w:trPr>
        <w:tc>
          <w:tcPr>
            <w:tcW w:w="1140" w:type="dxa"/>
            <w:vAlign w:val="bottom"/>
          </w:tcPr>
          <w:p>
            <w:pPr>
              <w:spacing w:after="0"/>
              <w:rPr>
                <w:sz w:val="17"/>
                <w:szCs w:val="17"/>
                <w:color w:val="auto"/>
              </w:rPr>
            </w:pPr>
          </w:p>
        </w:tc>
        <w:tc>
          <w:tcPr>
            <w:tcW w:w="392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SUMMARY OF OUR PARTNERSHIP AGREEMENT</w:t>
              </w:r>
            </w:hyperlink>
          </w:p>
        </w:tc>
        <w:tc>
          <w:tcPr>
            <w:tcW w:w="4720" w:type="dxa"/>
            <w:vAlign w:val="bottom"/>
            <w:gridSpan w:val="9"/>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S-28</w:t>
              </w:r>
            </w:hyperlink>
          </w:p>
        </w:tc>
      </w:tr>
      <w:tr>
        <w:trPr>
          <w:trHeight w:val="196"/>
        </w:trPr>
        <w:tc>
          <w:tcPr>
            <w:tcW w:w="1140" w:type="dxa"/>
            <w:vAlign w:val="bottom"/>
          </w:tcPr>
          <w:p>
            <w:pPr>
              <w:spacing w:after="0"/>
              <w:rPr>
                <w:sz w:val="17"/>
                <w:szCs w:val="17"/>
                <w:color w:val="auto"/>
              </w:rPr>
            </w:pPr>
          </w:p>
        </w:tc>
        <w:tc>
          <w:tcPr>
            <w:tcW w:w="622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OUR CASH DISTRIBUTION POLICY AND RESTRICTIONS ON DISTRIBUTIONS</w:t>
              </w:r>
            </w:hyperlink>
          </w:p>
        </w:tc>
        <w:tc>
          <w:tcPr>
            <w:tcW w:w="2420" w:type="dxa"/>
            <w:vAlign w:val="bottom"/>
            <w:gridSpan w:val="2"/>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49">
              <w:r>
                <w:rPr>
                  <w:rFonts w:ascii="Arial" w:cs="Arial" w:eastAsia="Arial" w:hAnsi="Arial"/>
                  <w:sz w:val="18"/>
                  <w:szCs w:val="18"/>
                  <w:color w:val="0000EE"/>
                  <w:w w:val="84"/>
                </w:rPr>
                <w:t>S-44</w:t>
              </w:r>
            </w:hyperlink>
          </w:p>
        </w:tc>
      </w:tr>
      <w:tr>
        <w:trPr>
          <w:trHeight w:val="196"/>
        </w:trPr>
        <w:tc>
          <w:tcPr>
            <w:tcW w:w="1140" w:type="dxa"/>
            <w:vAlign w:val="bottom"/>
          </w:tcPr>
          <w:p>
            <w:pPr>
              <w:spacing w:after="0"/>
              <w:rPr>
                <w:sz w:val="17"/>
                <w:szCs w:val="17"/>
                <w:color w:val="auto"/>
              </w:rPr>
            </w:pPr>
          </w:p>
        </w:tc>
        <w:tc>
          <w:tcPr>
            <w:tcW w:w="476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MATERIAL U.S. FEDERAL INCOME TAX CONSIDERATIONS</w:t>
              </w:r>
            </w:hyperlink>
          </w:p>
        </w:tc>
        <w:tc>
          <w:tcPr>
            <w:tcW w:w="3880" w:type="dxa"/>
            <w:vAlign w:val="bottom"/>
            <w:gridSpan w:val="5"/>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50">
              <w:r>
                <w:rPr>
                  <w:rFonts w:ascii="Arial" w:cs="Arial" w:eastAsia="Arial" w:hAnsi="Arial"/>
                  <w:sz w:val="18"/>
                  <w:szCs w:val="18"/>
                  <w:color w:val="0000EE"/>
                  <w:w w:val="84"/>
                </w:rPr>
                <w:t>S-45</w:t>
              </w:r>
            </w:hyperlink>
          </w:p>
        </w:tc>
      </w:tr>
      <w:tr>
        <w:trPr>
          <w:trHeight w:val="196"/>
        </w:trPr>
        <w:tc>
          <w:tcPr>
            <w:tcW w:w="1140" w:type="dxa"/>
            <w:vAlign w:val="bottom"/>
          </w:tcPr>
          <w:p>
            <w:pPr>
              <w:spacing w:after="0"/>
              <w:rPr>
                <w:sz w:val="17"/>
                <w:szCs w:val="17"/>
                <w:color w:val="auto"/>
              </w:rPr>
            </w:pPr>
          </w:p>
        </w:tc>
        <w:tc>
          <w:tcPr>
            <w:tcW w:w="37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NON-UNITED STATES TAX CONSIDERATIONS</w:t>
              </w:r>
            </w:hyperlink>
          </w:p>
        </w:tc>
        <w:tc>
          <w:tcPr>
            <w:tcW w:w="4940" w:type="dxa"/>
            <w:vAlign w:val="bottom"/>
            <w:gridSpan w:val="10"/>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59">
              <w:r>
                <w:rPr>
                  <w:rFonts w:ascii="Arial" w:cs="Arial" w:eastAsia="Arial" w:hAnsi="Arial"/>
                  <w:sz w:val="18"/>
                  <w:szCs w:val="18"/>
                  <w:color w:val="0000EE"/>
                  <w:w w:val="84"/>
                </w:rPr>
                <w:t>S-54</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PLAN OF DISTRIBUTION</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60">
              <w:r>
                <w:rPr>
                  <w:rFonts w:ascii="Arial" w:cs="Arial" w:eastAsia="Arial" w:hAnsi="Arial"/>
                  <w:sz w:val="18"/>
                  <w:szCs w:val="18"/>
                  <w:color w:val="0000EE"/>
                  <w:w w:val="84"/>
                </w:rPr>
                <w:t>S-55</w:t>
              </w:r>
            </w:hyperlink>
          </w:p>
        </w:tc>
      </w:tr>
      <w:tr>
        <w:trPr>
          <w:trHeight w:val="196"/>
        </w:trPr>
        <w:tc>
          <w:tcPr>
            <w:tcW w:w="1140" w:type="dxa"/>
            <w:vAlign w:val="bottom"/>
          </w:tcPr>
          <w:p>
            <w:pPr>
              <w:spacing w:after="0"/>
              <w:rPr>
                <w:sz w:val="17"/>
                <w:szCs w:val="17"/>
                <w:color w:val="auto"/>
              </w:rPr>
            </w:pPr>
          </w:p>
        </w:tc>
        <w:tc>
          <w:tcPr>
            <w:tcW w:w="20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LEGAL MATTERS</w:t>
              </w:r>
            </w:hyperlink>
          </w:p>
        </w:tc>
        <w:tc>
          <w:tcPr>
            <w:tcW w:w="6640" w:type="dxa"/>
            <w:vAlign w:val="bottom"/>
            <w:gridSpan w:val="23"/>
          </w:tcPr>
          <w:p>
            <w:pPr>
              <w:spacing w:after="0"/>
              <w:rPr>
                <w:sz w:val="17"/>
                <w:szCs w:val="17"/>
                <w:color w:val="auto"/>
              </w:rPr>
            </w:pPr>
          </w:p>
        </w:tc>
        <w:tc>
          <w:tcPr>
            <w:tcW w:w="3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4"/>
              </w:rPr>
            </w:pPr>
            <w:hyperlink w:anchor="page62">
              <w:r>
                <w:rPr>
                  <w:rFonts w:ascii="Arial" w:cs="Arial" w:eastAsia="Arial" w:hAnsi="Arial"/>
                  <w:sz w:val="18"/>
                  <w:szCs w:val="18"/>
                  <w:color w:val="0000EE"/>
                  <w:w w:val="84"/>
                </w:rPr>
                <w:t>S-57</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17"/>
                <w:szCs w:val="17"/>
                <w:color w:val="auto"/>
              </w:rPr>
            </w:pPr>
          </w:p>
        </w:tc>
        <w:tc>
          <w:tcPr>
            <w:tcW w:w="7220" w:type="dxa"/>
            <w:vAlign w:val="bottom"/>
            <w:gridSpan w:val="25"/>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62">
              <w:r>
                <w:rPr>
                  <w:rFonts w:ascii="Arial" w:cs="Arial" w:eastAsia="Arial" w:hAnsi="Arial"/>
                  <w:sz w:val="18"/>
                  <w:szCs w:val="18"/>
                  <w:color w:val="0000EE"/>
                  <w:w w:val="84"/>
                </w:rPr>
                <w:t>S-57</w:t>
              </w:r>
            </w:hyperlink>
          </w:p>
        </w:tc>
      </w:tr>
      <w:tr>
        <w:trPr>
          <w:trHeight w:val="196"/>
        </w:trPr>
        <w:tc>
          <w:tcPr>
            <w:tcW w:w="1140" w:type="dxa"/>
            <w:vAlign w:val="bottom"/>
          </w:tcPr>
          <w:p>
            <w:pPr>
              <w:spacing w:after="0"/>
              <w:rPr>
                <w:sz w:val="17"/>
                <w:szCs w:val="17"/>
                <w:color w:val="auto"/>
              </w:rPr>
            </w:pPr>
          </w:p>
        </w:tc>
        <w:tc>
          <w:tcPr>
            <w:tcW w:w="336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EXPENSES RELATED TO THIS OFFERING</w:t>
              </w:r>
            </w:hyperlink>
          </w:p>
        </w:tc>
        <w:tc>
          <w:tcPr>
            <w:tcW w:w="5280" w:type="dxa"/>
            <w:vAlign w:val="bottom"/>
            <w:gridSpan w:val="12"/>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62">
              <w:r>
                <w:rPr>
                  <w:rFonts w:ascii="Arial" w:cs="Arial" w:eastAsia="Arial" w:hAnsi="Arial"/>
                  <w:sz w:val="18"/>
                  <w:szCs w:val="18"/>
                  <w:color w:val="0000EE"/>
                  <w:w w:val="84"/>
                </w:rPr>
                <w:t>S-57</w:t>
              </w:r>
            </w:hyperlink>
          </w:p>
        </w:tc>
      </w:tr>
      <w:tr>
        <w:trPr>
          <w:trHeight w:val="196"/>
        </w:trPr>
        <w:tc>
          <w:tcPr>
            <w:tcW w:w="1140" w:type="dxa"/>
            <w:vAlign w:val="bottom"/>
          </w:tcPr>
          <w:p>
            <w:pPr>
              <w:spacing w:after="0"/>
              <w:rPr>
                <w:sz w:val="17"/>
                <w:szCs w:val="17"/>
                <w:color w:val="auto"/>
              </w:rPr>
            </w:pPr>
          </w:p>
        </w:tc>
        <w:tc>
          <w:tcPr>
            <w:tcW w:w="432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WHERE YOU CAN FIND ADDITIONAL INFORMATION</w:t>
              </w:r>
            </w:hyperlink>
          </w:p>
        </w:tc>
        <w:tc>
          <w:tcPr>
            <w:tcW w:w="4320" w:type="dxa"/>
            <w:vAlign w:val="bottom"/>
            <w:gridSpan w:val="6"/>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62">
              <w:r>
                <w:rPr>
                  <w:rFonts w:ascii="Arial" w:cs="Arial" w:eastAsia="Arial" w:hAnsi="Arial"/>
                  <w:sz w:val="18"/>
                  <w:szCs w:val="18"/>
                  <w:color w:val="0000EE"/>
                  <w:w w:val="84"/>
                </w:rPr>
                <w:t>S-57</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INCORPORATION OF CERTAIN INFORMATION BY REFERENCE</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63">
              <w:r>
                <w:rPr>
                  <w:rFonts w:ascii="Arial" w:cs="Arial" w:eastAsia="Arial" w:hAnsi="Arial"/>
                  <w:sz w:val="18"/>
                  <w:szCs w:val="18"/>
                  <w:color w:val="0000EE"/>
                  <w:w w:val="84"/>
                </w:rPr>
                <w:t>S-58</w:t>
              </w:r>
            </w:hyperlink>
          </w:p>
        </w:tc>
      </w:tr>
      <w:tr>
        <w:trPr>
          <w:trHeight w:val="451"/>
        </w:trPr>
        <w:tc>
          <w:tcPr>
            <w:tcW w:w="1140" w:type="dxa"/>
            <w:vAlign w:val="bottom"/>
          </w:tcPr>
          <w:p>
            <w:pPr>
              <w:spacing w:after="0"/>
              <w:rPr>
                <w:sz w:val="24"/>
                <w:szCs w:val="24"/>
                <w:color w:val="auto"/>
              </w:rPr>
            </w:pPr>
          </w:p>
        </w:tc>
        <w:tc>
          <w:tcPr>
            <w:tcW w:w="5060" w:type="dxa"/>
            <w:vAlign w:val="bottom"/>
            <w:tcBorders>
              <w:top w:val="single" w:sz="8" w:color="0000EE"/>
            </w:tcBorders>
            <w:gridSpan w:val="28"/>
          </w:tcPr>
          <w:p>
            <w:pPr>
              <w:spacing w:after="0"/>
              <w:rPr>
                <w:sz w:val="20"/>
                <w:szCs w:val="20"/>
                <w:color w:val="auto"/>
              </w:rPr>
            </w:pPr>
            <w:r>
              <w:rPr>
                <w:rFonts w:ascii="Arial" w:cs="Arial" w:eastAsia="Arial" w:hAnsi="Arial"/>
                <w:sz w:val="18"/>
                <w:szCs w:val="18"/>
                <w:b w:val="1"/>
                <w:bCs w:val="1"/>
                <w:color w:val="auto"/>
              </w:rPr>
              <w:t>PROSPECTUS</w:t>
            </w:r>
          </w:p>
        </w:tc>
        <w:tc>
          <w:tcPr>
            <w:tcW w:w="3580" w:type="dxa"/>
            <w:vAlign w:val="bottom"/>
            <w:gridSpan w:val="3"/>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FORWARD-LOOKING STATEMENTS</w:t>
              </w:r>
            </w:hyperlink>
          </w:p>
        </w:tc>
        <w:tc>
          <w:tcPr>
            <w:tcW w:w="340" w:type="dxa"/>
            <w:vAlign w:val="bottom"/>
            <w:gridSpan w:val="3"/>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1</w:t>
              </w:r>
            </w:hyperlink>
          </w:p>
        </w:tc>
      </w:tr>
      <w:tr>
        <w:trPr>
          <w:trHeight w:val="196"/>
        </w:trPr>
        <w:tc>
          <w:tcPr>
            <w:tcW w:w="114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THE COMPANY</w:t>
              </w:r>
            </w:hyperlink>
          </w:p>
        </w:tc>
        <w:tc>
          <w:tcPr>
            <w:tcW w:w="1600" w:type="dxa"/>
            <w:vAlign w:val="bottom"/>
            <w:tcBorders>
              <w:top w:val="single" w:sz="8" w:color="0000EE"/>
            </w:tcBorders>
            <w:gridSpan w:val="9"/>
          </w:tcPr>
          <w:p>
            <w:pPr>
              <w:spacing w:after="0"/>
              <w:rPr>
                <w:sz w:val="17"/>
                <w:szCs w:val="17"/>
                <w:color w:val="auto"/>
              </w:rPr>
            </w:pPr>
          </w:p>
        </w:tc>
        <w:tc>
          <w:tcPr>
            <w:tcW w:w="5780" w:type="dxa"/>
            <w:vAlign w:val="bottom"/>
            <w:gridSpan w:val="17"/>
          </w:tcPr>
          <w:p>
            <w:pPr>
              <w:spacing w:after="0"/>
              <w:rPr>
                <w:sz w:val="17"/>
                <w:szCs w:val="17"/>
                <w:color w:val="auto"/>
              </w:rPr>
            </w:pPr>
          </w:p>
        </w:tc>
        <w:tc>
          <w:tcPr>
            <w:tcW w:w="24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3</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SERVICE OF PROCESS AND ENFORCEMENT OF LIABILITIES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6</w:t>
              </w:r>
            </w:hyperlink>
          </w:p>
        </w:tc>
      </w:tr>
      <w:tr>
        <w:trPr>
          <w:trHeight w:val="196"/>
        </w:trPr>
        <w:tc>
          <w:tcPr>
            <w:tcW w:w="1140" w:type="dxa"/>
            <w:vAlign w:val="bottom"/>
          </w:tcPr>
          <w:p>
            <w:pPr>
              <w:spacing w:after="0"/>
              <w:rPr>
                <w:sz w:val="17"/>
                <w:szCs w:val="17"/>
                <w:color w:val="auto"/>
              </w:rPr>
            </w:pPr>
          </w:p>
        </w:tc>
        <w:tc>
          <w:tcPr>
            <w:tcW w:w="48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ABOUT THIS PROSPECTUS</w:t>
              </w:r>
            </w:hyperlink>
          </w:p>
        </w:tc>
        <w:tc>
          <w:tcPr>
            <w:tcW w:w="3760" w:type="dxa"/>
            <w:vAlign w:val="bottom"/>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7</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32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WHERE YOU CAN FIND ADDITIONAL INFORMATION</w:t>
              </w:r>
            </w:hyperlink>
          </w:p>
        </w:tc>
        <w:tc>
          <w:tcPr>
            <w:tcW w:w="4320" w:type="dxa"/>
            <w:vAlign w:val="bottom"/>
            <w:gridSpan w:val="6"/>
          </w:tcPr>
          <w:p>
            <w:pPr>
              <w:spacing w:after="0"/>
              <w:rPr>
                <w:sz w:val="17"/>
                <w:szCs w:val="17"/>
                <w:color w:val="auto"/>
              </w:rPr>
            </w:pPr>
          </w:p>
        </w:tc>
        <w:tc>
          <w:tcPr>
            <w:tcW w:w="2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7</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INCORPORATION OF CERTAIN INFORMATION BY REFERENCE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RATIO OF EARNINGS TO FIXED CHARGES AND PREFERENCE UNIT DISTRIBUTIONS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gridSpan w:val="6"/>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USE OF PROCEEDS</w:t>
              </w:r>
            </w:hyperlink>
          </w:p>
        </w:tc>
        <w:tc>
          <w:tcPr>
            <w:tcW w:w="5260" w:type="dxa"/>
            <w:vAlign w:val="bottom"/>
            <w:gridSpan w:val="23"/>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CAPITALIZATION AND INDEBTEDNESS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10</w:t>
              </w:r>
            </w:hyperlink>
          </w:p>
        </w:tc>
      </w:tr>
      <w:tr>
        <w:trPr>
          <w:trHeight w:val="196"/>
        </w:trPr>
        <w:tc>
          <w:tcPr>
            <w:tcW w:w="114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3"/>
              </w:rPr>
            </w:pPr>
            <w:hyperlink w:anchor="page75">
              <w:r>
                <w:rPr>
                  <w:rFonts w:ascii="Arial" w:cs="Arial" w:eastAsia="Arial" w:hAnsi="Arial"/>
                  <w:sz w:val="18"/>
                  <w:szCs w:val="18"/>
                  <w:color w:val="0000EE"/>
                  <w:w w:val="93"/>
                </w:rPr>
                <w:t>DESCRIPTION OF COMMON UNITS</w:t>
              </w:r>
            </w:hyperlink>
          </w:p>
        </w:tc>
        <w:tc>
          <w:tcPr>
            <w:tcW w:w="360" w:type="dxa"/>
            <w:vAlign w:val="bottom"/>
            <w:tcBorders>
              <w:top w:val="single" w:sz="8" w:color="0000EE"/>
            </w:tcBorders>
            <w:gridSpan w:val="3"/>
          </w:tcPr>
          <w:p>
            <w:pPr>
              <w:spacing w:after="0"/>
              <w:rPr>
                <w:sz w:val="17"/>
                <w:szCs w:val="17"/>
                <w:color w:val="auto"/>
              </w:rPr>
            </w:pPr>
          </w:p>
        </w:tc>
        <w:tc>
          <w:tcPr>
            <w:tcW w:w="544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39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DESCRIPTION OF SERIES A PREFERENCE UNITS</w:t>
              </w:r>
            </w:hyperlink>
          </w:p>
        </w:tc>
        <w:tc>
          <w:tcPr>
            <w:tcW w:w="470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40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DESCRIPTION OF THE OTHER CLASSES OF UNITS</w:t>
              </w:r>
            </w:hyperlink>
          </w:p>
        </w:tc>
        <w:tc>
          <w:tcPr>
            <w:tcW w:w="458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29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77">
              <w:r>
                <w:rPr>
                  <w:rFonts w:ascii="Arial" w:cs="Arial" w:eastAsia="Arial" w:hAnsi="Arial"/>
                  <w:sz w:val="18"/>
                  <w:szCs w:val="18"/>
                  <w:color w:val="0000EE"/>
                  <w:w w:val="92"/>
                </w:rPr>
                <w:t>DESCRIPTION OF DEBT SECURITIES</w:t>
              </w:r>
            </w:hyperlink>
          </w:p>
        </w:tc>
        <w:tc>
          <w:tcPr>
            <w:tcW w:w="5680" w:type="dxa"/>
            <w:vAlign w:val="bottom"/>
            <w:gridSpan w:val="16"/>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12</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DESCRIPTION OF WARRANTS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19</w:t>
              </w:r>
            </w:hyperlink>
          </w:p>
        </w:tc>
      </w:tr>
      <w:tr>
        <w:trPr>
          <w:trHeight w:val="196"/>
        </w:trPr>
        <w:tc>
          <w:tcPr>
            <w:tcW w:w="11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DESCRIPTION OF RIGHTS</w:t>
              </w:r>
            </w:hyperlink>
          </w:p>
        </w:tc>
        <w:tc>
          <w:tcPr>
            <w:tcW w:w="320" w:type="dxa"/>
            <w:vAlign w:val="bottom"/>
            <w:tcBorders>
              <w:top w:val="single" w:sz="8" w:color="0000EE"/>
            </w:tcBorders>
            <w:gridSpan w:val="3"/>
          </w:tcPr>
          <w:p>
            <w:pPr>
              <w:spacing w:after="0"/>
              <w:rPr>
                <w:sz w:val="17"/>
                <w:szCs w:val="17"/>
                <w:color w:val="auto"/>
              </w:rPr>
            </w:pPr>
          </w:p>
        </w:tc>
        <w:tc>
          <w:tcPr>
            <w:tcW w:w="6220" w:type="dxa"/>
            <w:vAlign w:val="bottom"/>
            <w:gridSpan w:val="19"/>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20</w:t>
              </w:r>
            </w:hyperlink>
          </w:p>
        </w:tc>
      </w:tr>
      <w:tr>
        <w:trPr>
          <w:trHeight w:val="196"/>
        </w:trPr>
        <w:tc>
          <w:tcPr>
            <w:tcW w:w="1140" w:type="dxa"/>
            <w:vAlign w:val="bottom"/>
          </w:tcPr>
          <w:p>
            <w:pPr>
              <w:spacing w:after="0"/>
              <w:rPr>
                <w:sz w:val="17"/>
                <w:szCs w:val="17"/>
                <w:color w:val="auto"/>
              </w:rPr>
            </w:pPr>
          </w:p>
        </w:tc>
        <w:tc>
          <w:tcPr>
            <w:tcW w:w="36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85">
              <w:r>
                <w:rPr>
                  <w:rFonts w:ascii="Arial" w:cs="Arial" w:eastAsia="Arial" w:hAnsi="Arial"/>
                  <w:sz w:val="18"/>
                  <w:szCs w:val="18"/>
                  <w:color w:val="0000EE"/>
                  <w:w w:val="94"/>
                </w:rPr>
                <w:t>DESCRIPTION OF THE COMBINATION UNITS</w:t>
              </w:r>
            </w:hyperlink>
          </w:p>
        </w:tc>
        <w:tc>
          <w:tcPr>
            <w:tcW w:w="500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20</w:t>
              </w:r>
            </w:hyperlink>
          </w:p>
        </w:tc>
      </w:tr>
      <w:tr>
        <w:trPr>
          <w:trHeight w:val="196"/>
        </w:trPr>
        <w:tc>
          <w:tcPr>
            <w:tcW w:w="1140" w:type="dxa"/>
            <w:vAlign w:val="bottom"/>
          </w:tcPr>
          <w:p>
            <w:pPr>
              <w:spacing w:after="0"/>
              <w:rPr>
                <w:sz w:val="17"/>
                <w:szCs w:val="17"/>
                <w:color w:val="auto"/>
              </w:rPr>
            </w:pPr>
          </w:p>
        </w:tc>
        <w:tc>
          <w:tcPr>
            <w:tcW w:w="392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86">
              <w:r>
                <w:rPr>
                  <w:rFonts w:ascii="Arial" w:cs="Arial" w:eastAsia="Arial" w:hAnsi="Arial"/>
                  <w:sz w:val="18"/>
                  <w:szCs w:val="18"/>
                  <w:color w:val="0000EE"/>
                  <w:w w:val="93"/>
                </w:rPr>
                <w:t>SUMMARY OF OUR PARTNERSHIP AGREEMENT</w:t>
              </w:r>
            </w:hyperlink>
          </w:p>
        </w:tc>
        <w:tc>
          <w:tcPr>
            <w:tcW w:w="472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21</w:t>
              </w:r>
            </w:hyperlink>
          </w:p>
        </w:tc>
      </w:tr>
      <w:tr>
        <w:trPr>
          <w:trHeight w:val="196"/>
        </w:trPr>
        <w:tc>
          <w:tcPr>
            <w:tcW w:w="1140" w:type="dxa"/>
            <w:vAlign w:val="bottom"/>
          </w:tcPr>
          <w:p>
            <w:pPr>
              <w:spacing w:after="0"/>
              <w:rPr>
                <w:sz w:val="17"/>
                <w:szCs w:val="17"/>
                <w:color w:val="auto"/>
              </w:rPr>
            </w:pPr>
          </w:p>
        </w:tc>
        <w:tc>
          <w:tcPr>
            <w:tcW w:w="622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101">
              <w:r>
                <w:rPr>
                  <w:rFonts w:ascii="Arial" w:cs="Arial" w:eastAsia="Arial" w:hAnsi="Arial"/>
                  <w:sz w:val="18"/>
                  <w:szCs w:val="18"/>
                  <w:color w:val="0000EE"/>
                  <w:w w:val="94"/>
                </w:rPr>
                <w:t>OUR CASH DISTRIBUTION POLICY AND RESTRICTIONS ON DISTRIBUTIONS</w:t>
              </w:r>
            </w:hyperlink>
          </w:p>
        </w:tc>
        <w:tc>
          <w:tcPr>
            <w:tcW w:w="24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36</w:t>
              </w:r>
            </w:hyperlink>
          </w:p>
        </w:tc>
      </w:tr>
      <w:tr>
        <w:trPr>
          <w:trHeight w:val="196"/>
        </w:trPr>
        <w:tc>
          <w:tcPr>
            <w:tcW w:w="1140" w:type="dxa"/>
            <w:vAlign w:val="bottom"/>
          </w:tcPr>
          <w:p>
            <w:pPr>
              <w:spacing w:after="0"/>
              <w:rPr>
                <w:sz w:val="17"/>
                <w:szCs w:val="17"/>
                <w:color w:val="auto"/>
              </w:rPr>
            </w:pPr>
          </w:p>
        </w:tc>
        <w:tc>
          <w:tcPr>
            <w:tcW w:w="476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113">
              <w:r>
                <w:rPr>
                  <w:rFonts w:ascii="Arial" w:cs="Arial" w:eastAsia="Arial" w:hAnsi="Arial"/>
                  <w:sz w:val="18"/>
                  <w:szCs w:val="18"/>
                  <w:color w:val="0000EE"/>
                  <w:w w:val="94"/>
                </w:rPr>
                <w:t>MATERIAL U.S. FEDERAL INCOME TAX CONSIDERATIONS</w:t>
              </w:r>
            </w:hyperlink>
          </w:p>
        </w:tc>
        <w:tc>
          <w:tcPr>
            <w:tcW w:w="388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13">
              <w:r>
                <w:rPr>
                  <w:rFonts w:ascii="Arial" w:cs="Arial" w:eastAsia="Arial" w:hAnsi="Arial"/>
                  <w:sz w:val="18"/>
                  <w:szCs w:val="18"/>
                  <w:color w:val="0000EE"/>
                  <w:w w:val="79"/>
                </w:rPr>
                <w:t>48</w:t>
              </w:r>
            </w:hyperlink>
          </w:p>
        </w:tc>
      </w:tr>
      <w:tr>
        <w:trPr>
          <w:trHeight w:val="196"/>
        </w:trPr>
        <w:tc>
          <w:tcPr>
            <w:tcW w:w="1140" w:type="dxa"/>
            <w:vAlign w:val="bottom"/>
          </w:tcPr>
          <w:p>
            <w:pPr>
              <w:spacing w:after="0"/>
              <w:rPr>
                <w:sz w:val="17"/>
                <w:szCs w:val="17"/>
                <w:color w:val="auto"/>
              </w:rPr>
            </w:pPr>
          </w:p>
        </w:tc>
        <w:tc>
          <w:tcPr>
            <w:tcW w:w="37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113">
              <w:r>
                <w:rPr>
                  <w:rFonts w:ascii="Arial" w:cs="Arial" w:eastAsia="Arial" w:hAnsi="Arial"/>
                  <w:sz w:val="18"/>
                  <w:szCs w:val="18"/>
                  <w:color w:val="0000EE"/>
                  <w:w w:val="93"/>
                </w:rPr>
                <w:t>NON-UNITED STATES TAX CONSIDERATIONS</w:t>
              </w:r>
            </w:hyperlink>
          </w:p>
        </w:tc>
        <w:tc>
          <w:tcPr>
            <w:tcW w:w="494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13">
              <w:r>
                <w:rPr>
                  <w:rFonts w:ascii="Arial" w:cs="Arial" w:eastAsia="Arial" w:hAnsi="Arial"/>
                  <w:sz w:val="18"/>
                  <w:szCs w:val="18"/>
                  <w:color w:val="0000EE"/>
                  <w:w w:val="79"/>
                </w:rPr>
                <w:t>48</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PLAN OF DISTRIBUTION</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48</w:t>
              </w:r>
            </w:hyperlink>
          </w:p>
        </w:tc>
      </w:tr>
      <w:tr>
        <w:trPr>
          <w:trHeight w:val="196"/>
        </w:trPr>
        <w:tc>
          <w:tcPr>
            <w:tcW w:w="11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15">
              <w:r>
                <w:rPr>
                  <w:rFonts w:ascii="Arial" w:cs="Arial" w:eastAsia="Arial" w:hAnsi="Arial"/>
                  <w:sz w:val="18"/>
                  <w:szCs w:val="18"/>
                  <w:color w:val="0000EE"/>
                  <w:w w:val="88"/>
                </w:rPr>
                <w:t>EXPENSES</w:t>
              </w:r>
            </w:hyperlink>
          </w:p>
        </w:tc>
        <w:tc>
          <w:tcPr>
            <w:tcW w:w="1100" w:type="dxa"/>
            <w:vAlign w:val="bottom"/>
            <w:tcBorders>
              <w:top w:val="single" w:sz="8" w:color="0000EE"/>
            </w:tcBorders>
            <w:gridSpan w:val="5"/>
          </w:tcPr>
          <w:p>
            <w:pPr>
              <w:spacing w:after="0"/>
              <w:rPr>
                <w:sz w:val="17"/>
                <w:szCs w:val="17"/>
                <w:color w:val="auto"/>
              </w:rPr>
            </w:pPr>
          </w:p>
        </w:tc>
        <w:tc>
          <w:tcPr>
            <w:tcW w:w="6640" w:type="dxa"/>
            <w:vAlign w:val="bottom"/>
            <w:gridSpan w:val="23"/>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15">
              <w:r>
                <w:rPr>
                  <w:rFonts w:ascii="Arial" w:cs="Arial" w:eastAsia="Arial" w:hAnsi="Arial"/>
                  <w:sz w:val="18"/>
                  <w:szCs w:val="18"/>
                  <w:color w:val="0000EE"/>
                  <w:w w:val="79"/>
                </w:rPr>
                <w:t>50</w:t>
              </w:r>
            </w:hyperlink>
          </w:p>
        </w:tc>
      </w:tr>
      <w:tr>
        <w:trPr>
          <w:trHeight w:val="196"/>
        </w:trPr>
        <w:tc>
          <w:tcPr>
            <w:tcW w:w="1140" w:type="dxa"/>
            <w:vAlign w:val="bottom"/>
          </w:tcPr>
          <w:p>
            <w:pPr>
              <w:spacing w:after="0"/>
              <w:rPr>
                <w:sz w:val="17"/>
                <w:szCs w:val="17"/>
                <w:color w:val="auto"/>
              </w:rPr>
            </w:pPr>
          </w:p>
        </w:tc>
        <w:tc>
          <w:tcPr>
            <w:tcW w:w="8640" w:type="dxa"/>
            <w:vAlign w:val="bottom"/>
            <w:gridSpan w:val="31"/>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LEGAL MATTERS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50</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15">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17"/>
                <w:szCs w:val="17"/>
                <w:color w:val="auto"/>
              </w:rPr>
            </w:pPr>
          </w:p>
        </w:tc>
        <w:tc>
          <w:tcPr>
            <w:tcW w:w="7220" w:type="dxa"/>
            <w:vAlign w:val="bottom"/>
            <w:gridSpan w:val="2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15">
              <w:r>
                <w:rPr>
                  <w:rFonts w:ascii="Arial" w:cs="Arial" w:eastAsia="Arial" w:hAnsi="Arial"/>
                  <w:sz w:val="18"/>
                  <w:szCs w:val="18"/>
                  <w:color w:val="0000EE"/>
                  <w:w w:val="79"/>
                </w:rPr>
                <w:t>50</w:t>
              </w:r>
            </w:hyperlink>
          </w:p>
        </w:tc>
      </w:tr>
    </w:tbl>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and certain other matters. The second part, the prospectus, gives more general information about securities we may offer from time to time. Generally, when we refer to the "prospectus", we are referring to both parts of this document combined. You should read both this prospectus supplement and the accompanying prospectus, together with additional information described under the heading "Where You Can Find Additional Information" and "Incorporation of Certain Information by Reference". To the extent the description of our securities in this prospectus supplement differs from the description of our securities in the accompanying prospectus, you should rely on the information in this prospectus supplement.</w:t>
      </w:r>
    </w:p>
    <w:p>
      <w:pPr>
        <w:spacing w:after="0" w:line="174" w:lineRule="exact"/>
        <w:rPr>
          <w:sz w:val="20"/>
          <w:szCs w:val="20"/>
          <w:color w:val="auto"/>
        </w:rPr>
      </w:pPr>
    </w:p>
    <w:p>
      <w:pPr>
        <w:ind w:right="60" w:firstLine="345"/>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We have not, and the underwriters have not, authorized anyone to provide you with different information. The distribution of this prospectus and sale of these securities in certain jurisdictions may be restricted by law. Persons in possession of this prospectus supplement or the accompanying prospectus are required to inform themselves about and observe any such restrictions. We are not making an offer to sell these securities in any jurisdiction where the offer or sale is not permitted. You should assume that the information appearing in this prospectus supplement is accurate as of the date on the front cover of this prospectus supplement only. Our business, financial condition, results of operations and prospects may have changed since that date.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85026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50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100" w:firstLine="351"/>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and accompanying prospectus. You should read "Risk Factors" beginning on page S-20 of this prospectus supplement and beginning on page 7 of our Annual Report on Form 20-F filed with the Securities and Exchange Commission ("SEC") on February 12, 2018 ("Annual Report on Form 20-F").</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this prospectus supplement, unless otherwise indicated, references to:</w:t>
      </w:r>
    </w:p>
    <w:p>
      <w:pPr>
        <w:spacing w:after="0" w:line="252" w:lineRule="exact"/>
        <w:rPr>
          <w:sz w:val="20"/>
          <w:szCs w:val="20"/>
          <w:color w:val="auto"/>
        </w:rPr>
      </w:pPr>
    </w:p>
    <w:p>
      <w:pPr>
        <w:ind w:left="1320" w:right="80" w:hanging="538"/>
        <w:spacing w:after="0" w:line="268" w:lineRule="auto"/>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 Partners", the "Partnership", "we", "our", "us" or similar terms refer to GasLog Partners LP or any one or more of its subsidiaries, or to all such entities unless the context otherwise indicates;</w:t>
      </w:r>
    </w:p>
    <w:p>
      <w:pPr>
        <w:spacing w:after="0" w:line="199" w:lineRule="exact"/>
        <w:rPr>
          <w:rFonts w:ascii="Arial" w:cs="Arial" w:eastAsia="Arial" w:hAnsi="Arial"/>
          <w:sz w:val="18"/>
          <w:szCs w:val="18"/>
          <w:color w:val="auto"/>
        </w:rPr>
      </w:pPr>
    </w:p>
    <w:p>
      <w:pPr>
        <w:ind w:left="1320" w:right="40" w:hanging="538"/>
        <w:spacing w:after="0" w:line="268" w:lineRule="auto"/>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 depending on the context, refers to GasLog Ltd. and to any one or more of its direct and indirect subsidiaries, other than GasLog Partners;</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general partner" refers to GasLog Partners GP LLC, the general partner of GasLog Partners and a wholly owned subsidiary of GasLog;</w:t>
      </w:r>
    </w:p>
    <w:p>
      <w:pPr>
        <w:spacing w:after="0" w:line="286" w:lineRule="exact"/>
        <w:rPr>
          <w:rFonts w:ascii="Arial" w:cs="Arial" w:eastAsia="Arial" w:hAnsi="Arial"/>
          <w:sz w:val="15"/>
          <w:szCs w:val="15"/>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 LNG Services" refers to GasLog LNG Services Ltd., a wholly owned subsidiary of GasLog;</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 Partners Holdings" refers to GasLog Partners Holdings LLC, a wholly owned subsidiary of GasLog;</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"Shell" refers to Royal Dutch Shell plc or any one or more of its subsidiaries;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"Mitsui" refers to Mitsui &amp; Co., Ltd.;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"Lepta Shipping" refers to Lepta Shipping Co., Ltd., a subsidiary of Mitsui;</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refers to Total Gas &amp; Power Chartering Limited, a wholly owned subsidiary of Total S.A.;</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"LNG" refers to liquefied natural gas;</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"Series A Preference Units" refers to the 8.625% Series A Cumulative Redeemable Perpetual Fixed to Floating Rate Preference Units issued by us on May 15, 2017;</w:t>
      </w:r>
    </w:p>
    <w:p>
      <w:pPr>
        <w:spacing w:after="0" w:line="212"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"Series B Preference Units" refers to the 8.200% Series B Cumulative Redeemable Perpetual Fixed to Floating Rate Preference Units issued by us on January 17, 2018;</w:t>
      </w:r>
    </w:p>
    <w:p>
      <w:pPr>
        <w:spacing w:after="0" w:line="199" w:lineRule="exact"/>
        <w:rPr>
          <w:rFonts w:ascii="Arial" w:cs="Arial" w:eastAsia="Arial" w:hAnsi="Arial"/>
          <w:sz w:val="18"/>
          <w:szCs w:val="18"/>
          <w:color w:val="auto"/>
        </w:rPr>
      </w:pPr>
    </w:p>
    <w:p>
      <w:pPr>
        <w:ind w:left="1320" w:right="280" w:hanging="538"/>
        <w:spacing w:after="0" w:line="268" w:lineRule="auto"/>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"omnibus agreement" refers to the Omnibus Agreement dated May 12, 2014 by and among the Partnership, GasLog, our general partner and GasLog Partners Holdings LLC, as amended;</w:t>
      </w:r>
    </w:p>
    <w:p>
      <w:pPr>
        <w:spacing w:after="0" w:line="199" w:lineRule="exact"/>
        <w:rPr>
          <w:rFonts w:ascii="Arial" w:cs="Arial" w:eastAsia="Arial" w:hAnsi="Arial"/>
          <w:sz w:val="18"/>
          <w:szCs w:val="18"/>
          <w:color w:val="auto"/>
        </w:rPr>
      </w:pPr>
    </w:p>
    <w:p>
      <w:pPr>
        <w:ind w:left="1320" w:right="40" w:hanging="538"/>
        <w:spacing w:after="0" w:line="268" w:lineRule="auto"/>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"Partnership Agreement" refers to the Third Amended and Restated Agreement of Limited Partnership of the Partnership, dated January 17, 2018.</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"IPO" refers to the initial public offering of GasLog Partners on May 12, 2014;</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"IFRS" refers to International Financial Reporting Standards;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"IASB" refers to the International Accounting Standards Board;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refers to the U.S. Securities and Exchange Commission;</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"dollars" and "$" refer to, and amounts are presented in, U.S. dollars;</w:t>
      </w:r>
    </w:p>
    <w:p>
      <w:pPr>
        <w:sectPr>
          <w:pgSz w:w="11900" w:h="16838" w:orient="portrait"/>
          <w:cols w:equalWidth="0" w:num="1">
            <w:col w:w="11180"/>
          </w:cols>
          <w:pgMar w:left="240" w:top="13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299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129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"TFDE" refers to tri-fuel diesel electric;</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"Steam" refers to steam-powered;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"cbm" refers to cubic meters.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969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969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100" w:firstLine="348"/>
        <w:spacing w:after="0" w:line="298" w:lineRule="auto"/>
        <w:rPr>
          <w:sz w:val="20"/>
          <w:szCs w:val="20"/>
          <w:color w:val="auto"/>
        </w:rPr>
      </w:pPr>
      <w:r>
        <w:rPr>
          <w:rFonts w:ascii="Arial" w:cs="Arial" w:eastAsia="Arial" w:hAnsi="Arial"/>
          <w:sz w:val="16"/>
          <w:szCs w:val="16"/>
          <w:color w:val="auto"/>
        </w:rPr>
        <w:t>We are a growth-oriented limited partnership focused on owning, operating and acquiring LNG carriers engaged in LNG transportation mainly under long-term charters, which we define as charters of five full years or more. Our fleet of 13 LNG carriers, 12 of which have fixed charter terms expiring between 2018 and 2026 that can be extended at the charterers' option, and one that currently operates in the spot market, were contributed to us by, or acquired by us from, GasLog, which controls us through its ownership of our general partner.</w:t>
      </w:r>
    </w:p>
    <w:p>
      <w:pPr>
        <w:spacing w:after="0" w:line="167" w:lineRule="exact"/>
        <w:rPr>
          <w:sz w:val="20"/>
          <w:szCs w:val="20"/>
          <w:color w:val="auto"/>
        </w:rPr>
      </w:pPr>
    </w:p>
    <w:p>
      <w:pPr>
        <w:ind w:left="240" w:firstLine="351"/>
        <w:spacing w:after="0" w:line="294" w:lineRule="auto"/>
        <w:rPr>
          <w:sz w:val="20"/>
          <w:szCs w:val="20"/>
          <w:color w:val="auto"/>
        </w:rPr>
      </w:pPr>
      <w:r>
        <w:rPr>
          <w:rFonts w:ascii="Arial" w:cs="Arial" w:eastAsia="Arial" w:hAnsi="Arial"/>
          <w:sz w:val="16"/>
          <w:szCs w:val="16"/>
          <w:color w:val="auto"/>
        </w:rPr>
        <w:t xml:space="preserve">Our fleet consists of 13 LNG carriers, including eight vessels with modern TFDE propulsion technology and five Steam vessels that operate under long-term charters, except for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which is scheduled to begin an approximately three and a half year charter commencing in the third quarter of 2018, and the </w:t>
      </w:r>
      <w:r>
        <w:rPr>
          <w:rFonts w:ascii="Arial" w:cs="Arial" w:eastAsia="Arial" w:hAnsi="Arial"/>
          <w:sz w:val="16"/>
          <w:szCs w:val="16"/>
          <w:i w:val="1"/>
          <w:iCs w:val="1"/>
          <w:color w:val="auto"/>
        </w:rPr>
        <w:t>GasLog Shanghai</w:t>
      </w:r>
      <w:r>
        <w:rPr>
          <w:rFonts w:ascii="Arial" w:cs="Arial" w:eastAsia="Arial" w:hAnsi="Arial"/>
          <w:sz w:val="16"/>
          <w:szCs w:val="16"/>
          <w:color w:val="auto"/>
        </w:rPr>
        <w:t>, which currently operates in the spot market. We also have options and other rights under which we may acquire additional LNG carriers from GasLog, as described below. We believe that such options and rights provide us with significant built-in growth opportunities. We may also acquire vessels from shipyards or other owners in the future.</w:t>
      </w:r>
    </w:p>
    <w:p>
      <w:pPr>
        <w:spacing w:after="0" w:line="170" w:lineRule="exact"/>
        <w:rPr>
          <w:sz w:val="20"/>
          <w:szCs w:val="20"/>
          <w:color w:val="auto"/>
        </w:rPr>
      </w:pPr>
    </w:p>
    <w:p>
      <w:pPr>
        <w:ind w:left="240" w:right="100" w:firstLine="348"/>
        <w:spacing w:after="0" w:line="294" w:lineRule="auto"/>
        <w:rPr>
          <w:sz w:val="20"/>
          <w:szCs w:val="20"/>
          <w:color w:val="auto"/>
        </w:rPr>
      </w:pPr>
      <w:r>
        <w:rPr>
          <w:rFonts w:ascii="Arial" w:cs="Arial" w:eastAsia="Arial" w:hAnsi="Arial"/>
          <w:sz w:val="16"/>
          <w:szCs w:val="16"/>
          <w:color w:val="auto"/>
        </w:rPr>
        <w:t>We operate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common unit distributions. Among other things, our ability to acquire additional LNG carriers will be dependent upon our ability to raise additional equity and debt financing. For further discussion of the risks that we face, please see "Risk Factors" beginning on page S-20 and please read "Item 3. Key Information—D. Risk Factors" of our Annual Report on Form 20-F.</w:t>
      </w:r>
    </w:p>
    <w:p>
      <w:pPr>
        <w:spacing w:after="0" w:line="170" w:lineRule="exact"/>
        <w:rPr>
          <w:sz w:val="20"/>
          <w:szCs w:val="20"/>
          <w:color w:val="auto"/>
        </w:rPr>
      </w:pPr>
    </w:p>
    <w:p>
      <w:pPr>
        <w:ind w:left="240" w:firstLine="348"/>
        <w:spacing w:after="0" w:line="287" w:lineRule="auto"/>
        <w:rPr>
          <w:sz w:val="20"/>
          <w:szCs w:val="20"/>
          <w:color w:val="auto"/>
        </w:rPr>
      </w:pPr>
      <w:r>
        <w:rPr>
          <w:rFonts w:ascii="Arial" w:cs="Arial" w:eastAsia="Arial" w:hAnsi="Arial"/>
          <w:sz w:val="16"/>
          <w:szCs w:val="16"/>
          <w:color w:val="auto"/>
        </w:rPr>
        <w:t>We are controlled by GasLog, which currently holds a 29.1% interest (including the 2% interest through general partner units) in us (before giving effect to this offering), and owns and controls our general partner. GasLog is, we believe, a leading independent international owner, operator and manager of LNG carriers and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symbol "GLOG". At the time of its initial public offering, GasLog's wholly owned fleet consisted of ten LNG carriers, including eight newbuildings on order. Since its initial public offering, GasLog has increased by approximately 83% the total carrying capacity of vessels in its fleet, which includes vessels on the water and newbuildings on order. As of July 26, 2018, GasLog's wholly owned fleet includes 17 LNG carriers (including 12 ships in operation and five LNG carriers on order) and GasLog has one LNG carrier operating under its technical management for third parties, and a vessel secured under a long-term bareboat charter from Lepta Shipping, a subsidiary of Mitsui. See "— Our Fleet" and "—Additional Vessels".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63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63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information about our fleet as of July 26, 2018:</w:t>
      </w:r>
    </w:p>
    <w:p>
      <w:pPr>
        <w:spacing w:after="0" w:line="20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Cargo</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Capacity</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Charter</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Optional</w:t>
            </w:r>
          </w:p>
        </w:tc>
        <w:tc>
          <w:tcPr>
            <w:tcW w:w="0" w:type="dxa"/>
            <w:vAlign w:val="bottom"/>
          </w:tcPr>
          <w:p>
            <w:pPr>
              <w:spacing w:after="0"/>
              <w:rPr>
                <w:sz w:val="1"/>
                <w:szCs w:val="1"/>
                <w:color w:val="auto"/>
              </w:rPr>
            </w:pPr>
          </w:p>
        </w:tc>
      </w:tr>
      <w:tr>
        <w:trPr>
          <w:trHeight w:val="161"/>
        </w:trPr>
        <w:tc>
          <w:tcPr>
            <w:tcW w:w="420" w:type="dxa"/>
            <w:vAlign w:val="bottom"/>
          </w:tcPr>
          <w:p>
            <w:pPr>
              <w:spacing w:after="0"/>
              <w:rPr>
                <w:sz w:val="14"/>
                <w:szCs w:val="14"/>
                <w:color w:val="auto"/>
              </w:rPr>
            </w:pPr>
          </w:p>
        </w:tc>
        <w:tc>
          <w:tcPr>
            <w:tcW w:w="208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Vessel Name</w:t>
            </w:r>
          </w:p>
        </w:tc>
        <w:tc>
          <w:tcPr>
            <w:tcW w:w="160" w:type="dxa"/>
            <w:vAlign w:val="bottom"/>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Built</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Propulsion</w:t>
            </w: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2"/>
        </w:trPr>
        <w:tc>
          <w:tcPr>
            <w:tcW w:w="420" w:type="dxa"/>
            <w:vAlign w:val="bottom"/>
            <w:shd w:val="clear" w:color="auto" w:fill="CCEEFF"/>
          </w:tcPr>
          <w:p>
            <w:pPr>
              <w:jc w:val="center"/>
              <w:ind w:right="12"/>
              <w:spacing w:after="0" w:line="142" w:lineRule="exact"/>
              <w:rPr>
                <w:sz w:val="20"/>
                <w:szCs w:val="20"/>
                <w:color w:val="auto"/>
              </w:rPr>
            </w:pPr>
            <w:r>
              <w:rPr>
                <w:rFonts w:ascii="Arial" w:cs="Arial" w:eastAsia="Arial" w:hAnsi="Arial"/>
                <w:sz w:val="14"/>
                <w:szCs w:val="14"/>
                <w:b w:val="1"/>
                <w:bCs w:val="1"/>
                <w:color w:val="auto"/>
                <w:w w:val="76"/>
              </w:rPr>
              <w:t>1</w:t>
            </w:r>
          </w:p>
        </w:tc>
        <w:tc>
          <w:tcPr>
            <w:tcW w:w="20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Methane Rita Andrea</w:t>
            </w:r>
          </w:p>
        </w:tc>
        <w:tc>
          <w:tcPr>
            <w:tcW w:w="800" w:type="dxa"/>
            <w:vAlign w:val="bottom"/>
            <w:gridSpan w:val="2"/>
            <w:shd w:val="clear" w:color="auto" w:fill="CCEEFF"/>
          </w:tcPr>
          <w:p>
            <w:pPr>
              <w:jc w:val="center"/>
              <w:ind w:left="112"/>
              <w:spacing w:after="0" w:line="142" w:lineRule="exact"/>
              <w:rPr>
                <w:sz w:val="20"/>
                <w:szCs w:val="20"/>
                <w:color w:val="auto"/>
              </w:rPr>
            </w:pPr>
            <w:r>
              <w:rPr>
                <w:rFonts w:ascii="Arial" w:cs="Arial" w:eastAsia="Arial" w:hAnsi="Arial"/>
                <w:sz w:val="14"/>
                <w:szCs w:val="14"/>
                <w:color w:val="auto"/>
                <w:w w:val="83"/>
              </w:rPr>
              <w:t>2006</w:t>
            </w:r>
          </w:p>
        </w:tc>
        <w:tc>
          <w:tcPr>
            <w:tcW w:w="98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145,000</w:t>
            </w:r>
          </w:p>
        </w:tc>
        <w:tc>
          <w:tcPr>
            <w:tcW w:w="11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Shell</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3"/>
              </w:rPr>
              <w:t>Steam</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April 2020</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420" w:type="dxa"/>
            <w:vAlign w:val="bottom"/>
          </w:tcPr>
          <w:p>
            <w:pPr>
              <w:jc w:val="center"/>
              <w:ind w:right="12"/>
              <w:spacing w:after="0"/>
              <w:rPr>
                <w:sz w:val="20"/>
                <w:szCs w:val="20"/>
                <w:color w:val="auto"/>
              </w:rPr>
            </w:pPr>
            <w:r>
              <w:rPr>
                <w:rFonts w:ascii="Arial" w:cs="Arial" w:eastAsia="Arial" w:hAnsi="Arial"/>
                <w:sz w:val="14"/>
                <w:szCs w:val="14"/>
                <w:b w:val="1"/>
                <w:bCs w:val="1"/>
                <w:color w:val="auto"/>
                <w:w w:val="76"/>
              </w:rPr>
              <w:t>2</w:t>
            </w:r>
          </w:p>
        </w:tc>
        <w:tc>
          <w:tcPr>
            <w:tcW w:w="2080" w:type="dxa"/>
            <w:vAlign w:val="bottom"/>
            <w:gridSpan w:val="2"/>
          </w:tcPr>
          <w:p>
            <w:pPr>
              <w:spacing w:after="0"/>
              <w:rPr>
                <w:sz w:val="20"/>
                <w:szCs w:val="20"/>
                <w:color w:val="auto"/>
              </w:rPr>
            </w:pPr>
            <w:r>
              <w:rPr>
                <w:rFonts w:ascii="Arial" w:cs="Arial" w:eastAsia="Arial" w:hAnsi="Arial"/>
                <w:sz w:val="14"/>
                <w:szCs w:val="14"/>
                <w:i w:val="1"/>
                <w:iCs w:val="1"/>
                <w:color w:val="auto"/>
              </w:rPr>
              <w:t>Methane Jane Elizabeth</w:t>
            </w:r>
          </w:p>
        </w:tc>
        <w:tc>
          <w:tcPr>
            <w:tcW w:w="800" w:type="dxa"/>
            <w:vAlign w:val="bottom"/>
            <w:gridSpan w:val="2"/>
          </w:tcPr>
          <w:p>
            <w:pPr>
              <w:jc w:val="center"/>
              <w:ind w:left="112"/>
              <w:spacing w:after="0"/>
              <w:rPr>
                <w:sz w:val="20"/>
                <w:szCs w:val="20"/>
                <w:color w:val="auto"/>
              </w:rPr>
            </w:pPr>
            <w:r>
              <w:rPr>
                <w:rFonts w:ascii="Arial" w:cs="Arial" w:eastAsia="Arial" w:hAnsi="Arial"/>
                <w:sz w:val="14"/>
                <w:szCs w:val="14"/>
                <w:color w:val="auto"/>
                <w:w w:val="83"/>
              </w:rPr>
              <w:t>2006</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145,000</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3"/>
              </w:rPr>
              <w:t>Steam</w:t>
            </w:r>
          </w:p>
        </w:tc>
        <w:tc>
          <w:tcPr>
            <w:tcW w:w="16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3"/>
                <w:szCs w:val="13"/>
                <w:color w:val="auto"/>
                <w:w w:val="90"/>
              </w:rPr>
              <w:t>October 2019</w:t>
            </w:r>
            <w:r>
              <w:rPr>
                <w:rFonts w:ascii="Arial" w:cs="Arial" w:eastAsia="Arial" w:hAnsi="Arial"/>
                <w:sz w:val="20"/>
                <w:szCs w:val="20"/>
                <w:color w:val="auto"/>
                <w:w w:val="90"/>
                <w:vertAlign w:val="superscript"/>
              </w:rPr>
              <w:t>(1)</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420" w:type="dxa"/>
            <w:vAlign w:val="bottom"/>
            <w:shd w:val="clear" w:color="auto" w:fill="CCEEFF"/>
          </w:tcPr>
          <w:p>
            <w:pPr>
              <w:jc w:val="center"/>
              <w:ind w:right="12"/>
              <w:spacing w:after="0"/>
              <w:rPr>
                <w:sz w:val="20"/>
                <w:szCs w:val="20"/>
                <w:color w:val="auto"/>
              </w:rPr>
            </w:pPr>
            <w:r>
              <w:rPr>
                <w:rFonts w:ascii="Arial" w:cs="Arial" w:eastAsia="Arial" w:hAnsi="Arial"/>
                <w:sz w:val="14"/>
                <w:szCs w:val="14"/>
                <w:b w:val="1"/>
                <w:bCs w:val="1"/>
                <w:color w:val="auto"/>
                <w:w w:val="76"/>
              </w:rPr>
              <w:t>3</w:t>
            </w: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Methane Alison Victoria</w:t>
            </w:r>
          </w:p>
        </w:tc>
        <w:tc>
          <w:tcPr>
            <w:tcW w:w="800" w:type="dxa"/>
            <w:vAlign w:val="bottom"/>
            <w:gridSpan w:val="2"/>
            <w:shd w:val="clear" w:color="auto" w:fill="CCEEFF"/>
          </w:tcPr>
          <w:p>
            <w:pPr>
              <w:jc w:val="center"/>
              <w:ind w:left="112"/>
              <w:spacing w:after="0"/>
              <w:rPr>
                <w:sz w:val="20"/>
                <w:szCs w:val="20"/>
                <w:color w:val="auto"/>
              </w:rPr>
            </w:pPr>
            <w:r>
              <w:rPr>
                <w:rFonts w:ascii="Arial" w:cs="Arial" w:eastAsia="Arial" w:hAnsi="Arial"/>
                <w:sz w:val="14"/>
                <w:szCs w:val="14"/>
                <w:color w:val="auto"/>
                <w:w w:val="83"/>
              </w:rPr>
              <w:t>2007</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145,000</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Steam</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center"/>
              <w:spacing w:after="0" w:line="176" w:lineRule="exact"/>
              <w:rPr>
                <w:sz w:val="20"/>
                <w:szCs w:val="20"/>
                <w:color w:val="auto"/>
              </w:rPr>
            </w:pPr>
            <w:r>
              <w:rPr>
                <w:rFonts w:ascii="Arial" w:cs="Arial" w:eastAsia="Arial" w:hAnsi="Arial"/>
                <w:sz w:val="13"/>
                <w:szCs w:val="13"/>
                <w:color w:val="auto"/>
                <w:w w:val="90"/>
              </w:rPr>
              <w:t>December 2019</w:t>
            </w:r>
            <w:r>
              <w:rPr>
                <w:rFonts w:ascii="Arial" w:cs="Arial" w:eastAsia="Arial" w:hAnsi="Arial"/>
                <w:sz w:val="20"/>
                <w:szCs w:val="20"/>
                <w:color w:val="auto"/>
                <w:w w:val="90"/>
                <w:vertAlign w:val="superscript"/>
              </w:rPr>
              <w:t>(1)</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0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w w:val="91"/>
              </w:rPr>
              <w:t xml:space="preserve">Methane Jane Elizabeth </w:t>
            </w:r>
            <w:r>
              <w:rPr>
                <w:rFonts w:ascii="Arial" w:cs="Arial" w:eastAsia="Arial" w:hAnsi="Arial"/>
                <w:sz w:val="14"/>
                <w:szCs w:val="14"/>
                <w:color w:val="auto"/>
                <w:w w:val="91"/>
              </w:rPr>
              <w:t>or</w:t>
            </w:r>
            <w:r>
              <w:rPr>
                <w:rFonts w:ascii="Arial" w:cs="Arial" w:eastAsia="Arial" w:hAnsi="Arial"/>
                <w:sz w:val="14"/>
                <w:szCs w:val="14"/>
                <w:i w:val="1"/>
                <w:iCs w:val="1"/>
                <w:color w:val="auto"/>
                <w:w w:val="91"/>
              </w:rPr>
              <w:t xml:space="preserve"> Methane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8"/>
              </w:rPr>
              <w:t>November or</w:t>
            </w:r>
          </w:p>
        </w:tc>
        <w:tc>
          <w:tcPr>
            <w:tcW w:w="1160" w:type="dxa"/>
            <w:vAlign w:val="bottom"/>
            <w:gridSpan w:val="2"/>
            <w:vMerge w:val="restart"/>
          </w:tcPr>
          <w:p>
            <w:pPr>
              <w:jc w:val="center"/>
              <w:ind w:left="116"/>
              <w:spacing w:after="0"/>
              <w:rPr>
                <w:sz w:val="20"/>
                <w:szCs w:val="20"/>
                <w:color w:val="auto"/>
              </w:rPr>
            </w:pPr>
            <w:r>
              <w:rPr>
                <w:rFonts w:ascii="Arial" w:cs="Arial" w:eastAsia="Arial" w:hAnsi="Arial"/>
                <w:sz w:val="14"/>
                <w:szCs w:val="14"/>
                <w:color w:val="auto"/>
                <w:w w:val="84"/>
              </w:rPr>
              <w:t>2021 - 2024</w:t>
            </w:r>
            <w:r>
              <w:rPr>
                <w:rFonts w:ascii="Arial" w:cs="Arial" w:eastAsia="Arial" w:hAnsi="Arial"/>
                <w:sz w:val="22"/>
                <w:szCs w:val="22"/>
                <w:color w:val="auto"/>
                <w:w w:val="84"/>
                <w:vertAlign w:val="superscript"/>
              </w:rPr>
              <w:t>(2)</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2080" w:type="dxa"/>
            <w:vAlign w:val="bottom"/>
            <w:gridSpan w:val="2"/>
          </w:tcPr>
          <w:p>
            <w:pPr>
              <w:spacing w:after="0" w:line="176" w:lineRule="exact"/>
              <w:rPr>
                <w:sz w:val="20"/>
                <w:szCs w:val="20"/>
                <w:color w:val="auto"/>
              </w:rPr>
            </w:pPr>
            <w:r>
              <w:rPr>
                <w:rFonts w:ascii="Arial" w:cs="Arial" w:eastAsia="Arial" w:hAnsi="Arial"/>
                <w:sz w:val="13"/>
                <w:szCs w:val="13"/>
                <w:i w:val="1"/>
                <w:iCs w:val="1"/>
                <w:color w:val="auto"/>
              </w:rPr>
              <w:t>Alison Victoria</w:t>
            </w:r>
            <w:r>
              <w:rPr>
                <w:rFonts w:ascii="Arial" w:cs="Arial" w:eastAsia="Arial" w:hAnsi="Arial"/>
                <w:sz w:val="20"/>
                <w:szCs w:val="20"/>
                <w:color w:val="auto"/>
                <w:vertAlign w:val="superscript"/>
              </w:rPr>
              <w:t>(1)</w:t>
            </w:r>
          </w:p>
        </w:tc>
        <w:tc>
          <w:tcPr>
            <w:tcW w:w="800" w:type="dxa"/>
            <w:vAlign w:val="bottom"/>
            <w:gridSpan w:val="2"/>
          </w:tcPr>
          <w:p>
            <w:pPr>
              <w:jc w:val="center"/>
              <w:ind w:left="112"/>
              <w:spacing w:after="0"/>
              <w:rPr>
                <w:sz w:val="20"/>
                <w:szCs w:val="20"/>
                <w:color w:val="auto"/>
              </w:rPr>
            </w:pPr>
            <w:r>
              <w:rPr>
                <w:rFonts w:ascii="Arial" w:cs="Arial" w:eastAsia="Arial" w:hAnsi="Arial"/>
                <w:sz w:val="14"/>
                <w:szCs w:val="14"/>
                <w:color w:val="auto"/>
                <w:w w:val="87"/>
              </w:rPr>
              <w:t>2006/2007</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145,000</w:t>
            </w:r>
          </w:p>
        </w:tc>
        <w:tc>
          <w:tcPr>
            <w:tcW w:w="1120" w:type="dxa"/>
            <w:vAlign w:val="bottom"/>
          </w:tcPr>
          <w:p>
            <w:pPr>
              <w:jc w:val="center"/>
              <w:spacing w:after="0"/>
              <w:rPr>
                <w:sz w:val="20"/>
                <w:szCs w:val="20"/>
                <w:color w:val="auto"/>
              </w:rPr>
            </w:pPr>
            <w:r>
              <w:rPr>
                <w:rFonts w:ascii="Arial" w:cs="Arial" w:eastAsia="Arial" w:hAnsi="Arial"/>
                <w:sz w:val="14"/>
                <w:szCs w:val="14"/>
                <w:color w:val="auto"/>
                <w:w w:val="86"/>
              </w:rPr>
              <w:t>New Customer</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3"/>
              </w:rPr>
              <w:t>Steam</w:t>
            </w:r>
          </w:p>
        </w:tc>
        <w:tc>
          <w:tcPr>
            <w:tcW w:w="1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6"/>
              </w:rPr>
              <w:t>December 2020</w:t>
            </w: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 w:type="dxa"/>
            <w:vAlign w:val="bottom"/>
            <w:shd w:val="clear" w:color="auto" w:fill="CCEEFF"/>
          </w:tcPr>
          <w:p>
            <w:pPr>
              <w:jc w:val="center"/>
              <w:ind w:right="12"/>
              <w:spacing w:after="0"/>
              <w:rPr>
                <w:sz w:val="20"/>
                <w:szCs w:val="20"/>
                <w:color w:val="auto"/>
              </w:rPr>
            </w:pPr>
            <w:r>
              <w:rPr>
                <w:rFonts w:ascii="Arial" w:cs="Arial" w:eastAsia="Arial" w:hAnsi="Arial"/>
                <w:sz w:val="14"/>
                <w:szCs w:val="14"/>
                <w:b w:val="1"/>
                <w:bCs w:val="1"/>
                <w:color w:val="auto"/>
                <w:w w:val="76"/>
              </w:rPr>
              <w:t>4</w:t>
            </w: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Methane Shirley Elisabeth</w:t>
            </w:r>
          </w:p>
        </w:tc>
        <w:tc>
          <w:tcPr>
            <w:tcW w:w="800" w:type="dxa"/>
            <w:vAlign w:val="bottom"/>
            <w:gridSpan w:val="2"/>
            <w:shd w:val="clear" w:color="auto" w:fill="CCEEFF"/>
          </w:tcPr>
          <w:p>
            <w:pPr>
              <w:jc w:val="center"/>
              <w:ind w:left="112"/>
              <w:spacing w:after="0"/>
              <w:rPr>
                <w:sz w:val="20"/>
                <w:szCs w:val="20"/>
                <w:color w:val="auto"/>
              </w:rPr>
            </w:pPr>
            <w:r>
              <w:rPr>
                <w:rFonts w:ascii="Arial" w:cs="Arial" w:eastAsia="Arial" w:hAnsi="Arial"/>
                <w:sz w:val="14"/>
                <w:szCs w:val="14"/>
                <w:color w:val="auto"/>
                <w:w w:val="83"/>
              </w:rPr>
              <w:t>2007</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145,000</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Steam</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2"/>
              </w:rPr>
              <w:t>June 2020</w:t>
            </w:r>
          </w:p>
        </w:tc>
        <w:tc>
          <w:tcPr>
            <w:tcW w:w="1160" w:type="dxa"/>
            <w:vAlign w:val="bottom"/>
            <w:gridSpan w:val="2"/>
            <w:shd w:val="clear" w:color="auto" w:fill="CCEEFF"/>
          </w:tcPr>
          <w:p>
            <w:pPr>
              <w:jc w:val="center"/>
              <w:ind w:left="116"/>
              <w:spacing w:after="0" w:line="176" w:lineRule="exact"/>
              <w:rPr>
                <w:sz w:val="20"/>
                <w:szCs w:val="20"/>
                <w:color w:val="auto"/>
              </w:rPr>
            </w:pPr>
            <w:r>
              <w:rPr>
                <w:rFonts w:ascii="Arial" w:cs="Arial" w:eastAsia="Arial" w:hAnsi="Arial"/>
                <w:sz w:val="13"/>
                <w:szCs w:val="13"/>
                <w:color w:val="auto"/>
                <w:w w:val="90"/>
              </w:rPr>
              <w:t>2023 - 2025</w:t>
            </w:r>
            <w:r>
              <w:rPr>
                <w:rFonts w:ascii="Arial" w:cs="Arial" w:eastAsia="Arial" w:hAnsi="Arial"/>
                <w:sz w:val="20"/>
                <w:szCs w:val="20"/>
                <w:color w:val="auto"/>
                <w:w w:val="90"/>
                <w:vertAlign w:val="superscript"/>
              </w:rPr>
              <w:t>(3)</w:t>
            </w:r>
          </w:p>
        </w:tc>
        <w:tc>
          <w:tcPr>
            <w:tcW w:w="0" w:type="dxa"/>
            <w:vAlign w:val="bottom"/>
          </w:tcPr>
          <w:p>
            <w:pPr>
              <w:spacing w:after="0"/>
              <w:rPr>
                <w:sz w:val="1"/>
                <w:szCs w:val="1"/>
                <w:color w:val="auto"/>
              </w:rPr>
            </w:pPr>
          </w:p>
        </w:tc>
      </w:tr>
      <w:tr>
        <w:trPr>
          <w:trHeight w:val="176"/>
        </w:trPr>
        <w:tc>
          <w:tcPr>
            <w:tcW w:w="420" w:type="dxa"/>
            <w:vAlign w:val="bottom"/>
          </w:tcPr>
          <w:p>
            <w:pPr>
              <w:jc w:val="center"/>
              <w:ind w:right="12"/>
              <w:spacing w:after="0"/>
              <w:rPr>
                <w:sz w:val="20"/>
                <w:szCs w:val="20"/>
                <w:color w:val="auto"/>
              </w:rPr>
            </w:pPr>
            <w:r>
              <w:rPr>
                <w:rFonts w:ascii="Arial" w:cs="Arial" w:eastAsia="Arial" w:hAnsi="Arial"/>
                <w:sz w:val="14"/>
                <w:szCs w:val="14"/>
                <w:b w:val="1"/>
                <w:bCs w:val="1"/>
                <w:color w:val="auto"/>
                <w:w w:val="76"/>
              </w:rPr>
              <w:t>5</w:t>
            </w:r>
          </w:p>
        </w:tc>
        <w:tc>
          <w:tcPr>
            <w:tcW w:w="2080" w:type="dxa"/>
            <w:vAlign w:val="bottom"/>
            <w:gridSpan w:val="2"/>
          </w:tcPr>
          <w:p>
            <w:pPr>
              <w:spacing w:after="0"/>
              <w:rPr>
                <w:sz w:val="20"/>
                <w:szCs w:val="20"/>
                <w:color w:val="auto"/>
              </w:rPr>
            </w:pPr>
            <w:r>
              <w:rPr>
                <w:rFonts w:ascii="Arial" w:cs="Arial" w:eastAsia="Arial" w:hAnsi="Arial"/>
                <w:sz w:val="14"/>
                <w:szCs w:val="14"/>
                <w:i w:val="1"/>
                <w:iCs w:val="1"/>
                <w:color w:val="auto"/>
              </w:rPr>
              <w:t>Methane Heather Sally</w:t>
            </w:r>
          </w:p>
        </w:tc>
        <w:tc>
          <w:tcPr>
            <w:tcW w:w="800" w:type="dxa"/>
            <w:vAlign w:val="bottom"/>
            <w:gridSpan w:val="2"/>
          </w:tcPr>
          <w:p>
            <w:pPr>
              <w:jc w:val="center"/>
              <w:ind w:left="112"/>
              <w:spacing w:after="0"/>
              <w:rPr>
                <w:sz w:val="20"/>
                <w:szCs w:val="20"/>
                <w:color w:val="auto"/>
              </w:rPr>
            </w:pPr>
            <w:r>
              <w:rPr>
                <w:rFonts w:ascii="Arial" w:cs="Arial" w:eastAsia="Arial" w:hAnsi="Arial"/>
                <w:sz w:val="14"/>
                <w:szCs w:val="14"/>
                <w:color w:val="auto"/>
                <w:w w:val="83"/>
              </w:rPr>
              <w:t>2007</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145,000</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3"/>
              </w:rPr>
              <w:t>Steam</w:t>
            </w:r>
          </w:p>
        </w:tc>
        <w:tc>
          <w:tcPr>
            <w:tcW w:w="1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6"/>
              </w:rPr>
              <w:t>December 2020</w:t>
            </w:r>
          </w:p>
        </w:tc>
        <w:tc>
          <w:tcPr>
            <w:tcW w:w="1160" w:type="dxa"/>
            <w:vAlign w:val="bottom"/>
            <w:gridSpan w:val="2"/>
          </w:tcPr>
          <w:p>
            <w:pPr>
              <w:jc w:val="center"/>
              <w:ind w:left="116"/>
              <w:spacing w:after="0" w:line="176" w:lineRule="exact"/>
              <w:rPr>
                <w:sz w:val="20"/>
                <w:szCs w:val="20"/>
                <w:color w:val="auto"/>
              </w:rPr>
            </w:pPr>
            <w:r>
              <w:rPr>
                <w:rFonts w:ascii="Arial" w:cs="Arial" w:eastAsia="Arial" w:hAnsi="Arial"/>
                <w:sz w:val="13"/>
                <w:szCs w:val="13"/>
                <w:color w:val="auto"/>
                <w:w w:val="90"/>
              </w:rPr>
              <w:t>2023 - 2025</w:t>
            </w:r>
            <w:r>
              <w:rPr>
                <w:rFonts w:ascii="Arial" w:cs="Arial" w:eastAsia="Arial" w:hAnsi="Arial"/>
                <w:sz w:val="20"/>
                <w:szCs w:val="20"/>
                <w:color w:val="auto"/>
                <w:w w:val="90"/>
                <w:vertAlign w:val="superscript"/>
              </w:rPr>
              <w:t>(3)</w:t>
            </w:r>
          </w:p>
        </w:tc>
        <w:tc>
          <w:tcPr>
            <w:tcW w:w="0" w:type="dxa"/>
            <w:vAlign w:val="bottom"/>
          </w:tcPr>
          <w:p>
            <w:pPr>
              <w:spacing w:after="0"/>
              <w:rPr>
                <w:sz w:val="1"/>
                <w:szCs w:val="1"/>
                <w:color w:val="auto"/>
              </w:rPr>
            </w:pPr>
          </w:p>
        </w:tc>
      </w:tr>
      <w:tr>
        <w:trPr>
          <w:trHeight w:val="176"/>
        </w:trPr>
        <w:tc>
          <w:tcPr>
            <w:tcW w:w="420" w:type="dxa"/>
            <w:vAlign w:val="bottom"/>
            <w:shd w:val="clear" w:color="auto" w:fill="CCEEFF"/>
          </w:tcPr>
          <w:p>
            <w:pPr>
              <w:jc w:val="center"/>
              <w:ind w:right="12"/>
              <w:spacing w:after="0"/>
              <w:rPr>
                <w:sz w:val="20"/>
                <w:szCs w:val="20"/>
                <w:color w:val="auto"/>
              </w:rPr>
            </w:pPr>
            <w:r>
              <w:rPr>
                <w:rFonts w:ascii="Arial" w:cs="Arial" w:eastAsia="Arial" w:hAnsi="Arial"/>
                <w:sz w:val="14"/>
                <w:szCs w:val="14"/>
                <w:b w:val="1"/>
                <w:bCs w:val="1"/>
                <w:color w:val="auto"/>
                <w:w w:val="76"/>
              </w:rPr>
              <w:t>6</w:t>
            </w: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GasLog Shanghai</w:t>
            </w:r>
          </w:p>
        </w:tc>
        <w:tc>
          <w:tcPr>
            <w:tcW w:w="800" w:type="dxa"/>
            <w:vAlign w:val="bottom"/>
            <w:gridSpan w:val="2"/>
            <w:shd w:val="clear" w:color="auto" w:fill="CCEEFF"/>
          </w:tcPr>
          <w:p>
            <w:pPr>
              <w:jc w:val="center"/>
              <w:ind w:left="112"/>
              <w:spacing w:after="0"/>
              <w:rPr>
                <w:sz w:val="20"/>
                <w:szCs w:val="20"/>
                <w:color w:val="auto"/>
              </w:rPr>
            </w:pPr>
            <w:r>
              <w:rPr>
                <w:rFonts w:ascii="Arial" w:cs="Arial" w:eastAsia="Arial" w:hAnsi="Arial"/>
                <w:sz w:val="14"/>
                <w:szCs w:val="14"/>
                <w:color w:val="auto"/>
                <w:w w:val="83"/>
              </w:rPr>
              <w:t>2013</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155,000</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3"/>
                <w:szCs w:val="13"/>
                <w:color w:val="auto"/>
                <w:w w:val="92"/>
              </w:rPr>
              <w:t>Spot Market</w:t>
            </w:r>
            <w:r>
              <w:rPr>
                <w:rFonts w:ascii="Arial" w:cs="Arial" w:eastAsia="Arial" w:hAnsi="Arial"/>
                <w:sz w:val="20"/>
                <w:szCs w:val="20"/>
                <w:color w:val="auto"/>
                <w:w w:val="92"/>
                <w:vertAlign w:val="superscript"/>
              </w:rPr>
              <w:t>(4)</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TFDE</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420" w:type="dxa"/>
            <w:vAlign w:val="bottom"/>
          </w:tcPr>
          <w:p>
            <w:pPr>
              <w:jc w:val="center"/>
              <w:ind w:right="12"/>
              <w:spacing w:after="0"/>
              <w:rPr>
                <w:sz w:val="20"/>
                <w:szCs w:val="20"/>
                <w:color w:val="auto"/>
              </w:rPr>
            </w:pPr>
            <w:r>
              <w:rPr>
                <w:rFonts w:ascii="Arial" w:cs="Arial" w:eastAsia="Arial" w:hAnsi="Arial"/>
                <w:sz w:val="14"/>
                <w:szCs w:val="14"/>
                <w:b w:val="1"/>
                <w:bCs w:val="1"/>
                <w:color w:val="auto"/>
                <w:w w:val="76"/>
              </w:rPr>
              <w:t>7</w:t>
            </w: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spacing w:after="0" w:line="189" w:lineRule="exact"/>
              <w:rPr>
                <w:sz w:val="20"/>
                <w:szCs w:val="20"/>
                <w:color w:val="auto"/>
              </w:rPr>
            </w:pPr>
            <w:r>
              <w:rPr>
                <w:rFonts w:ascii="Arial" w:cs="Arial" w:eastAsia="Arial" w:hAnsi="Arial"/>
                <w:sz w:val="13"/>
                <w:szCs w:val="13"/>
                <w:color w:val="auto"/>
                <w:w w:val="93"/>
              </w:rPr>
              <w:t>New Customer</w:t>
            </w:r>
            <w:r>
              <w:rPr>
                <w:rFonts w:ascii="Arial" w:cs="Arial" w:eastAsia="Arial" w:hAnsi="Arial"/>
                <w:sz w:val="21"/>
                <w:szCs w:val="21"/>
                <w:color w:val="auto"/>
                <w:w w:val="93"/>
                <w:vertAlign w:val="superscript"/>
              </w:rPr>
              <w:t>(5)</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8"/>
              </w:rPr>
              <w:t>August 2018</w:t>
            </w:r>
          </w:p>
        </w:tc>
        <w:tc>
          <w:tcPr>
            <w:tcW w:w="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97"/>
        </w:trPr>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vMerge w:val="restart"/>
          </w:tcPr>
          <w:p>
            <w:pPr>
              <w:jc w:val="center"/>
              <w:spacing w:after="0" w:line="229" w:lineRule="exact"/>
              <w:rPr>
                <w:sz w:val="20"/>
                <w:szCs w:val="20"/>
                <w:color w:val="auto"/>
              </w:rPr>
            </w:pPr>
            <w:r>
              <w:rPr>
                <w:rFonts w:ascii="Arial" w:cs="Arial" w:eastAsia="Arial" w:hAnsi="Arial"/>
                <w:sz w:val="14"/>
                <w:szCs w:val="14"/>
                <w:color w:val="auto"/>
                <w:w w:val="86"/>
              </w:rPr>
              <w:t>New Customer</w:t>
            </w:r>
            <w:r>
              <w:rPr>
                <w:rFonts w:ascii="Arial" w:cs="Arial" w:eastAsia="Arial" w:hAnsi="Arial"/>
                <w:sz w:val="22"/>
                <w:szCs w:val="22"/>
                <w:color w:val="auto"/>
                <w:w w:val="86"/>
                <w:vertAlign w:val="superscript"/>
              </w:rPr>
              <w:t>(5)</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jc w:val="center"/>
              <w:spacing w:after="0" w:line="97" w:lineRule="exact"/>
              <w:rPr>
                <w:sz w:val="20"/>
                <w:szCs w:val="20"/>
                <w:color w:val="auto"/>
              </w:rPr>
            </w:pPr>
            <w:r>
              <w:rPr>
                <w:rFonts w:ascii="Arial" w:cs="Arial" w:eastAsia="Arial" w:hAnsi="Arial"/>
                <w:sz w:val="11"/>
                <w:szCs w:val="11"/>
                <w:color w:val="auto"/>
              </w:rPr>
              <w:t>December 2021 or</w:t>
            </w:r>
          </w:p>
        </w:tc>
        <w:tc>
          <w:tcPr>
            <w:tcW w:w="1160" w:type="dxa"/>
            <w:vAlign w:val="bottom"/>
            <w:gridSpan w:val="2"/>
            <w:vMerge w:val="restart"/>
          </w:tcPr>
          <w:p>
            <w:pPr>
              <w:jc w:val="center"/>
              <w:ind w:left="116"/>
              <w:spacing w:after="0" w:line="229" w:lineRule="exact"/>
              <w:rPr>
                <w:sz w:val="20"/>
                <w:szCs w:val="20"/>
                <w:color w:val="auto"/>
              </w:rPr>
            </w:pPr>
            <w:r>
              <w:rPr>
                <w:rFonts w:ascii="Arial" w:cs="Arial" w:eastAsia="Arial" w:hAnsi="Arial"/>
                <w:sz w:val="14"/>
                <w:szCs w:val="14"/>
                <w:color w:val="auto"/>
                <w:w w:val="84"/>
              </w:rPr>
              <w:t>2022 - 2028</w:t>
            </w:r>
            <w:r>
              <w:rPr>
                <w:rFonts w:ascii="Arial" w:cs="Arial" w:eastAsia="Arial" w:hAnsi="Arial"/>
                <w:sz w:val="22"/>
                <w:szCs w:val="22"/>
                <w:color w:val="auto"/>
                <w:w w:val="84"/>
                <w:vertAlign w:val="superscript"/>
              </w:rPr>
              <w:t>(6)</w:t>
            </w:r>
          </w:p>
        </w:tc>
        <w:tc>
          <w:tcPr>
            <w:tcW w:w="0" w:type="dxa"/>
            <w:vAlign w:val="bottom"/>
          </w:tcPr>
          <w:p>
            <w:pPr>
              <w:spacing w:after="0"/>
              <w:rPr>
                <w:sz w:val="1"/>
                <w:szCs w:val="1"/>
                <w:color w:val="auto"/>
              </w:rPr>
            </w:pPr>
          </w:p>
        </w:tc>
      </w:tr>
      <w:tr>
        <w:trPr>
          <w:trHeight w:val="132"/>
        </w:trPr>
        <w:tc>
          <w:tcPr>
            <w:tcW w:w="420" w:type="dxa"/>
            <w:vAlign w:val="bottom"/>
          </w:tcPr>
          <w:p>
            <w:pPr>
              <w:spacing w:after="0"/>
              <w:rPr>
                <w:sz w:val="11"/>
                <w:szCs w:val="11"/>
                <w:color w:val="auto"/>
              </w:rPr>
            </w:pPr>
          </w:p>
        </w:tc>
        <w:tc>
          <w:tcPr>
            <w:tcW w:w="2080" w:type="dxa"/>
            <w:vAlign w:val="bottom"/>
            <w:gridSpan w:val="2"/>
            <w:vMerge w:val="restart"/>
          </w:tcPr>
          <w:p>
            <w:pPr>
              <w:spacing w:after="0" w:line="159" w:lineRule="exact"/>
              <w:rPr>
                <w:sz w:val="20"/>
                <w:szCs w:val="20"/>
                <w:color w:val="auto"/>
              </w:rPr>
            </w:pPr>
            <w:r>
              <w:rPr>
                <w:rFonts w:ascii="Arial" w:cs="Arial" w:eastAsia="Arial" w:hAnsi="Arial"/>
                <w:sz w:val="14"/>
                <w:szCs w:val="14"/>
                <w:i w:val="1"/>
                <w:iCs w:val="1"/>
                <w:color w:val="auto"/>
              </w:rPr>
              <w:t>GasLog Santiago</w:t>
            </w:r>
          </w:p>
        </w:tc>
        <w:tc>
          <w:tcPr>
            <w:tcW w:w="800" w:type="dxa"/>
            <w:vAlign w:val="bottom"/>
            <w:gridSpan w:val="2"/>
            <w:vMerge w:val="restart"/>
          </w:tcPr>
          <w:p>
            <w:pPr>
              <w:jc w:val="center"/>
              <w:ind w:left="112"/>
              <w:spacing w:after="0" w:line="159" w:lineRule="exact"/>
              <w:rPr>
                <w:sz w:val="20"/>
                <w:szCs w:val="20"/>
                <w:color w:val="auto"/>
              </w:rPr>
            </w:pPr>
            <w:r>
              <w:rPr>
                <w:rFonts w:ascii="Arial" w:cs="Arial" w:eastAsia="Arial" w:hAnsi="Arial"/>
                <w:sz w:val="14"/>
                <w:szCs w:val="14"/>
                <w:color w:val="auto"/>
                <w:w w:val="83"/>
              </w:rPr>
              <w:t>2013</w:t>
            </w:r>
          </w:p>
        </w:tc>
        <w:tc>
          <w:tcPr>
            <w:tcW w:w="980" w:type="dxa"/>
            <w:vAlign w:val="bottom"/>
            <w:gridSpan w:val="3"/>
            <w:vMerge w:val="restart"/>
          </w:tcPr>
          <w:p>
            <w:pPr>
              <w:jc w:val="right"/>
              <w:ind w:right="160"/>
              <w:spacing w:after="0" w:line="159" w:lineRule="exact"/>
              <w:rPr>
                <w:sz w:val="20"/>
                <w:szCs w:val="20"/>
                <w:color w:val="auto"/>
              </w:rPr>
            </w:pPr>
            <w:r>
              <w:rPr>
                <w:rFonts w:ascii="Arial" w:cs="Arial" w:eastAsia="Arial" w:hAnsi="Arial"/>
                <w:sz w:val="14"/>
                <w:szCs w:val="14"/>
                <w:color w:val="auto"/>
              </w:rPr>
              <w:t>155,000</w:t>
            </w:r>
          </w:p>
        </w:tc>
        <w:tc>
          <w:tcPr>
            <w:tcW w:w="11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center"/>
              <w:spacing w:after="0" w:line="159" w:lineRule="exact"/>
              <w:rPr>
                <w:sz w:val="20"/>
                <w:szCs w:val="20"/>
                <w:color w:val="auto"/>
              </w:rPr>
            </w:pPr>
            <w:r>
              <w:rPr>
                <w:rFonts w:ascii="Arial" w:cs="Arial" w:eastAsia="Arial" w:hAnsi="Arial"/>
                <w:sz w:val="14"/>
                <w:szCs w:val="14"/>
                <w:color w:val="auto"/>
                <w:w w:val="92"/>
              </w:rPr>
              <w:t>TFDE</w:t>
            </w:r>
          </w:p>
        </w:tc>
        <w:tc>
          <w:tcPr>
            <w:tcW w:w="160" w:type="dxa"/>
            <w:vAlign w:val="bottom"/>
          </w:tcPr>
          <w:p>
            <w:pPr>
              <w:spacing w:after="0"/>
              <w:rPr>
                <w:sz w:val="11"/>
                <w:szCs w:val="11"/>
                <w:color w:val="auto"/>
              </w:rPr>
            </w:pPr>
          </w:p>
        </w:tc>
        <w:tc>
          <w:tcPr>
            <w:tcW w:w="1260" w:type="dxa"/>
            <w:vAlign w:val="bottom"/>
            <w:vMerge w:val="restart"/>
          </w:tcPr>
          <w:p>
            <w:pPr>
              <w:jc w:val="center"/>
              <w:spacing w:after="0" w:line="159" w:lineRule="exact"/>
              <w:rPr>
                <w:sz w:val="20"/>
                <w:szCs w:val="20"/>
                <w:color w:val="auto"/>
              </w:rPr>
            </w:pPr>
            <w:r>
              <w:rPr>
                <w:rFonts w:ascii="Arial" w:cs="Arial" w:eastAsia="Arial" w:hAnsi="Arial"/>
                <w:sz w:val="14"/>
                <w:szCs w:val="14"/>
                <w:color w:val="auto"/>
                <w:w w:val="84"/>
              </w:rPr>
              <w:t>January 2022</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08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20" w:type="dxa"/>
            <w:vAlign w:val="bottom"/>
            <w:vMerge w:val="restart"/>
            <w:shd w:val="clear" w:color="auto" w:fill="CCEEFF"/>
          </w:tcPr>
          <w:p>
            <w:pPr>
              <w:jc w:val="center"/>
              <w:ind w:right="12"/>
              <w:spacing w:after="0"/>
              <w:rPr>
                <w:sz w:val="20"/>
                <w:szCs w:val="20"/>
                <w:color w:val="auto"/>
              </w:rPr>
            </w:pPr>
            <w:r>
              <w:rPr>
                <w:rFonts w:ascii="Arial" w:cs="Arial" w:eastAsia="Arial" w:hAnsi="Arial"/>
                <w:sz w:val="14"/>
                <w:szCs w:val="14"/>
                <w:b w:val="1"/>
                <w:bCs w:val="1"/>
                <w:color w:val="auto"/>
                <w:w w:val="76"/>
              </w:rPr>
              <w:t>8</w:t>
            </w:r>
          </w:p>
        </w:tc>
        <w:tc>
          <w:tcPr>
            <w:tcW w:w="1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9"/>
              </w:rPr>
              <w:t>Shell</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4"/>
              </w:rPr>
              <w:t>September 2018</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8"/>
        </w:trPr>
        <w:tc>
          <w:tcPr>
            <w:tcW w:w="420" w:type="dxa"/>
            <w:vAlign w:val="bottom"/>
            <w:vMerge w:val="continue"/>
            <w:shd w:val="clear" w:color="auto" w:fill="CCEEFF"/>
          </w:tcPr>
          <w:p>
            <w:pPr>
              <w:spacing w:after="0"/>
              <w:rPr>
                <w:sz w:val="9"/>
                <w:szCs w:val="9"/>
                <w:color w:val="auto"/>
              </w:rPr>
            </w:pPr>
          </w:p>
        </w:tc>
        <w:tc>
          <w:tcPr>
            <w:tcW w:w="20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i w:val="1"/>
                <w:iCs w:val="1"/>
                <w:color w:val="auto"/>
              </w:rPr>
              <w:t>GasLog Sydney</w:t>
            </w:r>
          </w:p>
        </w:tc>
        <w:tc>
          <w:tcPr>
            <w:tcW w:w="800" w:type="dxa"/>
            <w:vAlign w:val="bottom"/>
            <w:gridSpan w:val="2"/>
            <w:vMerge w:val="restart"/>
            <w:shd w:val="clear" w:color="auto" w:fill="CCEEFF"/>
          </w:tcPr>
          <w:p>
            <w:pPr>
              <w:jc w:val="center"/>
              <w:ind w:left="112"/>
              <w:spacing w:after="0"/>
              <w:rPr>
                <w:sz w:val="20"/>
                <w:szCs w:val="20"/>
                <w:color w:val="auto"/>
              </w:rPr>
            </w:pPr>
            <w:r>
              <w:rPr>
                <w:rFonts w:ascii="Arial" w:cs="Arial" w:eastAsia="Arial" w:hAnsi="Arial"/>
                <w:sz w:val="14"/>
                <w:szCs w:val="14"/>
                <w:color w:val="auto"/>
                <w:w w:val="83"/>
              </w:rPr>
              <w:t>2013</w:t>
            </w:r>
          </w:p>
        </w:tc>
        <w:tc>
          <w:tcPr>
            <w:tcW w:w="9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155,000</w:t>
            </w:r>
          </w:p>
        </w:tc>
        <w:tc>
          <w:tcPr>
            <w:tcW w:w="1120" w:type="dxa"/>
            <w:vAlign w:val="bottom"/>
            <w:vMerge w:val="restart"/>
            <w:shd w:val="clear" w:color="auto" w:fill="CCEEFF"/>
          </w:tcPr>
          <w:p>
            <w:pPr>
              <w:jc w:val="center"/>
              <w:spacing w:after="0" w:line="189" w:lineRule="exact"/>
              <w:rPr>
                <w:sz w:val="20"/>
                <w:szCs w:val="20"/>
                <w:color w:val="auto"/>
              </w:rPr>
            </w:pPr>
            <w:r>
              <w:rPr>
                <w:rFonts w:ascii="Arial" w:cs="Arial" w:eastAsia="Arial" w:hAnsi="Arial"/>
                <w:sz w:val="13"/>
                <w:szCs w:val="13"/>
                <w:color w:val="auto"/>
                <w:w w:val="88"/>
              </w:rPr>
              <w:t>Cheniere</w:t>
            </w:r>
            <w:r>
              <w:rPr>
                <w:rFonts w:ascii="Arial" w:cs="Arial" w:eastAsia="Arial" w:hAnsi="Arial"/>
                <w:sz w:val="21"/>
                <w:szCs w:val="21"/>
                <w:color w:val="auto"/>
                <w:w w:val="88"/>
                <w:vertAlign w:val="superscript"/>
              </w:rPr>
              <w:t>(7)</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TFDE</w:t>
            </w:r>
          </w:p>
        </w:tc>
        <w:tc>
          <w:tcPr>
            <w:tcW w:w="160" w:type="dxa"/>
            <w:vAlign w:val="bottom"/>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March 2020</w:t>
            </w:r>
          </w:p>
        </w:tc>
        <w:tc>
          <w:tcPr>
            <w:tcW w:w="1160" w:type="dxa"/>
            <w:vAlign w:val="bottom"/>
            <w:gridSpan w:val="2"/>
            <w:vMerge w:val="restart"/>
            <w:shd w:val="clear" w:color="auto" w:fill="CCEEFF"/>
          </w:tcPr>
          <w:p>
            <w:pPr>
              <w:jc w:val="center"/>
              <w:ind w:left="116"/>
              <w:spacing w:after="0" w:line="189" w:lineRule="exact"/>
              <w:rPr>
                <w:sz w:val="20"/>
                <w:szCs w:val="20"/>
                <w:color w:val="auto"/>
              </w:rPr>
            </w:pPr>
            <w:r>
              <w:rPr>
                <w:rFonts w:ascii="Arial" w:cs="Arial" w:eastAsia="Arial" w:hAnsi="Arial"/>
                <w:sz w:val="13"/>
                <w:szCs w:val="13"/>
                <w:color w:val="auto"/>
                <w:w w:val="90"/>
              </w:rPr>
              <w:t>2020 - 2021</w:t>
            </w:r>
            <w:r>
              <w:rPr>
                <w:rFonts w:ascii="Arial" w:cs="Arial" w:eastAsia="Arial" w:hAnsi="Arial"/>
                <w:sz w:val="21"/>
                <w:szCs w:val="21"/>
                <w:color w:val="auto"/>
                <w:w w:val="90"/>
                <w:vertAlign w:val="superscript"/>
              </w:rPr>
              <w:t>(8)</w:t>
            </w:r>
          </w:p>
        </w:tc>
        <w:tc>
          <w:tcPr>
            <w:tcW w:w="0" w:type="dxa"/>
            <w:vAlign w:val="bottom"/>
          </w:tcPr>
          <w:p>
            <w:pPr>
              <w:spacing w:after="0"/>
              <w:rPr>
                <w:sz w:val="1"/>
                <w:szCs w:val="1"/>
                <w:color w:val="auto"/>
              </w:rPr>
            </w:pPr>
          </w:p>
        </w:tc>
      </w:tr>
      <w:tr>
        <w:trPr>
          <w:trHeight w:val="82"/>
        </w:trPr>
        <w:tc>
          <w:tcPr>
            <w:tcW w:w="420" w:type="dxa"/>
            <w:vAlign w:val="bottom"/>
            <w:shd w:val="clear" w:color="auto" w:fill="CCEEFF"/>
          </w:tcPr>
          <w:p>
            <w:pPr>
              <w:spacing w:after="0"/>
              <w:rPr>
                <w:sz w:val="7"/>
                <w:szCs w:val="7"/>
                <w:color w:val="auto"/>
              </w:rPr>
            </w:pPr>
          </w:p>
        </w:tc>
        <w:tc>
          <w:tcPr>
            <w:tcW w:w="2080" w:type="dxa"/>
            <w:vAlign w:val="bottom"/>
            <w:gridSpan w:val="2"/>
            <w:vMerge w:val="continue"/>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980" w:type="dxa"/>
            <w:vAlign w:val="bottom"/>
            <w:gridSpan w:val="3"/>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16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20" w:type="dxa"/>
            <w:vAlign w:val="bottom"/>
          </w:tcPr>
          <w:p>
            <w:pPr>
              <w:jc w:val="center"/>
              <w:ind w:right="12"/>
              <w:spacing w:after="0"/>
              <w:rPr>
                <w:sz w:val="20"/>
                <w:szCs w:val="20"/>
                <w:color w:val="auto"/>
              </w:rPr>
            </w:pPr>
            <w:r>
              <w:rPr>
                <w:rFonts w:ascii="Arial" w:cs="Arial" w:eastAsia="Arial" w:hAnsi="Arial"/>
                <w:sz w:val="14"/>
                <w:szCs w:val="14"/>
                <w:b w:val="1"/>
                <w:bCs w:val="1"/>
                <w:color w:val="auto"/>
                <w:w w:val="76"/>
              </w:rPr>
              <w:t>9</w:t>
            </w:r>
          </w:p>
        </w:tc>
        <w:tc>
          <w:tcPr>
            <w:tcW w:w="2080" w:type="dxa"/>
            <w:vAlign w:val="bottom"/>
            <w:gridSpan w:val="2"/>
          </w:tcPr>
          <w:p>
            <w:pPr>
              <w:spacing w:after="0"/>
              <w:rPr>
                <w:sz w:val="20"/>
                <w:szCs w:val="20"/>
                <w:color w:val="auto"/>
              </w:rPr>
            </w:pPr>
            <w:r>
              <w:rPr>
                <w:rFonts w:ascii="Arial" w:cs="Arial" w:eastAsia="Arial" w:hAnsi="Arial"/>
                <w:sz w:val="14"/>
                <w:szCs w:val="14"/>
                <w:i w:val="1"/>
                <w:iCs w:val="1"/>
                <w:color w:val="auto"/>
              </w:rPr>
              <w:t>GasLog Seattle</w:t>
            </w:r>
          </w:p>
        </w:tc>
        <w:tc>
          <w:tcPr>
            <w:tcW w:w="800" w:type="dxa"/>
            <w:vAlign w:val="bottom"/>
            <w:gridSpan w:val="2"/>
          </w:tcPr>
          <w:p>
            <w:pPr>
              <w:jc w:val="center"/>
              <w:ind w:left="112"/>
              <w:spacing w:after="0"/>
              <w:rPr>
                <w:sz w:val="20"/>
                <w:szCs w:val="20"/>
                <w:color w:val="auto"/>
              </w:rPr>
            </w:pPr>
            <w:r>
              <w:rPr>
                <w:rFonts w:ascii="Arial" w:cs="Arial" w:eastAsia="Arial" w:hAnsi="Arial"/>
                <w:sz w:val="14"/>
                <w:szCs w:val="14"/>
                <w:color w:val="auto"/>
                <w:w w:val="83"/>
              </w:rPr>
              <w:t>2013</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155,000</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2"/>
              </w:rPr>
              <w:t>TFDE</w:t>
            </w:r>
          </w:p>
        </w:tc>
        <w:tc>
          <w:tcPr>
            <w:tcW w:w="1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6"/>
              </w:rPr>
              <w:t>December 2020</w:t>
            </w:r>
          </w:p>
        </w:tc>
        <w:tc>
          <w:tcPr>
            <w:tcW w:w="1160" w:type="dxa"/>
            <w:vAlign w:val="bottom"/>
            <w:gridSpan w:val="2"/>
          </w:tcPr>
          <w:p>
            <w:pPr>
              <w:jc w:val="center"/>
              <w:ind w:left="116"/>
              <w:spacing w:after="0" w:line="176" w:lineRule="exact"/>
              <w:rPr>
                <w:sz w:val="20"/>
                <w:szCs w:val="20"/>
                <w:color w:val="auto"/>
              </w:rPr>
            </w:pPr>
            <w:r>
              <w:rPr>
                <w:rFonts w:ascii="Arial" w:cs="Arial" w:eastAsia="Arial" w:hAnsi="Arial"/>
                <w:sz w:val="13"/>
                <w:szCs w:val="13"/>
                <w:color w:val="auto"/>
                <w:w w:val="90"/>
              </w:rPr>
              <w:t>2025 - 2030</w:t>
            </w:r>
            <w:r>
              <w:rPr>
                <w:rFonts w:ascii="Arial" w:cs="Arial" w:eastAsia="Arial" w:hAnsi="Arial"/>
                <w:sz w:val="20"/>
                <w:szCs w:val="20"/>
                <w:color w:val="auto"/>
                <w:w w:val="90"/>
                <w:vertAlign w:val="superscript"/>
              </w:rPr>
              <w:t>(9)</w:t>
            </w:r>
          </w:p>
        </w:tc>
        <w:tc>
          <w:tcPr>
            <w:tcW w:w="0" w:type="dxa"/>
            <w:vAlign w:val="bottom"/>
          </w:tcPr>
          <w:p>
            <w:pPr>
              <w:spacing w:after="0"/>
              <w:rPr>
                <w:sz w:val="1"/>
                <w:szCs w:val="1"/>
                <w:color w:val="auto"/>
              </w:rPr>
            </w:pPr>
          </w:p>
        </w:tc>
      </w:tr>
      <w:tr>
        <w:trPr>
          <w:trHeight w:val="176"/>
        </w:trPr>
        <w:tc>
          <w:tcPr>
            <w:tcW w:w="420" w:type="dxa"/>
            <w:vAlign w:val="bottom"/>
            <w:shd w:val="clear" w:color="auto" w:fill="CCEEFF"/>
          </w:tcPr>
          <w:p>
            <w:pPr>
              <w:jc w:val="center"/>
              <w:ind w:right="12"/>
              <w:spacing w:after="0"/>
              <w:rPr>
                <w:sz w:val="20"/>
                <w:szCs w:val="20"/>
                <w:color w:val="auto"/>
              </w:rPr>
            </w:pPr>
            <w:r>
              <w:rPr>
                <w:rFonts w:ascii="Arial" w:cs="Arial" w:eastAsia="Arial" w:hAnsi="Arial"/>
                <w:sz w:val="14"/>
                <w:szCs w:val="14"/>
                <w:b w:val="1"/>
                <w:bCs w:val="1"/>
                <w:color w:val="auto"/>
                <w:w w:val="89"/>
              </w:rPr>
              <w:t>10</w:t>
            </w: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Solaris</w:t>
            </w:r>
          </w:p>
        </w:tc>
        <w:tc>
          <w:tcPr>
            <w:tcW w:w="800" w:type="dxa"/>
            <w:vAlign w:val="bottom"/>
            <w:gridSpan w:val="2"/>
            <w:shd w:val="clear" w:color="auto" w:fill="CCEEFF"/>
          </w:tcPr>
          <w:p>
            <w:pPr>
              <w:jc w:val="center"/>
              <w:ind w:left="112"/>
              <w:spacing w:after="0"/>
              <w:rPr>
                <w:sz w:val="20"/>
                <w:szCs w:val="20"/>
                <w:color w:val="auto"/>
              </w:rPr>
            </w:pPr>
            <w:r>
              <w:rPr>
                <w:rFonts w:ascii="Arial" w:cs="Arial" w:eastAsia="Arial" w:hAnsi="Arial"/>
                <w:sz w:val="14"/>
                <w:szCs w:val="14"/>
                <w:color w:val="auto"/>
                <w:w w:val="83"/>
              </w:rPr>
              <w:t>2014</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155,000</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TFDE</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2"/>
              </w:rPr>
              <w:t>June 2021</w:t>
            </w:r>
          </w:p>
        </w:tc>
        <w:tc>
          <w:tcPr>
            <w:tcW w:w="1160" w:type="dxa"/>
            <w:vAlign w:val="bottom"/>
            <w:gridSpan w:val="2"/>
            <w:shd w:val="clear" w:color="auto" w:fill="CCEEFF"/>
          </w:tcPr>
          <w:p>
            <w:pPr>
              <w:jc w:val="center"/>
              <w:ind w:left="116"/>
              <w:spacing w:after="0" w:line="176" w:lineRule="exact"/>
              <w:rPr>
                <w:sz w:val="20"/>
                <w:szCs w:val="20"/>
                <w:color w:val="auto"/>
              </w:rPr>
            </w:pPr>
            <w:r>
              <w:rPr>
                <w:rFonts w:ascii="Arial" w:cs="Arial" w:eastAsia="Arial" w:hAnsi="Arial"/>
                <w:sz w:val="13"/>
                <w:szCs w:val="13"/>
                <w:color w:val="auto"/>
                <w:w w:val="90"/>
              </w:rPr>
              <w:t>2026 - 2031</w:t>
            </w:r>
            <w:r>
              <w:rPr>
                <w:rFonts w:ascii="Arial" w:cs="Arial" w:eastAsia="Arial" w:hAnsi="Arial"/>
                <w:sz w:val="20"/>
                <w:szCs w:val="20"/>
                <w:color w:val="auto"/>
                <w:w w:val="90"/>
                <w:vertAlign w:val="superscript"/>
              </w:rPr>
              <w:t>(9)</w:t>
            </w:r>
          </w:p>
        </w:tc>
        <w:tc>
          <w:tcPr>
            <w:tcW w:w="0" w:type="dxa"/>
            <w:vAlign w:val="bottom"/>
          </w:tcPr>
          <w:p>
            <w:pPr>
              <w:spacing w:after="0"/>
              <w:rPr>
                <w:sz w:val="1"/>
                <w:szCs w:val="1"/>
                <w:color w:val="auto"/>
              </w:rPr>
            </w:pPr>
          </w:p>
        </w:tc>
      </w:tr>
      <w:tr>
        <w:trPr>
          <w:trHeight w:val="176"/>
        </w:trPr>
        <w:tc>
          <w:tcPr>
            <w:tcW w:w="4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11</w:t>
            </w:r>
          </w:p>
        </w:tc>
        <w:tc>
          <w:tcPr>
            <w:tcW w:w="2080" w:type="dxa"/>
            <w:vAlign w:val="bottom"/>
            <w:gridSpan w:val="2"/>
          </w:tcPr>
          <w:p>
            <w:pPr>
              <w:spacing w:after="0"/>
              <w:rPr>
                <w:sz w:val="20"/>
                <w:szCs w:val="20"/>
                <w:color w:val="auto"/>
              </w:rPr>
            </w:pPr>
            <w:r>
              <w:rPr>
                <w:rFonts w:ascii="Arial" w:cs="Arial" w:eastAsia="Arial" w:hAnsi="Arial"/>
                <w:sz w:val="14"/>
                <w:szCs w:val="14"/>
                <w:i w:val="1"/>
                <w:iCs w:val="1"/>
                <w:color w:val="auto"/>
              </w:rPr>
              <w:t>GasLog Greece</w:t>
            </w:r>
          </w:p>
        </w:tc>
        <w:tc>
          <w:tcPr>
            <w:tcW w:w="800" w:type="dxa"/>
            <w:vAlign w:val="bottom"/>
            <w:gridSpan w:val="2"/>
          </w:tcPr>
          <w:p>
            <w:pPr>
              <w:jc w:val="center"/>
              <w:ind w:left="112"/>
              <w:spacing w:after="0"/>
              <w:rPr>
                <w:sz w:val="20"/>
                <w:szCs w:val="20"/>
                <w:color w:val="auto"/>
              </w:rPr>
            </w:pPr>
            <w:r>
              <w:rPr>
                <w:rFonts w:ascii="Arial" w:cs="Arial" w:eastAsia="Arial" w:hAnsi="Arial"/>
                <w:sz w:val="14"/>
                <w:szCs w:val="14"/>
                <w:color w:val="auto"/>
                <w:w w:val="83"/>
              </w:rPr>
              <w:t>2016</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174,000</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2"/>
              </w:rPr>
              <w:t>TFDE</w:t>
            </w:r>
          </w:p>
        </w:tc>
        <w:tc>
          <w:tcPr>
            <w:tcW w:w="1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March 2026</w:t>
            </w:r>
          </w:p>
        </w:tc>
        <w:tc>
          <w:tcPr>
            <w:tcW w:w="1160" w:type="dxa"/>
            <w:vAlign w:val="bottom"/>
            <w:gridSpan w:val="2"/>
          </w:tcPr>
          <w:p>
            <w:pPr>
              <w:jc w:val="center"/>
              <w:ind w:left="116"/>
              <w:spacing w:after="0" w:line="176" w:lineRule="exact"/>
              <w:rPr>
                <w:sz w:val="20"/>
                <w:szCs w:val="20"/>
                <w:color w:val="auto"/>
              </w:rPr>
            </w:pPr>
            <w:r>
              <w:rPr>
                <w:rFonts w:ascii="Arial" w:cs="Arial" w:eastAsia="Arial" w:hAnsi="Arial"/>
                <w:sz w:val="13"/>
                <w:szCs w:val="13"/>
                <w:color w:val="auto"/>
                <w:w w:val="87"/>
              </w:rPr>
              <w:t>2031</w:t>
            </w:r>
            <w:r>
              <w:rPr>
                <w:rFonts w:ascii="Arial" w:cs="Arial" w:eastAsia="Arial" w:hAnsi="Arial"/>
                <w:sz w:val="20"/>
                <w:szCs w:val="20"/>
                <w:color w:val="auto"/>
                <w:w w:val="87"/>
                <w:vertAlign w:val="superscript"/>
              </w:rPr>
              <w:t>(10)</w:t>
            </w:r>
          </w:p>
        </w:tc>
        <w:tc>
          <w:tcPr>
            <w:tcW w:w="0" w:type="dxa"/>
            <w:vAlign w:val="bottom"/>
          </w:tcPr>
          <w:p>
            <w:pPr>
              <w:spacing w:after="0"/>
              <w:rPr>
                <w:sz w:val="1"/>
                <w:szCs w:val="1"/>
                <w:color w:val="auto"/>
              </w:rPr>
            </w:pPr>
          </w:p>
        </w:tc>
      </w:tr>
      <w:tr>
        <w:trPr>
          <w:trHeight w:val="176"/>
        </w:trPr>
        <w:tc>
          <w:tcPr>
            <w:tcW w:w="420" w:type="dxa"/>
            <w:vAlign w:val="bottom"/>
            <w:shd w:val="clear" w:color="auto" w:fill="CCEEFF"/>
          </w:tcPr>
          <w:p>
            <w:pPr>
              <w:jc w:val="center"/>
              <w:ind w:right="12"/>
              <w:spacing w:after="0"/>
              <w:rPr>
                <w:sz w:val="20"/>
                <w:szCs w:val="20"/>
                <w:color w:val="auto"/>
              </w:rPr>
            </w:pPr>
            <w:r>
              <w:rPr>
                <w:rFonts w:ascii="Arial" w:cs="Arial" w:eastAsia="Arial" w:hAnsi="Arial"/>
                <w:sz w:val="14"/>
                <w:szCs w:val="14"/>
                <w:b w:val="1"/>
                <w:bCs w:val="1"/>
                <w:color w:val="auto"/>
                <w:w w:val="89"/>
              </w:rPr>
              <w:t>12</w:t>
            </w: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GasLog Geneva</w:t>
            </w:r>
          </w:p>
        </w:tc>
        <w:tc>
          <w:tcPr>
            <w:tcW w:w="800" w:type="dxa"/>
            <w:vAlign w:val="bottom"/>
            <w:gridSpan w:val="2"/>
            <w:shd w:val="clear" w:color="auto" w:fill="CCEEFF"/>
          </w:tcPr>
          <w:p>
            <w:pPr>
              <w:jc w:val="center"/>
              <w:ind w:left="112"/>
              <w:spacing w:after="0"/>
              <w:rPr>
                <w:sz w:val="20"/>
                <w:szCs w:val="20"/>
                <w:color w:val="auto"/>
              </w:rPr>
            </w:pPr>
            <w:r>
              <w:rPr>
                <w:rFonts w:ascii="Arial" w:cs="Arial" w:eastAsia="Arial" w:hAnsi="Arial"/>
                <w:sz w:val="14"/>
                <w:szCs w:val="14"/>
                <w:color w:val="auto"/>
                <w:w w:val="83"/>
              </w:rPr>
              <w:t>2016</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174,000</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TFDE</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September 2023</w:t>
            </w:r>
          </w:p>
        </w:tc>
        <w:tc>
          <w:tcPr>
            <w:tcW w:w="1160" w:type="dxa"/>
            <w:vAlign w:val="bottom"/>
            <w:gridSpan w:val="2"/>
            <w:shd w:val="clear" w:color="auto" w:fill="CCEEFF"/>
          </w:tcPr>
          <w:p>
            <w:pPr>
              <w:jc w:val="center"/>
              <w:ind w:left="96"/>
              <w:spacing w:after="0" w:line="176" w:lineRule="exact"/>
              <w:rPr>
                <w:sz w:val="20"/>
                <w:szCs w:val="20"/>
                <w:color w:val="auto"/>
              </w:rPr>
            </w:pPr>
            <w:r>
              <w:rPr>
                <w:rFonts w:ascii="Arial" w:cs="Arial" w:eastAsia="Arial" w:hAnsi="Arial"/>
                <w:sz w:val="13"/>
                <w:szCs w:val="13"/>
                <w:color w:val="auto"/>
                <w:w w:val="90"/>
              </w:rPr>
              <w:t>2028 - 2031</w:t>
            </w:r>
            <w:r>
              <w:rPr>
                <w:rFonts w:ascii="Arial" w:cs="Arial" w:eastAsia="Arial" w:hAnsi="Arial"/>
                <w:sz w:val="20"/>
                <w:szCs w:val="20"/>
                <w:color w:val="auto"/>
                <w:w w:val="90"/>
                <w:vertAlign w:val="superscript"/>
              </w:rPr>
              <w:t>(11)</w:t>
            </w:r>
          </w:p>
        </w:tc>
        <w:tc>
          <w:tcPr>
            <w:tcW w:w="0" w:type="dxa"/>
            <w:vAlign w:val="bottom"/>
          </w:tcPr>
          <w:p>
            <w:pPr>
              <w:spacing w:after="0"/>
              <w:rPr>
                <w:sz w:val="1"/>
                <w:szCs w:val="1"/>
                <w:color w:val="auto"/>
              </w:rPr>
            </w:pPr>
          </w:p>
        </w:tc>
      </w:tr>
      <w:tr>
        <w:trPr>
          <w:trHeight w:val="284"/>
        </w:trPr>
        <w:tc>
          <w:tcPr>
            <w:tcW w:w="4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13</w:t>
            </w:r>
          </w:p>
        </w:tc>
        <w:tc>
          <w:tcPr>
            <w:tcW w:w="2080" w:type="dxa"/>
            <w:vAlign w:val="bottom"/>
            <w:gridSpan w:val="2"/>
          </w:tcPr>
          <w:p>
            <w:pPr>
              <w:spacing w:after="0"/>
              <w:rPr>
                <w:sz w:val="20"/>
                <w:szCs w:val="20"/>
                <w:color w:val="auto"/>
              </w:rPr>
            </w:pPr>
            <w:r>
              <w:rPr>
                <w:rFonts w:ascii="Arial" w:cs="Arial" w:eastAsia="Arial" w:hAnsi="Arial"/>
                <w:sz w:val="14"/>
                <w:szCs w:val="14"/>
                <w:i w:val="1"/>
                <w:iCs w:val="1"/>
                <w:color w:val="auto"/>
              </w:rPr>
              <w:t>GasLog Gibraltar</w:t>
            </w:r>
            <w:r>
              <w:rPr>
                <w:rFonts w:ascii="Arial" w:cs="Arial" w:eastAsia="Arial" w:hAnsi="Arial"/>
                <w:sz w:val="22"/>
                <w:szCs w:val="22"/>
                <w:color w:val="auto"/>
                <w:vertAlign w:val="superscript"/>
              </w:rPr>
              <w:t>(12)</w:t>
            </w:r>
          </w:p>
        </w:tc>
        <w:tc>
          <w:tcPr>
            <w:tcW w:w="800" w:type="dxa"/>
            <w:vAlign w:val="bottom"/>
            <w:gridSpan w:val="2"/>
          </w:tcPr>
          <w:p>
            <w:pPr>
              <w:jc w:val="center"/>
              <w:ind w:left="112"/>
              <w:spacing w:after="0"/>
              <w:rPr>
                <w:sz w:val="20"/>
                <w:szCs w:val="20"/>
                <w:color w:val="auto"/>
              </w:rPr>
            </w:pPr>
            <w:r>
              <w:rPr>
                <w:rFonts w:ascii="Arial" w:cs="Arial" w:eastAsia="Arial" w:hAnsi="Arial"/>
                <w:sz w:val="14"/>
                <w:szCs w:val="14"/>
                <w:color w:val="auto"/>
                <w:w w:val="83"/>
              </w:rPr>
              <w:t>2016</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174,000</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2"/>
              </w:rPr>
              <w:t>TFDE</w:t>
            </w:r>
          </w:p>
        </w:tc>
        <w:tc>
          <w:tcPr>
            <w:tcW w:w="1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7"/>
              </w:rPr>
              <w:t>October 2023</w:t>
            </w:r>
          </w:p>
        </w:tc>
        <w:tc>
          <w:tcPr>
            <w:tcW w:w="1160" w:type="dxa"/>
            <w:vAlign w:val="bottom"/>
            <w:gridSpan w:val="2"/>
          </w:tcPr>
          <w:p>
            <w:pPr>
              <w:jc w:val="center"/>
              <w:ind w:left="96"/>
              <w:spacing w:after="0"/>
              <w:rPr>
                <w:sz w:val="20"/>
                <w:szCs w:val="20"/>
                <w:color w:val="auto"/>
              </w:rPr>
            </w:pPr>
            <w:r>
              <w:rPr>
                <w:rFonts w:ascii="Arial" w:cs="Arial" w:eastAsia="Arial" w:hAnsi="Arial"/>
                <w:sz w:val="14"/>
                <w:szCs w:val="14"/>
                <w:color w:val="auto"/>
                <w:w w:val="83"/>
              </w:rPr>
              <w:t>2028 - 2031</w:t>
            </w:r>
            <w:r>
              <w:rPr>
                <w:rFonts w:ascii="Arial" w:cs="Arial" w:eastAsia="Arial" w:hAnsi="Arial"/>
                <w:sz w:val="22"/>
                <w:szCs w:val="22"/>
                <w:color w:val="auto"/>
                <w:w w:val="83"/>
                <w:vertAlign w:val="superscript"/>
              </w:rPr>
              <w:t>(11)</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80" w:right="240" w:hanging="544"/>
        <w:spacing w:after="0" w:line="239" w:lineRule="auto"/>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 xml:space="preserve">GasLog Partners has secured a one-year charter for either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or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(as nominated by the Partnership) commencing in either November or December 2019 at the Partnership's option.</w:t>
      </w:r>
    </w:p>
    <w:p>
      <w:pPr>
        <w:spacing w:after="0" w:line="111" w:lineRule="exact"/>
        <w:rPr>
          <w:rFonts w:ascii="Arial" w:cs="Arial" w:eastAsia="Arial" w:hAnsi="Arial"/>
          <w:sz w:val="11"/>
          <w:szCs w:val="11"/>
          <w:color w:val="auto"/>
        </w:rPr>
      </w:pPr>
    </w:p>
    <w:p>
      <w:pPr>
        <w:ind w:left="1880" w:hanging="544"/>
        <w:spacing w:after="0" w:line="239" w:lineRule="auto"/>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Charterer may extend the term of this time charter for a period ranging from one to four years,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880" w:right="100" w:hanging="544"/>
        <w:spacing w:after="0" w:line="318" w:lineRule="auto"/>
        <w:tabs>
          <w:tab w:leader="none" w:pos="1880" w:val="left"/>
        </w:tabs>
        <w:numPr>
          <w:ilvl w:val="0"/>
          <w:numId w:val="3"/>
        </w:numPr>
        <w:rPr>
          <w:rFonts w:ascii="Arial" w:cs="Arial" w:eastAsia="Arial" w:hAnsi="Arial"/>
          <w:sz w:val="10"/>
          <w:szCs w:val="10"/>
          <w:color w:val="auto"/>
        </w:rPr>
      </w:pPr>
      <w:r>
        <w:rPr>
          <w:rFonts w:ascii="Arial" w:cs="Arial" w:eastAsia="Arial" w:hAnsi="Arial"/>
          <w:sz w:val="12"/>
          <w:szCs w:val="12"/>
          <w:color w:val="auto"/>
        </w:rPr>
        <w:t>Charterer may extend the term of the related charters for one extension period of three or five years, and each charter requires that the charterer gives us advance notice of its exercise of any extension option. The period shown reflects the expiration of the minimum optional period and the maximum optional period.</w:t>
      </w:r>
    </w:p>
    <w:p>
      <w:pPr>
        <w:spacing w:after="0" w:line="66" w:lineRule="exact"/>
        <w:rPr>
          <w:rFonts w:ascii="Arial" w:cs="Arial" w:eastAsia="Arial" w:hAnsi="Arial"/>
          <w:sz w:val="10"/>
          <w:szCs w:val="10"/>
          <w:color w:val="auto"/>
        </w:rPr>
      </w:pPr>
    </w:p>
    <w:p>
      <w:pPr>
        <w:ind w:left="1880" w:hanging="544"/>
        <w:spacing w:after="0"/>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Vessel currently operating in the spot market under the Cool Pool.</w:t>
      </w:r>
    </w:p>
    <w:p>
      <w:pPr>
        <w:spacing w:after="0" w:line="122" w:lineRule="exact"/>
        <w:rPr>
          <w:rFonts w:ascii="Arial" w:cs="Arial" w:eastAsia="Arial" w:hAnsi="Arial"/>
          <w:sz w:val="11"/>
          <w:szCs w:val="11"/>
          <w:color w:val="auto"/>
        </w:rPr>
      </w:pPr>
    </w:p>
    <w:p>
      <w:pPr>
        <w:ind w:left="1880" w:hanging="544"/>
        <w:spacing w:after="0"/>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The vessel is currently on a short-term charter to a major LNG producer and thereafter will trade under a long-term charter with another customer.</w:t>
      </w:r>
    </w:p>
    <w:p>
      <w:pPr>
        <w:spacing w:after="0" w:line="122" w:lineRule="exact"/>
        <w:rPr>
          <w:rFonts w:ascii="Arial" w:cs="Arial" w:eastAsia="Arial" w:hAnsi="Arial"/>
          <w:sz w:val="11"/>
          <w:szCs w:val="11"/>
          <w:color w:val="auto"/>
        </w:rPr>
      </w:pPr>
    </w:p>
    <w:p>
      <w:pPr>
        <w:ind w:left="1880" w:right="300" w:hanging="544"/>
        <w:spacing w:after="0" w:line="239" w:lineRule="auto"/>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880" w:right="200" w:hanging="544"/>
        <w:spacing w:after="0" w:line="239" w:lineRule="auto"/>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 xml:space="preserve">GasLog Partners recently secured a multi-year charter for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with a wholly owned subsidiary of Cheniere Energy, Inc. scheduled to commence in 2018. The charterer has options to extend the charter for up to two consecutive periods at escalating rates.</w:t>
      </w:r>
    </w:p>
    <w:p>
      <w:pPr>
        <w:spacing w:after="0" w:line="111" w:lineRule="exact"/>
        <w:rPr>
          <w:rFonts w:ascii="Arial" w:cs="Arial" w:eastAsia="Arial" w:hAnsi="Arial"/>
          <w:sz w:val="11"/>
          <w:szCs w:val="11"/>
          <w:color w:val="auto"/>
        </w:rPr>
      </w:pPr>
    </w:p>
    <w:p>
      <w:pPr>
        <w:ind w:left="1880" w:right="260" w:hanging="544"/>
        <w:spacing w:after="0" w:line="239" w:lineRule="auto"/>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Charterer may extend the term of these time charters for a period ranging from six to 12 months,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880" w:right="240" w:hanging="544"/>
        <w:spacing w:after="0" w:line="318" w:lineRule="auto"/>
        <w:tabs>
          <w:tab w:leader="none" w:pos="1880" w:val="left"/>
        </w:tabs>
        <w:numPr>
          <w:ilvl w:val="0"/>
          <w:numId w:val="3"/>
        </w:numPr>
        <w:rPr>
          <w:rFonts w:ascii="Arial" w:cs="Arial" w:eastAsia="Arial" w:hAnsi="Arial"/>
          <w:sz w:val="10"/>
          <w:szCs w:val="10"/>
          <w:color w:val="auto"/>
        </w:rPr>
      </w:pPr>
      <w:r>
        <w:rPr>
          <w:rFonts w:ascii="Arial" w:cs="Arial" w:eastAsia="Arial" w:hAnsi="Arial"/>
          <w:sz w:val="12"/>
          <w:szCs w:val="12"/>
          <w:color w:val="auto"/>
        </w:rPr>
        <w:t>Charterer may extend the term of these time charters for a period ranging from five to ten years, and the charters require that the charterer gives us advance notice of its exercise of any extension option. The period shown reflects the expiration of the minimum optional period and the maximum optional period.</w:t>
      </w:r>
    </w:p>
    <w:p>
      <w:pPr>
        <w:spacing w:after="0" w:line="66" w:lineRule="exact"/>
        <w:rPr>
          <w:rFonts w:ascii="Arial" w:cs="Arial" w:eastAsia="Arial" w:hAnsi="Arial"/>
          <w:sz w:val="10"/>
          <w:szCs w:val="10"/>
          <w:color w:val="auto"/>
        </w:rPr>
      </w:pPr>
    </w:p>
    <w:p>
      <w:pPr>
        <w:ind w:left="1880" w:hanging="544"/>
        <w:spacing w:after="0"/>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Charterer may extend the term of the time charter for a period of five years, provided that the charterer gives us advance notice of declaration.</w:t>
      </w:r>
    </w:p>
    <w:p>
      <w:pPr>
        <w:spacing w:after="0" w:line="122" w:lineRule="exact"/>
        <w:rPr>
          <w:rFonts w:ascii="Arial" w:cs="Arial" w:eastAsia="Arial" w:hAnsi="Arial"/>
          <w:sz w:val="11"/>
          <w:szCs w:val="11"/>
          <w:color w:val="auto"/>
        </w:rPr>
      </w:pPr>
    </w:p>
    <w:p>
      <w:pPr>
        <w:ind w:left="1880" w:right="260" w:hanging="544"/>
        <w:spacing w:after="0" w:line="239" w:lineRule="auto"/>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880" w:hanging="544"/>
        <w:spacing w:after="0"/>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 xml:space="preserve">On April 26, 2018, GasLog Partners acquired from GasLog 100% of the shares in the entity that owns and charters the </w:t>
      </w:r>
      <w:r>
        <w:rPr>
          <w:rFonts w:ascii="Arial" w:cs="Arial" w:eastAsia="Arial" w:hAnsi="Arial"/>
          <w:sz w:val="14"/>
          <w:szCs w:val="14"/>
          <w:i w:val="1"/>
          <w:iCs w:val="1"/>
          <w:color w:val="auto"/>
        </w:rPr>
        <w:t>GasLog Gibraltar</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157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are due to come off charter in August 2018 and September 2018, respectively, each plus or minus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30 days. In addition,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are due to come off charter in October 2019,</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December 2019 and April 2020, respectively, each plus or minus 30 days. GasLog Partners has secured an approximately three-and-a-half-year charter for</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commencing in either August or September 2018 at the Partnership's option and a one-year charter for either the </w:t>
      </w:r>
      <w:r>
        <w:rPr>
          <w:rFonts w:ascii="Arial" w:cs="Arial" w:eastAsia="Arial" w:hAnsi="Arial"/>
          <w:sz w:val="16"/>
          <w:szCs w:val="16"/>
          <w:i w:val="1"/>
          <w:iCs w:val="1"/>
          <w:color w:val="auto"/>
        </w:rPr>
        <w:t>Methane Jane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Elizabeth </w:t>
      </w:r>
      <w:r>
        <w:rPr>
          <w:rFonts w:ascii="Arial" w:cs="Arial" w:eastAsia="Arial" w:hAnsi="Arial"/>
          <w:sz w:val="16"/>
          <w:szCs w:val="16"/>
          <w:color w:val="auto"/>
        </w:rPr>
        <w:t>or the</w:t>
      </w:r>
      <w:r>
        <w:rPr>
          <w:rFonts w:ascii="Arial" w:cs="Arial" w:eastAsia="Arial" w:hAnsi="Arial"/>
          <w:sz w:val="16"/>
          <w:szCs w:val="16"/>
          <w:i w:val="1"/>
          <w:iCs w:val="1"/>
          <w:color w:val="auto"/>
        </w:rPr>
        <w:t xml:space="preserve"> Methane Alison Victoria </w:t>
      </w:r>
      <w:r>
        <w:rPr>
          <w:rFonts w:ascii="Arial" w:cs="Arial" w:eastAsia="Arial" w:hAnsi="Arial"/>
          <w:sz w:val="16"/>
          <w:szCs w:val="16"/>
          <w:color w:val="auto"/>
        </w:rPr>
        <w:t>(as nominated by the Partnership), commencing in either November or December 2019 at the Partnership's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option. In addition, GasLog Partners has secured an 18-month charter for the </w:t>
      </w:r>
      <w:r>
        <w:rPr>
          <w:rFonts w:ascii="Arial" w:cs="Arial" w:eastAsia="Arial" w:hAnsi="Arial"/>
          <w:sz w:val="16"/>
          <w:szCs w:val="16"/>
          <w:i w:val="1"/>
          <w:iCs w:val="1"/>
          <w:color w:val="auto"/>
        </w:rPr>
        <w:t>GasLog Sydney</w:t>
      </w:r>
      <w:r>
        <w:rPr>
          <w:rFonts w:ascii="Arial" w:cs="Arial" w:eastAsia="Arial" w:hAnsi="Arial"/>
          <w:sz w:val="16"/>
          <w:szCs w:val="16"/>
          <w:color w:val="auto"/>
        </w:rPr>
        <w:t>, commencing between September and December 2018.</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GasLog Partners continues to pursue opportunities for new multi-year charters with third parties and, on an interim basis, may consider trading the vessels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spot market, pursuing the most advantageous redeployment depending on evolving market conditions.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Additional Vessels</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Vessel Interests Purchase Options</w:t>
      </w:r>
    </w:p>
    <w:p>
      <w:pPr>
        <w:spacing w:after="0" w:line="225" w:lineRule="exact"/>
        <w:rPr>
          <w:sz w:val="20"/>
          <w:szCs w:val="20"/>
          <w:color w:val="auto"/>
        </w:rPr>
      </w:pPr>
    </w:p>
    <w:p>
      <w:pPr>
        <w:jc w:val="both"/>
        <w:ind w:left="240" w:firstLine="348"/>
        <w:spacing w:after="0" w:line="302" w:lineRule="auto"/>
        <w:rPr>
          <w:sz w:val="20"/>
          <w:szCs w:val="20"/>
          <w:color w:val="auto"/>
        </w:rPr>
      </w:pPr>
      <w:r>
        <w:rPr>
          <w:rFonts w:ascii="Arial" w:cs="Arial" w:eastAsia="Arial" w:hAnsi="Arial"/>
          <w:sz w:val="15"/>
          <w:szCs w:val="15"/>
          <w:color w:val="auto"/>
        </w:rPr>
        <w:t xml:space="preserve">We currently have the option to purchase from GasLog: (i) the </w:t>
      </w:r>
      <w:r>
        <w:rPr>
          <w:rFonts w:ascii="Arial" w:cs="Arial" w:eastAsia="Arial" w:hAnsi="Arial"/>
          <w:sz w:val="15"/>
          <w:szCs w:val="15"/>
          <w:i w:val="1"/>
          <w:iCs w:val="1"/>
          <w:color w:val="auto"/>
        </w:rPr>
        <w:t>GasLog Glasgow</w:t>
      </w:r>
      <w:r>
        <w:rPr>
          <w:rFonts w:ascii="Arial" w:cs="Arial" w:eastAsia="Arial" w:hAnsi="Arial"/>
          <w:sz w:val="15"/>
          <w:szCs w:val="15"/>
          <w:color w:val="auto"/>
        </w:rPr>
        <w:t xml:space="preserve"> within 36 months after GasLog notifies our board of directors of their acceptance by their charterers and (ii) the </w:t>
      </w:r>
      <w:r>
        <w:rPr>
          <w:rFonts w:ascii="Arial" w:cs="Arial" w:eastAsia="Arial" w:hAnsi="Arial"/>
          <w:sz w:val="15"/>
          <w:szCs w:val="15"/>
          <w:i w:val="1"/>
          <w:iCs w:val="1"/>
          <w:color w:val="auto"/>
        </w:rPr>
        <w:t>GasLog Houston</w:t>
      </w:r>
      <w:r>
        <w:rPr>
          <w:rFonts w:ascii="Arial" w:cs="Arial" w:eastAsia="Arial" w:hAnsi="Arial"/>
          <w:sz w:val="15"/>
          <w:szCs w:val="15"/>
          <w:color w:val="auto"/>
        </w:rPr>
        <w:t xml:space="preserve"> within 30 days after GasLog notifies us that the vessel has commenced its charter with Shell. In each case, our option to purchase is at fair market value as determined pursuant to the omnibus agreement. Our options to acquire the </w:t>
      </w:r>
      <w:r>
        <w:rPr>
          <w:rFonts w:ascii="Arial" w:cs="Arial" w:eastAsia="Arial" w:hAnsi="Arial"/>
          <w:sz w:val="15"/>
          <w:szCs w:val="15"/>
          <w:i w:val="1"/>
          <w:iCs w:val="1"/>
          <w:color w:val="auto"/>
        </w:rPr>
        <w:t>Methane Becki Anne</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Julia Louise</w:t>
      </w:r>
      <w:r>
        <w:rPr>
          <w:rFonts w:ascii="Arial" w:cs="Arial" w:eastAsia="Arial" w:hAnsi="Arial"/>
          <w:sz w:val="15"/>
          <w:szCs w:val="15"/>
          <w:color w:val="auto"/>
        </w:rPr>
        <w:t xml:space="preserve"> expired in March 2018, while the options to acquire the </w:t>
      </w:r>
      <w:r>
        <w:rPr>
          <w:rFonts w:ascii="Arial" w:cs="Arial" w:eastAsia="Arial" w:hAnsi="Arial"/>
          <w:sz w:val="15"/>
          <w:szCs w:val="15"/>
          <w:i w:val="1"/>
          <w:iCs w:val="1"/>
          <w:color w:val="auto"/>
        </w:rPr>
        <w:t>GasLog Genoa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Hong Kong</w:t>
      </w:r>
      <w:r>
        <w:rPr>
          <w:rFonts w:ascii="Arial" w:cs="Arial" w:eastAsia="Arial" w:hAnsi="Arial"/>
          <w:sz w:val="15"/>
          <w:szCs w:val="15"/>
          <w:color w:val="auto"/>
        </w:rPr>
        <w:t xml:space="preserve"> expired in April 2018.</w:t>
      </w:r>
    </w:p>
    <w:p>
      <w:pPr>
        <w:spacing w:after="0" w:line="3" w:lineRule="exact"/>
        <w:rPr>
          <w:sz w:val="20"/>
          <w:szCs w:val="20"/>
          <w:color w:val="auto"/>
        </w:rPr>
      </w:pPr>
    </w:p>
    <w:p>
      <w:pPr>
        <w:ind w:left="240" w:right="180"/>
        <w:spacing w:after="0" w:line="261" w:lineRule="auto"/>
        <w:rPr>
          <w:sz w:val="20"/>
          <w:szCs w:val="20"/>
          <w:color w:val="auto"/>
        </w:rPr>
      </w:pPr>
      <w:r>
        <w:rPr>
          <w:rFonts w:ascii="Arial" w:cs="Arial" w:eastAsia="Arial" w:hAnsi="Arial"/>
          <w:sz w:val="18"/>
          <w:szCs w:val="18"/>
          <w:color w:val="auto"/>
        </w:rPr>
        <w:t>See "Item 7. Major Unitholders and Related Party Transactions—B. Related Party Transactions—Omnibus Agreement—Noncompetition" of our Annual Report on Form 20-F for additional information on the LNG carrier purchase options.</w:t>
      </w:r>
    </w:p>
    <w:p>
      <w:pPr>
        <w:spacing w:after="0" w:line="175"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Cargo</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Capacity</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Vessel Name</w:t>
            </w:r>
          </w:p>
        </w:tc>
        <w:tc>
          <w:tcPr>
            <w:tcW w:w="160" w:type="dxa"/>
            <w:vAlign w:val="bottom"/>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Built</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(cbm)</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(2)</w:t>
            </w: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Glasgow</w:t>
            </w:r>
          </w:p>
        </w:tc>
        <w:tc>
          <w:tcPr>
            <w:tcW w:w="5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2016</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174,000</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2026</w:t>
            </w:r>
          </w:p>
        </w:tc>
        <w:tc>
          <w:tcPr>
            <w:tcW w:w="0" w:type="dxa"/>
            <w:vAlign w:val="bottom"/>
          </w:tcPr>
          <w:p>
            <w:pPr>
              <w:spacing w:after="0"/>
              <w:rPr>
                <w:sz w:val="1"/>
                <w:szCs w:val="1"/>
                <w:color w:val="auto"/>
              </w:rPr>
            </w:pPr>
          </w:p>
        </w:tc>
      </w:tr>
      <w:tr>
        <w:trPr>
          <w:trHeight w:val="365"/>
        </w:trPr>
        <w:tc>
          <w:tcPr>
            <w:tcW w:w="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GasLog Houston</w:t>
            </w:r>
            <w:r>
              <w:rPr>
                <w:rFonts w:ascii="Arial" w:cs="Arial" w:eastAsia="Arial" w:hAnsi="Arial"/>
                <w:sz w:val="29"/>
                <w:szCs w:val="29"/>
                <w:color w:val="auto"/>
                <w:vertAlign w:val="superscript"/>
              </w:rPr>
              <w:t>(3)</w:t>
            </w:r>
          </w:p>
        </w:tc>
        <w:tc>
          <w:tcPr>
            <w:tcW w:w="2380" w:type="dxa"/>
            <w:vAlign w:val="bottom"/>
          </w:tcPr>
          <w:p>
            <w:pPr>
              <w:spacing w:after="0"/>
              <w:rPr>
                <w:sz w:val="24"/>
                <w:szCs w:val="24"/>
                <w:color w:val="auto"/>
              </w:rPr>
            </w:pPr>
          </w:p>
        </w:tc>
        <w:tc>
          <w:tcPr>
            <w:tcW w:w="56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2018</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174,000</w:t>
            </w:r>
          </w:p>
        </w:tc>
        <w:tc>
          <w:tcPr>
            <w:tcW w:w="880" w:type="dxa"/>
            <w:vAlign w:val="bottom"/>
          </w:tcPr>
          <w:p>
            <w:pPr>
              <w:jc w:val="center"/>
              <w:spacing w:after="0"/>
              <w:rPr>
                <w:sz w:val="20"/>
                <w:szCs w:val="20"/>
                <w:color w:val="auto"/>
              </w:rPr>
            </w:pPr>
            <w:r>
              <w:rPr>
                <w:rFonts w:ascii="Arial" w:cs="Arial" w:eastAsia="Arial" w:hAnsi="Arial"/>
                <w:sz w:val="18"/>
                <w:szCs w:val="18"/>
                <w:color w:val="auto"/>
                <w:w w:val="84"/>
              </w:rPr>
              <w:t>LP-2S</w:t>
            </w:r>
            <w:r>
              <w:rPr>
                <w:rFonts w:ascii="Arial" w:cs="Arial" w:eastAsia="Arial" w:hAnsi="Arial"/>
                <w:sz w:val="29"/>
                <w:szCs w:val="29"/>
                <w:color w:val="auto"/>
                <w:w w:val="84"/>
                <w:vertAlign w:val="superscript"/>
              </w:rPr>
              <w:t>(1)</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May 2028</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"LP-2S" refers to low pressure dual-fuel two-stroke engine propulsion.</w:t>
      </w:r>
    </w:p>
    <w:p>
      <w:pPr>
        <w:spacing w:after="0" w:line="122" w:lineRule="exact"/>
        <w:rPr>
          <w:rFonts w:ascii="Arial" w:cs="Arial" w:eastAsia="Arial" w:hAnsi="Arial"/>
          <w:sz w:val="11"/>
          <w:szCs w:val="11"/>
          <w:color w:val="auto"/>
        </w:rPr>
      </w:pPr>
    </w:p>
    <w:p>
      <w:pPr>
        <w:ind w:left="1880" w:hanging="544"/>
        <w:spacing w:after="0"/>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Indicates the expiration of the initial fixed term.</w:t>
      </w:r>
    </w:p>
    <w:p>
      <w:pPr>
        <w:spacing w:after="0" w:line="122" w:lineRule="exact"/>
        <w:rPr>
          <w:rFonts w:ascii="Arial" w:cs="Arial" w:eastAsia="Arial" w:hAnsi="Arial"/>
          <w:sz w:val="11"/>
          <w:szCs w:val="11"/>
          <w:color w:val="auto"/>
        </w:rPr>
      </w:pPr>
    </w:p>
    <w:p>
      <w:pPr>
        <w:ind w:left="1880" w:right="240" w:hanging="544"/>
        <w:spacing w:after="0" w:line="239" w:lineRule="auto"/>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The vessel is currently on a short-term charter until the commencement of her multi-year charter party with a subsidiary of Shell, from the beginning of 2019 until May 2028.</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Five-Year Vessel Business Opportunities</w:t>
      </w:r>
    </w:p>
    <w:p>
      <w:pPr>
        <w:spacing w:after="0" w:line="225" w:lineRule="exact"/>
        <w:rPr>
          <w:sz w:val="20"/>
          <w:szCs w:val="20"/>
          <w:color w:val="auto"/>
        </w:rPr>
      </w:pPr>
    </w:p>
    <w:p>
      <w:pPr>
        <w:ind w:left="240" w:right="80" w:firstLine="351"/>
        <w:spacing w:after="0" w:line="290"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three newbuildings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6763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67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following the notice from GasLog that each vessel has been acquired or has become a Five-Year Vessel.</w:t>
      </w:r>
    </w:p>
    <w:p>
      <w:pPr>
        <w:spacing w:after="0" w:line="22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Cargo</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Capacity</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Charter</w:t>
            </w:r>
          </w:p>
        </w:tc>
      </w:tr>
      <w:tr>
        <w:trPr>
          <w:trHeight w:val="176"/>
        </w:trPr>
        <w:tc>
          <w:tcPr>
            <w:tcW w:w="460" w:type="dxa"/>
            <w:vAlign w:val="bottom"/>
          </w:tcPr>
          <w:p>
            <w:pPr>
              <w:spacing w:after="0"/>
              <w:rPr>
                <w:sz w:val="15"/>
                <w:szCs w:val="15"/>
                <w:color w:val="auto"/>
              </w:rPr>
            </w:pPr>
          </w:p>
        </w:tc>
        <w:tc>
          <w:tcPr>
            <w:tcW w:w="3660" w:type="dxa"/>
            <w:vAlign w:val="bottom"/>
            <w:tcBorders>
              <w:bottom w:val="single" w:sz="8" w:color="auto"/>
            </w:tcBorders>
            <w:gridSpan w:val="2"/>
          </w:tcPr>
          <w:p>
            <w:pPr>
              <w:ind w:left="1480"/>
              <w:spacing w:after="0"/>
              <w:rPr>
                <w:sz w:val="20"/>
                <w:szCs w:val="20"/>
                <w:color w:val="auto"/>
              </w:rPr>
            </w:pPr>
            <w:r>
              <w:rPr>
                <w:rFonts w:ascii="Arial" w:cs="Arial" w:eastAsia="Arial" w:hAnsi="Arial"/>
                <w:sz w:val="14"/>
                <w:szCs w:val="14"/>
                <w:b w:val="1"/>
                <w:bCs w:val="1"/>
                <w:color w:val="auto"/>
              </w:rPr>
              <w:t>Vessel Name</w:t>
            </w:r>
          </w:p>
        </w:tc>
        <w:tc>
          <w:tcPr>
            <w:tcW w:w="16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2"/>
              </w:rPr>
              <w:t>Built</w:t>
            </w:r>
            <w:r>
              <w:rPr>
                <w:rFonts w:ascii="Arial" w:cs="Arial" w:eastAsia="Arial" w:hAnsi="Arial"/>
                <w:sz w:val="20"/>
                <w:szCs w:val="20"/>
                <w:b w:val="1"/>
                <w:bCs w:val="1"/>
                <w:color w:val="auto"/>
                <w:w w:val="92"/>
                <w:vertAlign w:val="superscript"/>
              </w:rPr>
              <w:t>(1)</w:t>
            </w:r>
          </w:p>
        </w:tc>
        <w:tc>
          <w:tcPr>
            <w:tcW w:w="1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Propulsion</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(3)</w:t>
            </w:r>
          </w:p>
        </w:tc>
      </w:tr>
      <w:tr>
        <w:trPr>
          <w:trHeight w:val="210"/>
        </w:trPr>
        <w:tc>
          <w:tcPr>
            <w:tcW w:w="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2131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Q1 2019</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LP-2S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Shell</w:t>
            </w:r>
          </w:p>
        </w:tc>
        <w:tc>
          <w:tcPr>
            <w:tcW w:w="10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2029</w:t>
            </w:r>
          </w:p>
        </w:tc>
      </w:tr>
      <w:tr>
        <w:trPr>
          <w:trHeight w:val="257"/>
        </w:trPr>
        <w:tc>
          <w:tcPr>
            <w:tcW w:w="46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Hull No. 2213</w:t>
            </w:r>
          </w:p>
        </w:tc>
        <w:tc>
          <w:tcPr>
            <w:tcW w:w="16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6"/>
              </w:rPr>
              <w:t>Q2 2020</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180,000</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160" w:type="dxa"/>
            <w:vAlign w:val="bottom"/>
          </w:tcPr>
          <w:p>
            <w:pPr>
              <w:spacing w:after="0"/>
              <w:rPr>
                <w:sz w:val="22"/>
                <w:szCs w:val="22"/>
                <w:color w:val="auto"/>
              </w:rPr>
            </w:pPr>
          </w:p>
        </w:tc>
        <w:tc>
          <w:tcPr>
            <w:tcW w:w="900" w:type="dxa"/>
            <w:vAlign w:val="bottom"/>
          </w:tcPr>
          <w:p>
            <w:pPr>
              <w:jc w:val="center"/>
              <w:spacing w:after="0" w:line="256" w:lineRule="exact"/>
              <w:rPr>
                <w:sz w:val="20"/>
                <w:szCs w:val="20"/>
                <w:color w:val="auto"/>
              </w:rPr>
            </w:pPr>
            <w:r>
              <w:rPr>
                <w:rFonts w:ascii="Arial" w:cs="Arial" w:eastAsia="Arial" w:hAnsi="Arial"/>
                <w:sz w:val="18"/>
                <w:szCs w:val="18"/>
                <w:color w:val="auto"/>
                <w:w w:val="85"/>
              </w:rPr>
              <w:t>Centrica</w:t>
            </w:r>
            <w:r>
              <w:rPr>
                <w:rFonts w:ascii="Arial" w:cs="Arial" w:eastAsia="Arial" w:hAnsi="Arial"/>
                <w:sz w:val="29"/>
                <w:szCs w:val="29"/>
                <w:color w:val="auto"/>
                <w:w w:val="85"/>
                <w:vertAlign w:val="superscript"/>
              </w:rPr>
              <w:t>(2)</w:t>
            </w:r>
          </w:p>
        </w:tc>
        <w:tc>
          <w:tcPr>
            <w:tcW w:w="102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2027</w:t>
            </w:r>
          </w:p>
        </w:tc>
      </w:tr>
      <w:tr>
        <w:trPr>
          <w:trHeight w:val="257"/>
        </w:trPr>
        <w:tc>
          <w:tcPr>
            <w:tcW w:w="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2262</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Q3 2020</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LP-2S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5"/>
              </w:rPr>
              <w:t>Centrica</w:t>
            </w:r>
            <w:r>
              <w:rPr>
                <w:rFonts w:ascii="Arial" w:cs="Arial" w:eastAsia="Arial" w:hAnsi="Arial"/>
                <w:sz w:val="29"/>
                <w:szCs w:val="29"/>
                <w:color w:val="auto"/>
                <w:w w:val="85"/>
                <w:vertAlign w:val="superscript"/>
              </w:rPr>
              <w:t>(2)</w:t>
            </w:r>
          </w:p>
        </w:tc>
        <w:tc>
          <w:tcPr>
            <w:tcW w:w="10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2027</w:t>
            </w:r>
          </w:p>
        </w:tc>
      </w:tr>
      <w:tr>
        <w:trPr>
          <w:trHeight w:val="108"/>
        </w:trPr>
        <w:tc>
          <w:tcPr>
            <w:tcW w:w="4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r>
    </w:tbl>
    <w:p>
      <w:pPr>
        <w:spacing w:after="0" w:line="192" w:lineRule="exact"/>
        <w:rPr>
          <w:sz w:val="20"/>
          <w:szCs w:val="20"/>
          <w:color w:val="auto"/>
        </w:rPr>
      </w:pPr>
    </w:p>
    <w:p>
      <w:pPr>
        <w:ind w:left="1880" w:hanging="544"/>
        <w:spacing w:after="0"/>
        <w:tabs>
          <w:tab w:leader="none" w:pos="1880" w:val="left"/>
        </w:tabs>
        <w:numPr>
          <w:ilvl w:val="0"/>
          <w:numId w:val="5"/>
        </w:numPr>
        <w:rPr>
          <w:rFonts w:ascii="Arial" w:cs="Arial" w:eastAsia="Arial" w:hAnsi="Arial"/>
          <w:sz w:val="11"/>
          <w:szCs w:val="11"/>
          <w:color w:val="auto"/>
        </w:rPr>
      </w:pPr>
      <w:r>
        <w:rPr>
          <w:rFonts w:ascii="Arial" w:cs="Arial" w:eastAsia="Arial" w:hAnsi="Arial"/>
          <w:sz w:val="14"/>
          <w:szCs w:val="14"/>
          <w:color w:val="auto"/>
        </w:rPr>
        <w:t>Expected delivery quarters are presented.</w:t>
      </w:r>
    </w:p>
    <w:p>
      <w:pPr>
        <w:spacing w:after="0" w:line="122" w:lineRule="exact"/>
        <w:rPr>
          <w:rFonts w:ascii="Arial" w:cs="Arial" w:eastAsia="Arial" w:hAnsi="Arial"/>
          <w:sz w:val="11"/>
          <w:szCs w:val="11"/>
          <w:color w:val="auto"/>
        </w:rPr>
      </w:pPr>
    </w:p>
    <w:p>
      <w:pPr>
        <w:ind w:left="1880" w:hanging="544"/>
        <w:spacing w:after="0"/>
        <w:tabs>
          <w:tab w:leader="none" w:pos="1880" w:val="left"/>
        </w:tabs>
        <w:numPr>
          <w:ilvl w:val="0"/>
          <w:numId w:val="5"/>
        </w:numPr>
        <w:rPr>
          <w:rFonts w:ascii="Arial" w:cs="Arial" w:eastAsia="Arial" w:hAnsi="Arial"/>
          <w:sz w:val="11"/>
          <w:szCs w:val="11"/>
          <w:color w:val="auto"/>
        </w:rPr>
      </w:pPr>
      <w:r>
        <w:rPr>
          <w:rFonts w:ascii="Arial" w:cs="Arial" w:eastAsia="Arial" w:hAnsi="Arial"/>
          <w:sz w:val="14"/>
          <w:szCs w:val="14"/>
          <w:color w:val="auto"/>
        </w:rPr>
        <w:t>The vessel is chartered to Pioneer Shipping Limited, a wholly owned subsidiary of Centrica.</w:t>
      </w:r>
    </w:p>
    <w:p>
      <w:pPr>
        <w:spacing w:after="0" w:line="122" w:lineRule="exact"/>
        <w:rPr>
          <w:rFonts w:ascii="Arial" w:cs="Arial" w:eastAsia="Arial" w:hAnsi="Arial"/>
          <w:sz w:val="11"/>
          <w:szCs w:val="11"/>
          <w:color w:val="auto"/>
        </w:rPr>
      </w:pPr>
    </w:p>
    <w:p>
      <w:pPr>
        <w:ind w:left="1880" w:hanging="544"/>
        <w:spacing w:after="0"/>
        <w:tabs>
          <w:tab w:leader="none" w:pos="1880" w:val="left"/>
        </w:tabs>
        <w:numPr>
          <w:ilvl w:val="0"/>
          <w:numId w:val="5"/>
        </w:numPr>
        <w:rPr>
          <w:rFonts w:ascii="Arial" w:cs="Arial" w:eastAsia="Arial" w:hAnsi="Arial"/>
          <w:sz w:val="11"/>
          <w:szCs w:val="11"/>
          <w:color w:val="auto"/>
        </w:rPr>
      </w:pPr>
      <w:r>
        <w:rPr>
          <w:rFonts w:ascii="Arial" w:cs="Arial" w:eastAsia="Arial" w:hAnsi="Arial"/>
          <w:sz w:val="14"/>
          <w:szCs w:val="14"/>
          <w:color w:val="auto"/>
        </w:rPr>
        <w:t>Charter expiration to be determined based upon actual date of delivery.</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of First Offer</w:t>
      </w:r>
    </w:p>
    <w:p>
      <w:pPr>
        <w:spacing w:after="0" w:line="225" w:lineRule="exact"/>
        <w:rPr>
          <w:sz w:val="20"/>
          <w:szCs w:val="20"/>
          <w:color w:val="auto"/>
        </w:rPr>
      </w:pPr>
    </w:p>
    <w:p>
      <w:pPr>
        <w:ind w:left="240" w:right="20" w:firstLine="351"/>
        <w:spacing w:after="0" w:line="259" w:lineRule="auto"/>
        <w:rPr>
          <w:sz w:val="20"/>
          <w:szCs w:val="20"/>
          <w:color w:val="auto"/>
        </w:rPr>
      </w:pPr>
      <w:r>
        <w:rPr>
          <w:rFonts w:ascii="Arial" w:cs="Arial" w:eastAsia="Arial" w:hAnsi="Arial"/>
          <w:sz w:val="18"/>
          <w:szCs w:val="18"/>
          <w:color w:val="auto"/>
        </w:rPr>
        <w:t>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prospectus supplement.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Vessel Acquisition Considerations</w:t>
      </w:r>
    </w:p>
    <w:p>
      <w:pPr>
        <w:spacing w:after="0" w:line="225" w:lineRule="exact"/>
        <w:rPr>
          <w:sz w:val="20"/>
          <w:szCs w:val="20"/>
          <w:color w:val="auto"/>
        </w:rPr>
      </w:pPr>
    </w:p>
    <w:p>
      <w:pPr>
        <w:ind w:left="240" w:firstLine="348"/>
        <w:spacing w:after="0" w:line="288" w:lineRule="auto"/>
        <w:rPr>
          <w:sz w:val="20"/>
          <w:szCs w:val="20"/>
          <w:color w:val="auto"/>
        </w:rPr>
      </w:pPr>
      <w:r>
        <w:rPr>
          <w:rFonts w:ascii="Arial" w:cs="Arial" w:eastAsia="Arial" w:hAnsi="Arial"/>
          <w:sz w:val="16"/>
          <w:szCs w:val="16"/>
          <w:color w:val="auto"/>
        </w:rPr>
        <w:t>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the date of this prospectus supplement,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We cannot assure you that in any particular case the necessary consent will be obtained. See "Item 3. Key Information—D. Risk Factors—Risks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Relationship with GasLog Ltd.</w:t>
      </w:r>
    </w:p>
    <w:p>
      <w:pPr>
        <w:spacing w:after="0" w:line="231" w:lineRule="exact"/>
        <w:rPr>
          <w:sz w:val="20"/>
          <w:szCs w:val="20"/>
          <w:color w:val="auto"/>
        </w:rPr>
      </w:pPr>
    </w:p>
    <w:p>
      <w:pPr>
        <w:ind w:left="240" w:firstLine="348"/>
        <w:spacing w:after="0" w:line="287" w:lineRule="auto"/>
        <w:rPr>
          <w:sz w:val="20"/>
          <w:szCs w:val="20"/>
          <w:color w:val="auto"/>
        </w:rPr>
      </w:pPr>
      <w:r>
        <w:rPr>
          <w:rFonts w:ascii="Arial" w:cs="Arial" w:eastAsia="Arial" w:hAnsi="Arial"/>
          <w:sz w:val="16"/>
          <w:szCs w:val="16"/>
          <w:color w:val="auto"/>
        </w:rPr>
        <w:t>We believe that one of our principal strengths is our relationship with GasLog. We believe our relationship with GasLog gives us access to GasLog's relationships with leading energy companies, shipbuilders, financing sources and suppliers and to its technical, commercial and managerial expertise, which we believe will allow us to compete more effectively when seeking additional customers. As of July 26, 2018, GasLog's wholly owned fleet includes 17 LNG carriers (including twelve ships in operation and five LNG carriers on order) and GasLog has one LNG carrier operating under its technical management for third parties, and a vessel secured under a long-term bareboat charter from Lepta Shipping, a subsidiary of Mitsui. In addition, GasLog holds a 29.1% interest (including the 2% interest through general partner units) in the Partnership. GasLog was incorporated in 2003 and is effectively controlled by its chairman, Peter G. Livanos, who beneficially owns approximately 40.1% of GasLog's common shares. Mr. Livanos's family's shipping activities commenced more than 100 years ago. Since its initial public offering in April 2012, GasLog has increased by approximately 83% the total carrying capacity of vessels in its fleet, which includes vessels on the water and newbuildings on order. In addition, GasLog, through its wholly owned subsidiary GasLog LNG Services, provides ship</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020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5020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0"/>
        <w:spacing w:after="0" w:line="256" w:lineRule="auto"/>
        <w:rPr>
          <w:sz w:val="20"/>
          <w:szCs w:val="20"/>
          <w:color w:val="auto"/>
        </w:rPr>
      </w:pPr>
      <w:r>
        <w:rPr>
          <w:rFonts w:ascii="Arial" w:cs="Arial" w:eastAsia="Arial" w:hAnsi="Arial"/>
          <w:sz w:val="18"/>
          <w:szCs w:val="18"/>
          <w:color w:val="auto"/>
        </w:rPr>
        <w:t xml:space="preserve">management services to the LNG carriers in our fleet, except for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which is managed by a subsidiary of Shell and, subject to any alternative arrangements with the applicable charterer, additional ships we may acquire from GasLog. GasLog also provides certain administrative and commercial management services to the Partnership. There are also risks associated with GasLog that may affect us. See "Item 3. Key Information—D. Risk Factors— Risks Inherent in Our Business" of our Annual Report on Form 20-F.</w:t>
      </w:r>
    </w:p>
    <w:p>
      <w:pPr>
        <w:spacing w:after="0" w:line="197" w:lineRule="exact"/>
        <w:rPr>
          <w:sz w:val="20"/>
          <w:szCs w:val="20"/>
          <w:color w:val="auto"/>
        </w:rPr>
      </w:pPr>
    </w:p>
    <w:p>
      <w:pPr>
        <w:ind w:left="240" w:right="120" w:firstLine="342"/>
        <w:spacing w:after="0" w:line="298" w:lineRule="auto"/>
        <w:rPr>
          <w:sz w:val="20"/>
          <w:szCs w:val="20"/>
          <w:color w:val="auto"/>
        </w:rPr>
      </w:pPr>
      <w:r>
        <w:rPr>
          <w:rFonts w:ascii="Arial" w:cs="Arial" w:eastAsia="Arial" w:hAnsi="Arial"/>
          <w:sz w:val="16"/>
          <w:szCs w:val="16"/>
          <w:color w:val="auto"/>
        </w:rPr>
        <w:t>As of July 26, 2018, GasLog will own our 2.0% general partner interest, all of our incentive distribution rights and 11,843,691 common units. Our general partner, by virtue of its general partner interest, controls the appointment of four of our seven directors (subject to its right to transfer the power to elect one director to the common unitholders so that they will thereafter elect a majority of our directors). GasLog intends to utilize us as its primary growth vehicle to pursue the acquisition of LNG carriers that are expected to generate long-term, stable cash flows.</w:t>
      </w: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240" w:firstLine="351"/>
        <w:spacing w:after="0" w:line="298" w:lineRule="auto"/>
        <w:rPr>
          <w:sz w:val="20"/>
          <w:szCs w:val="20"/>
          <w:color w:val="auto"/>
        </w:rPr>
      </w:pPr>
      <w:r>
        <w:rPr>
          <w:rFonts w:ascii="Arial" w:cs="Arial" w:eastAsia="Arial" w:hAnsi="Arial"/>
          <w:sz w:val="16"/>
          <w:szCs w:val="16"/>
          <w:color w:val="auto"/>
        </w:rPr>
        <w:t>Our principal executive offices are located at Gildo Pastor Center, 7 Rue du Gabian, MC 98000, Monaco, and our phone number is + 377 97 97 51 15. We make our periodic reports and other information filed with or furnished to the SEC available free of charge through our website at www.gaslogmlp.com as soon as reasonably practicable after those reports and other information are electronically filed with or furnished to the SEC. See "Where You Can Find More Information" for an explanation of our reporting requirements as a foreign private issuer.</w:t>
      </w: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Organizational and Ownership Structure</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and diagram depict our simplified organizational and ownership structure as of July 26, 2018:</w:t>
      </w:r>
    </w:p>
    <w:p>
      <w:pPr>
        <w:spacing w:after="0" w:line="22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20" w:type="dxa"/>
            <w:vAlign w:val="bottom"/>
          </w:tcPr>
          <w:p>
            <w:pPr>
              <w:jc w:val="right"/>
              <w:ind w:right="8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r>
      <w:tr>
        <w:trPr>
          <w:trHeight w:val="176"/>
        </w:trPr>
        <w:tc>
          <w:tcPr>
            <w:tcW w:w="20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920" w:type="dxa"/>
            <w:vAlign w:val="bottom"/>
            <w:tcBorders>
              <w:bottom w:val="single" w:sz="8" w:color="auto"/>
            </w:tcBorders>
          </w:tcPr>
          <w:p>
            <w:pPr>
              <w:jc w:val="right"/>
              <w:ind w:right="160"/>
              <w:spacing w:after="0" w:line="176" w:lineRule="exact"/>
              <w:rPr>
                <w:sz w:val="20"/>
                <w:szCs w:val="20"/>
                <w:color w:val="auto"/>
              </w:rPr>
            </w:pPr>
            <w:r>
              <w:rPr>
                <w:rFonts w:ascii="Arial" w:cs="Arial" w:eastAsia="Arial" w:hAnsi="Arial"/>
                <w:sz w:val="13"/>
                <w:szCs w:val="13"/>
                <w:b w:val="1"/>
                <w:bCs w:val="1"/>
                <w:color w:val="auto"/>
              </w:rPr>
              <w:t>Units</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93"/>
              </w:rPr>
              <w:t>Ownership</w:t>
            </w:r>
          </w:p>
        </w:tc>
        <w:tc>
          <w:tcPr>
            <w:tcW w:w="160" w:type="dxa"/>
            <w:vAlign w:val="bottom"/>
          </w:tcPr>
          <w:p>
            <w:pPr>
              <w:spacing w:after="0"/>
              <w:rPr>
                <w:sz w:val="15"/>
                <w:szCs w:val="15"/>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Common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31,052,423</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70.94%</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Common Units held by GasLog Ltd.</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11,843,691</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27.06%</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875,432</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0"/>
        </w:trPr>
        <w:tc>
          <w:tcPr>
            <w:tcW w:w="20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43,771,546</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r>
      <w:tr>
        <w:trPr>
          <w:trHeight w:val="20"/>
        </w:trPr>
        <w:tc>
          <w:tcPr>
            <w:tcW w:w="20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20" w:type="dxa"/>
            <w:vAlign w:val="bottom"/>
            <w:tcBorders>
              <w:bottom w:val="single" w:sz="8" w:color="auto"/>
            </w:tcBorders>
          </w:tcPr>
          <w:p>
            <w:pPr>
              <w:spacing w:after="0"/>
              <w:rPr>
                <w:sz w:val="7"/>
                <w:szCs w:val="7"/>
                <w:color w:val="auto"/>
              </w:rPr>
            </w:pPr>
          </w:p>
        </w:tc>
        <w:tc>
          <w:tcPr>
            <w:tcW w:w="3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420" w:right="40" w:hanging="536"/>
        <w:spacing w:after="0" w:line="288" w:lineRule="auto"/>
        <w:tabs>
          <w:tab w:leader="none" w:pos="2420" w:val="left"/>
        </w:tabs>
        <w:numPr>
          <w:ilvl w:val="0"/>
          <w:numId w:val="6"/>
        </w:numPr>
        <w:rPr>
          <w:rFonts w:ascii="Arial" w:cs="Arial" w:eastAsia="Arial" w:hAnsi="Arial"/>
          <w:sz w:val="10"/>
          <w:szCs w:val="10"/>
          <w:color w:val="auto"/>
        </w:rPr>
      </w:pPr>
      <w:r>
        <w:rPr>
          <w:rFonts w:ascii="Arial" w:cs="Arial" w:eastAsia="Arial" w:hAnsi="Arial"/>
          <w:sz w:val="12"/>
          <w:szCs w:val="12"/>
          <w:color w:val="auto"/>
        </w:rPr>
        <w:t>The above table does not include 5,750,000 Series A Preference Units that were issued on May 15, 2017 or 4,600,000 Series B Preference Units that were issued on January 17, 2018. The preference units will not impact the other classes' percentage ownership, as the Series A Preference Units and the Series B Preference Units are not included in the calculation of "Percentage Interest" as defined in our Partnership Agreement.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4669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66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3160" w:type="dxa"/>
            <w:vAlign w:val="bottom"/>
            <w:tcBorders>
              <w:top w:val="single" w:sz="8" w:color="auto"/>
              <w:left w:val="single" w:sz="8" w:color="auto"/>
            </w:tcBorders>
          </w:tcPr>
          <w:p>
            <w:pPr>
              <w:spacing w:after="0"/>
              <w:rPr>
                <w:sz w:val="24"/>
                <w:szCs w:val="24"/>
                <w:color w:val="auto"/>
              </w:rPr>
            </w:pPr>
          </w:p>
        </w:tc>
        <w:tc>
          <w:tcPr>
            <w:tcW w:w="826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31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Issuer</w:t>
            </w: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GasLog Partners LP.</w:t>
            </w:r>
          </w:p>
        </w:tc>
      </w:tr>
      <w:tr>
        <w:trPr>
          <w:trHeight w:val="432"/>
        </w:trPr>
        <w:tc>
          <w:tcPr>
            <w:tcW w:w="31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Common units offered by us</w:t>
            </w: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Common units having an aggregate offering price of up to $144.04 million.</w:t>
            </w:r>
          </w:p>
        </w:tc>
      </w:tr>
      <w:tr>
        <w:trPr>
          <w:trHeight w:val="426"/>
        </w:trPr>
        <w:tc>
          <w:tcPr>
            <w:tcW w:w="31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Manner of offering</w:t>
            </w: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"At-the-market offering" that may be made from time to time through the sales agents. Please read "Plan of</w:t>
            </w:r>
          </w:p>
        </w:tc>
      </w:tr>
      <w:tr>
        <w:trPr>
          <w:trHeight w:val="222"/>
        </w:trPr>
        <w:tc>
          <w:tcPr>
            <w:tcW w:w="3160" w:type="dxa"/>
            <w:vAlign w:val="bottom"/>
            <w:tcBorders>
              <w:left w:val="single" w:sz="8" w:color="auto"/>
            </w:tcBorders>
          </w:tcPr>
          <w:p>
            <w:pPr>
              <w:spacing w:after="0"/>
              <w:rPr>
                <w:sz w:val="19"/>
                <w:szCs w:val="19"/>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Distribution".</w:t>
            </w:r>
          </w:p>
        </w:tc>
      </w:tr>
      <w:tr>
        <w:trPr>
          <w:trHeight w:val="426"/>
        </w:trPr>
        <w:tc>
          <w:tcPr>
            <w:tcW w:w="31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Use of proceeds</w:t>
            </w: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1"/>
              </w:rPr>
              <w:t>We will use the net proceeds from the sale of the securities covered by this prospectus for general partnership</w:t>
            </w:r>
          </w:p>
        </w:tc>
      </w:tr>
      <w:tr>
        <w:trPr>
          <w:trHeight w:val="216"/>
        </w:trPr>
        <w:tc>
          <w:tcPr>
            <w:tcW w:w="31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7"/>
              </w:rPr>
              <w:t>purposes, which may include future acquisitions, debt repayment, capital expenditures and additions to</w:t>
            </w:r>
          </w:p>
        </w:tc>
      </w:tr>
      <w:tr>
        <w:trPr>
          <w:trHeight w:val="216"/>
        </w:trPr>
        <w:tc>
          <w:tcPr>
            <w:tcW w:w="31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working capital. We currently expect that this will include future acquisitions from GasLog. Please read "Use</w:t>
            </w:r>
          </w:p>
        </w:tc>
      </w:tr>
      <w:tr>
        <w:trPr>
          <w:trHeight w:val="222"/>
        </w:trPr>
        <w:tc>
          <w:tcPr>
            <w:tcW w:w="3160" w:type="dxa"/>
            <w:vAlign w:val="bottom"/>
            <w:tcBorders>
              <w:left w:val="single" w:sz="8" w:color="auto"/>
            </w:tcBorders>
          </w:tcPr>
          <w:p>
            <w:pPr>
              <w:spacing w:after="0"/>
              <w:rPr>
                <w:sz w:val="19"/>
                <w:szCs w:val="19"/>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of Proceeds".</w:t>
            </w:r>
          </w:p>
        </w:tc>
      </w:tr>
      <w:tr>
        <w:trPr>
          <w:trHeight w:val="426"/>
        </w:trPr>
        <w:tc>
          <w:tcPr>
            <w:tcW w:w="31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w w:val="94"/>
              </w:rPr>
              <w:t>U.S. federal income tax considerations</w:t>
            </w: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Although we are organized as a partnership, we have elected to be treated as a corporation solely for U.S.</w:t>
            </w:r>
          </w:p>
        </w:tc>
      </w:tr>
      <w:tr>
        <w:trPr>
          <w:trHeight w:val="216"/>
        </w:trPr>
        <w:tc>
          <w:tcPr>
            <w:tcW w:w="31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8"/>
              </w:rPr>
              <w:t>federal income tax purposes. Consequently, all or a portion of the distributions you receive from us will</w:t>
            </w:r>
          </w:p>
        </w:tc>
      </w:tr>
      <w:tr>
        <w:trPr>
          <w:trHeight w:val="216"/>
        </w:trPr>
        <w:tc>
          <w:tcPr>
            <w:tcW w:w="31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constitute dividends for such purposes. The remaining portion of such distributions will be treated first as a</w:t>
            </w:r>
          </w:p>
        </w:tc>
      </w:tr>
      <w:tr>
        <w:trPr>
          <w:trHeight w:val="216"/>
        </w:trPr>
        <w:tc>
          <w:tcPr>
            <w:tcW w:w="31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non-taxable return of capital to the extent of your tax basis in your common units and, thereafter, as capital</w:t>
            </w:r>
          </w:p>
        </w:tc>
      </w:tr>
      <w:tr>
        <w:trPr>
          <w:trHeight w:val="216"/>
        </w:trPr>
        <w:tc>
          <w:tcPr>
            <w:tcW w:w="31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6"/>
              </w:rPr>
              <w:t>gain. Please see "Risk Factors—Tax Risks" in our Annual Report on Form 20-F, as filed with the SEC on</w:t>
            </w:r>
          </w:p>
        </w:tc>
      </w:tr>
      <w:tr>
        <w:trPr>
          <w:trHeight w:val="216"/>
        </w:trPr>
        <w:tc>
          <w:tcPr>
            <w:tcW w:w="31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2"/>
              </w:rPr>
              <w:t>February 12, 2018 and incorporated by reference into this prospectus, for a discussion relating to the taxation</w:t>
            </w:r>
          </w:p>
        </w:tc>
      </w:tr>
      <w:tr>
        <w:trPr>
          <w:trHeight w:val="216"/>
        </w:trPr>
        <w:tc>
          <w:tcPr>
            <w:tcW w:w="31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1"/>
              </w:rPr>
              <w:t>of dividends. For a discussion of other material U.S. federal income tax consequences that may be relevant to</w:t>
            </w:r>
          </w:p>
        </w:tc>
      </w:tr>
      <w:tr>
        <w:trPr>
          <w:trHeight w:val="216"/>
        </w:trPr>
        <w:tc>
          <w:tcPr>
            <w:tcW w:w="31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0"/>
              </w:rPr>
              <w:t>prospective unitholders who are individual citizens or residents of the United States, see "Material U.S. Federal</w:t>
            </w:r>
          </w:p>
        </w:tc>
      </w:tr>
      <w:tr>
        <w:trPr>
          <w:trHeight w:val="222"/>
        </w:trPr>
        <w:tc>
          <w:tcPr>
            <w:tcW w:w="3160" w:type="dxa"/>
            <w:vAlign w:val="bottom"/>
            <w:tcBorders>
              <w:left w:val="single" w:sz="8" w:color="auto"/>
            </w:tcBorders>
          </w:tcPr>
          <w:p>
            <w:pPr>
              <w:spacing w:after="0"/>
              <w:rPr>
                <w:sz w:val="19"/>
                <w:szCs w:val="19"/>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Income Tax Considerations".</w:t>
            </w:r>
          </w:p>
        </w:tc>
      </w:tr>
      <w:tr>
        <w:trPr>
          <w:trHeight w:val="426"/>
        </w:trPr>
        <w:tc>
          <w:tcPr>
            <w:tcW w:w="31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Non-U.S. tax considerations</w:t>
            </w: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1"/>
              </w:rPr>
              <w:t>We have been organized under the laws of the Republic of the Marshall Islands. As of July 26, 2018, we have</w:t>
            </w:r>
          </w:p>
        </w:tc>
      </w:tr>
      <w:tr>
        <w:trPr>
          <w:trHeight w:val="216"/>
        </w:trPr>
        <w:tc>
          <w:tcPr>
            <w:tcW w:w="31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14 subsidiaries, one formed in the Marshall Islands and 13 incorporated in Bermuda. Of our subsidiaries, 13</w:t>
            </w:r>
          </w:p>
        </w:tc>
      </w:tr>
      <w:tr>
        <w:trPr>
          <w:trHeight w:val="216"/>
        </w:trPr>
        <w:tc>
          <w:tcPr>
            <w:tcW w:w="31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2"/>
              </w:rPr>
              <w:t>own vessels in our fleet. GasLog Partners, GasLog LNG Services and our general partner are expected to be</w:t>
            </w:r>
          </w:p>
        </w:tc>
      </w:tr>
      <w:tr>
        <w:trPr>
          <w:trHeight w:val="216"/>
        </w:trPr>
        <w:tc>
          <w:tcPr>
            <w:tcW w:w="31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7"/>
              </w:rPr>
              <w:t>treated as managed and controlled in Monaco. For a discussion of material Marshall Islands income tax</w:t>
            </w:r>
          </w:p>
        </w:tc>
      </w:tr>
      <w:tr>
        <w:trPr>
          <w:trHeight w:val="216"/>
        </w:trPr>
        <w:tc>
          <w:tcPr>
            <w:tcW w:w="31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2"/>
              </w:rPr>
              <w:t>considerations that may be relevant to prospective unitholders and for a discussion of the risk that unitholders</w:t>
            </w:r>
          </w:p>
        </w:tc>
      </w:tr>
      <w:tr>
        <w:trPr>
          <w:trHeight w:val="216"/>
        </w:trPr>
        <w:tc>
          <w:tcPr>
            <w:tcW w:w="31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1"/>
              </w:rPr>
              <w:t>may assume and for the activities we undertake in various jurisdictions for taxation purposes, see "Non-United</w:t>
            </w:r>
          </w:p>
        </w:tc>
      </w:tr>
      <w:tr>
        <w:trPr>
          <w:trHeight w:val="216"/>
        </w:trPr>
        <w:tc>
          <w:tcPr>
            <w:tcW w:w="31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7"/>
              </w:rPr>
              <w:t>States Tax Considerations" and "Risk Factors—Tax Risks" starting on page 44 of our Annual Report on</w:t>
            </w:r>
          </w:p>
        </w:tc>
      </w:tr>
      <w:tr>
        <w:trPr>
          <w:trHeight w:val="222"/>
        </w:trPr>
        <w:tc>
          <w:tcPr>
            <w:tcW w:w="3160" w:type="dxa"/>
            <w:vAlign w:val="bottom"/>
            <w:tcBorders>
              <w:left w:val="single" w:sz="8" w:color="auto"/>
            </w:tcBorders>
          </w:tcPr>
          <w:p>
            <w:pPr>
              <w:spacing w:after="0"/>
              <w:rPr>
                <w:sz w:val="19"/>
                <w:szCs w:val="19"/>
                <w:color w:val="auto"/>
              </w:rPr>
            </w:pP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Form 20-F.</w:t>
            </w:r>
          </w:p>
        </w:tc>
      </w:tr>
      <w:tr>
        <w:trPr>
          <w:trHeight w:val="432"/>
        </w:trPr>
        <w:tc>
          <w:tcPr>
            <w:tcW w:w="31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Exchange listing</w:t>
            </w:r>
          </w:p>
        </w:tc>
        <w:tc>
          <w:tcPr>
            <w:tcW w:w="8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Our common units are listed on the New York Stock Exchange under the symbol "GLOP".</w:t>
            </w:r>
          </w:p>
        </w:tc>
      </w:tr>
      <w:tr>
        <w:trPr>
          <w:trHeight w:val="228"/>
        </w:trPr>
        <w:tc>
          <w:tcPr>
            <w:tcW w:w="3160" w:type="dxa"/>
            <w:vAlign w:val="bottom"/>
            <w:tcBorders>
              <w:left w:val="single" w:sz="8" w:color="auto"/>
              <w:bottom w:val="single" w:sz="8" w:color="auto"/>
            </w:tcBorders>
          </w:tcPr>
          <w:p>
            <w:pPr>
              <w:spacing w:after="0"/>
              <w:rPr>
                <w:sz w:val="19"/>
                <w:szCs w:val="19"/>
                <w:color w:val="auto"/>
              </w:rPr>
            </w:pPr>
          </w:p>
        </w:tc>
        <w:tc>
          <w:tcPr>
            <w:tcW w:w="8260" w:type="dxa"/>
            <w:vAlign w:val="bottom"/>
            <w:tcBorders>
              <w:bottom w:val="single" w:sz="8" w:color="auto"/>
              <w:right w:val="single" w:sz="8" w:color="auto"/>
            </w:tcBorders>
          </w:tcPr>
          <w:p>
            <w:pPr>
              <w:spacing w:after="0"/>
              <w:rPr>
                <w:sz w:val="19"/>
                <w:szCs w:val="19"/>
                <w:color w:val="auto"/>
              </w:rPr>
            </w:pPr>
          </w:p>
        </w:tc>
      </w:tr>
      <w:tr>
        <w:trPr>
          <w:trHeight w:val="427"/>
        </w:trPr>
        <w:tc>
          <w:tcPr>
            <w:tcW w:w="3160" w:type="dxa"/>
            <w:vAlign w:val="bottom"/>
          </w:tcPr>
          <w:p>
            <w:pPr>
              <w:spacing w:after="0"/>
              <w:rPr>
                <w:sz w:val="24"/>
                <w:szCs w:val="24"/>
                <w:color w:val="auto"/>
              </w:rPr>
            </w:pPr>
          </w:p>
        </w:tc>
        <w:tc>
          <w:tcPr>
            <w:tcW w:w="8260" w:type="dxa"/>
            <w:vAlign w:val="bottom"/>
          </w:tcPr>
          <w:p>
            <w:pPr>
              <w:ind w:left="2440"/>
              <w:spacing w:after="0"/>
              <w:rPr>
                <w:sz w:val="20"/>
                <w:szCs w:val="20"/>
                <w:color w:val="auto"/>
              </w:rPr>
            </w:pPr>
            <w:r>
              <w:rPr>
                <w:rFonts w:ascii="Arial" w:cs="Arial" w:eastAsia="Arial" w:hAnsi="Arial"/>
                <w:sz w:val="18"/>
                <w:szCs w:val="18"/>
                <w:color w:val="auto"/>
              </w:rPr>
              <w:t>S-9</w:t>
            </w:r>
          </w:p>
        </w:tc>
      </w:tr>
      <w:tr>
        <w:trPr>
          <w:trHeight w:val="228"/>
        </w:trPr>
        <w:tc>
          <w:tcPr>
            <w:tcW w:w="3160" w:type="dxa"/>
            <w:vAlign w:val="bottom"/>
            <w:tcBorders>
              <w:bottom w:val="single" w:sz="8" w:color="808080"/>
            </w:tcBorders>
          </w:tcPr>
          <w:p>
            <w:pPr>
              <w:spacing w:after="0"/>
              <w:rPr>
                <w:sz w:val="19"/>
                <w:szCs w:val="19"/>
                <w:color w:val="auto"/>
              </w:rPr>
            </w:pPr>
          </w:p>
        </w:tc>
        <w:tc>
          <w:tcPr>
            <w:tcW w:w="8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6553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65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 Financial and Operating Data</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Summary Financial Data</w:t>
      </w:r>
    </w:p>
    <w:p>
      <w:pPr>
        <w:spacing w:after="0" w:line="231" w:lineRule="exact"/>
        <w:rPr>
          <w:sz w:val="20"/>
          <w:szCs w:val="20"/>
          <w:color w:val="auto"/>
        </w:rPr>
      </w:pPr>
    </w:p>
    <w:p>
      <w:pPr>
        <w:ind w:left="240" w:firstLine="348"/>
        <w:spacing w:after="0" w:line="290" w:lineRule="auto"/>
        <w:rPr>
          <w:sz w:val="20"/>
          <w:szCs w:val="20"/>
          <w:color w:val="auto"/>
        </w:rPr>
      </w:pPr>
      <w:r>
        <w:rPr>
          <w:rFonts w:ascii="Arial" w:cs="Arial" w:eastAsia="Arial" w:hAnsi="Arial"/>
          <w:sz w:val="16"/>
          <w:szCs w:val="16"/>
          <w:color w:val="auto"/>
        </w:rPr>
        <w:t>This information should be read together with, and is qualified in its entirety by, our consolidated financial statements and the notes thereto included in "Item 18. Financial Statements" of our Annual Report on Form 20-F, as filed with the SEC on February 12, 2018 and incorporated by reference into this prospectus and the interim unaudited condensed consolidated financial statements of GasLog Partners included in Exhibit 99.2 of the Report on Form 6-K as furnished to the SEC on July 26, 2018 and incorporated by reference into this prospectus. You should also read "Item 5. Operating and Financial Review and Prospects" of our Annual Report on Form 20-F, as filed with the SEC on February 12, 2018 and incorporated by reference into this prospectus and "Management's Discussion and Analysis of Financial Condition and Results of Operation" in Exhibit 99.2 of the Report on Form 6-K as furnished to the SEC on July 26, 2018 and incorporated by reference into this prospectus.</w:t>
      </w:r>
    </w:p>
    <w:p>
      <w:pPr>
        <w:spacing w:after="0" w:line="172" w:lineRule="exact"/>
        <w:rPr>
          <w:sz w:val="20"/>
          <w:szCs w:val="20"/>
          <w:color w:val="auto"/>
        </w:rPr>
      </w:pPr>
    </w:p>
    <w:p>
      <w:pPr>
        <w:ind w:left="240" w:right="160" w:firstLine="351"/>
        <w:spacing w:after="0" w:line="268" w:lineRule="auto"/>
        <w:rPr>
          <w:sz w:val="20"/>
          <w:szCs w:val="20"/>
          <w:color w:val="auto"/>
        </w:rPr>
      </w:pPr>
      <w:r>
        <w:rPr>
          <w:rFonts w:ascii="Arial" w:cs="Arial" w:eastAsia="Arial" w:hAnsi="Arial"/>
          <w:sz w:val="18"/>
          <w:szCs w:val="18"/>
          <w:color w:val="auto"/>
        </w:rPr>
        <w:t>Certain numerical figures included in the below tables have been rounded. Discrepancies in tables between totals and the sums of the amounts listed may occur due to such rounding.</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IFRS Common Control Reported Results</w:t>
      </w:r>
    </w:p>
    <w:p>
      <w:pPr>
        <w:spacing w:after="0" w:line="231" w:lineRule="exact"/>
        <w:rPr>
          <w:sz w:val="20"/>
          <w:szCs w:val="20"/>
          <w:color w:val="auto"/>
        </w:rPr>
      </w:pPr>
    </w:p>
    <w:p>
      <w:pPr>
        <w:ind w:left="240" w:firstLine="348"/>
        <w:spacing w:after="0" w:line="289" w:lineRule="auto"/>
        <w:rPr>
          <w:sz w:val="20"/>
          <w:szCs w:val="20"/>
          <w:color w:val="auto"/>
        </w:rPr>
      </w:pPr>
      <w:r>
        <w:rPr>
          <w:rFonts w:ascii="Arial" w:cs="Arial" w:eastAsia="Arial" w:hAnsi="Arial"/>
          <w:sz w:val="16"/>
          <w:szCs w:val="16"/>
          <w:color w:val="auto"/>
        </w:rPr>
        <w:t xml:space="preserve">The following table presents, in each case for the periods and as of the dates indicated, summary historical financial and operating data. The summary historical financial data as of December 31, 2015, 2016 and 2017 and for each of the years in the three-year period ended December 31, 2017 is a summary of and is derived from our audited consolidated financial statements after retroactive restatement for the transfer of the vessels from GasLog to the Partnership that are not included in this report. The summary historical financial data as of June 30, 2018 and for the three- and six-month periods ended June 30, 2017 and 2018 has been derived from the interim unaudited condensed consolidated financial statements of GasLog Partners LP included in Exhibit 99.2 of our Report on Form 6-K furnished to the SEC on July 26, 2018 and incorporated by reference into this prospectus. The annual financial statements have been prepared in accordance with IFRS, as issued by the IASB. The interim financial statements have been prepared in accordance with International Accounting Standard 34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as issued by the IASB.</w:t>
      </w:r>
    </w:p>
    <w:p>
      <w:pPr>
        <w:spacing w:after="0" w:line="172" w:lineRule="exact"/>
        <w:rPr>
          <w:sz w:val="20"/>
          <w:szCs w:val="20"/>
          <w:color w:val="auto"/>
        </w:rPr>
      </w:pPr>
    </w:p>
    <w:p>
      <w:pPr>
        <w:ind w:left="240" w:firstLine="351"/>
        <w:spacing w:after="0" w:line="287" w:lineRule="auto"/>
        <w:rPr>
          <w:sz w:val="20"/>
          <w:szCs w:val="20"/>
          <w:color w:val="auto"/>
        </w:rPr>
      </w:pPr>
      <w:r>
        <w:rPr>
          <w:rFonts w:ascii="Arial" w:cs="Arial" w:eastAsia="Arial" w:hAnsi="Arial"/>
          <w:sz w:val="16"/>
          <w:szCs w:val="16"/>
          <w:color w:val="auto"/>
        </w:rPr>
        <w:t>Prior to the closing of our IPO, we did not own any vessels. The following presentation assumes that our business was operated as a separate entity prior to its inception. 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 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The transfer of the three initial vessels from GasLog to the Partnership at the time of the IPO, the transfer of two vessels from GasLog to the Partnership in September 2014, the transfer of three vessels from GasLog to the Partnership in July 2015, the transfer of one vessel from GasLog to the Partnership in November 2016, the transfer of one vessel from GasLog to the Partnership in May 2017, the transfer of one vessel from GasLog to the Partnership in July 2017, the transfer of one vessel from GasLog to the Partnership in October 2017 and the transfer of one vessel from GasLog to the Partnership in April 2018 were each accounted for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8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638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 reorganization of entities under common control under IFRS and prior periods were retroactively restated.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w w:val="97"/>
              </w:rPr>
              <w:t>Historical</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5"/>
          </w:tcPr>
          <w:p>
            <w:pPr>
              <w:jc w:val="right"/>
              <w:ind w:right="420"/>
              <w:spacing w:after="0" w:line="129" w:lineRule="exact"/>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1"/>
                <w:szCs w:val="11"/>
                <w:color w:val="auto"/>
              </w:rPr>
            </w:pPr>
          </w:p>
        </w:tc>
        <w:tc>
          <w:tcPr>
            <w:tcW w:w="1680" w:type="dxa"/>
            <w:vAlign w:val="bottom"/>
            <w:gridSpan w:val="4"/>
          </w:tcPr>
          <w:p>
            <w:pPr>
              <w:jc w:val="right"/>
              <w:ind w:right="253"/>
              <w:spacing w:after="0" w:line="129" w:lineRule="exact"/>
              <w:rPr>
                <w:sz w:val="20"/>
                <w:szCs w:val="20"/>
                <w:color w:val="auto"/>
              </w:rPr>
            </w:pPr>
            <w:r>
              <w:rPr>
                <w:rFonts w:ascii="Arial" w:cs="Arial" w:eastAsia="Arial" w:hAnsi="Arial"/>
                <w:sz w:val="14"/>
                <w:szCs w:val="14"/>
                <w:b w:val="1"/>
                <w:bCs w:val="1"/>
                <w:color w:val="auto"/>
              </w:rPr>
              <w:t>Six Months Ended</w:t>
            </w:r>
          </w:p>
        </w:tc>
        <w:tc>
          <w:tcPr>
            <w:tcW w:w="14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9"/>
          </w:tcPr>
          <w:p>
            <w:pPr>
              <w:jc w:val="center"/>
              <w:ind w:right="192"/>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5"/>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4"/>
              </w:rPr>
              <w:t>(in thousands of</w:t>
            </w:r>
          </w:p>
        </w:tc>
        <w:tc>
          <w:tcPr>
            <w:tcW w:w="2080" w:type="dxa"/>
            <w:vAlign w:val="bottom"/>
            <w:gridSpan w:val="7"/>
          </w:tcPr>
          <w:p>
            <w:pPr>
              <w:jc w:val="right"/>
              <w:ind w:right="120"/>
              <w:spacing w:after="0" w:line="142" w:lineRule="exact"/>
              <w:rPr>
                <w:sz w:val="20"/>
                <w:szCs w:val="20"/>
                <w:color w:val="auto"/>
              </w:rPr>
            </w:pPr>
            <w:r>
              <w:rPr>
                <w:rFonts w:ascii="Arial" w:cs="Arial" w:eastAsia="Arial" w:hAnsi="Arial"/>
                <w:sz w:val="14"/>
                <w:szCs w:val="14"/>
                <w:b w:val="1"/>
                <w:bCs w:val="1"/>
                <w:color w:val="auto"/>
                <w:w w:val="87"/>
              </w:rPr>
              <w:t>U.S. dollars, except per unit data)</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STATEMENT OF</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PROFIT OR LOSS:</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98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248,501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287,294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341,034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85,405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76,934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169,882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161,285</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pool allocation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1980" w:type="dxa"/>
            <w:vAlign w:val="bottom"/>
          </w:tcPr>
          <w:p>
            <w:pPr>
              <w:ind w:left="180"/>
              <w:spacing w:after="0"/>
              <w:rPr>
                <w:sz w:val="20"/>
                <w:szCs w:val="20"/>
                <w:color w:val="auto"/>
              </w:rPr>
            </w:pPr>
            <w:r>
              <w:rPr>
                <w:rFonts w:ascii="Arial" w:cs="Arial" w:eastAsia="Arial" w:hAnsi="Arial"/>
                <w:sz w:val="18"/>
                <w:szCs w:val="18"/>
                <w:color w:val="auto"/>
                <w:w w:val="99"/>
              </w:rPr>
              <w:t>Voyage expenses and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1980" w:type="dxa"/>
            <w:vAlign w:val="bottom"/>
          </w:tcPr>
          <w:p>
            <w:pPr>
              <w:ind w:left="360"/>
              <w:spacing w:after="0"/>
              <w:rPr>
                <w:sz w:val="20"/>
                <w:szCs w:val="20"/>
                <w:color w:val="auto"/>
              </w:rPr>
            </w:pPr>
            <w:r>
              <w:rPr>
                <w:rFonts w:ascii="Arial" w:cs="Arial" w:eastAsia="Arial" w:hAnsi="Arial"/>
                <w:sz w:val="18"/>
                <w:szCs w:val="18"/>
                <w:color w:val="auto"/>
              </w:rPr>
              <w:t>commissions</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(2,128)</w:t>
            </w: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(2,683)</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40" w:type="dxa"/>
            <w:vAlign w:val="bottom"/>
          </w:tcPr>
          <w:p>
            <w:pPr>
              <w:spacing w:after="0"/>
              <w:rPr>
                <w:sz w:val="18"/>
                <w:szCs w:val="18"/>
                <w:color w:val="auto"/>
              </w:rPr>
            </w:pPr>
          </w:p>
        </w:tc>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Vessel operating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(65,193)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(15,351)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(32,413)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9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(55,693)</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(62,754)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(73,548)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(18,330)</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(18,375)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(36,464)</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(36,604)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1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(11,806)</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(14,920)</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(3,588)</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(4,698)</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(7,078)</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(9,381)</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980" w:type="dxa"/>
            <w:vAlign w:val="bottom"/>
          </w:tcPr>
          <w:p>
            <w:pPr>
              <w:ind w:left="180"/>
              <w:spacing w:after="0" w:line="195" w:lineRule="exact"/>
              <w:rPr>
                <w:sz w:val="20"/>
                <w:szCs w:val="20"/>
                <w:color w:val="auto"/>
              </w:rPr>
            </w:pPr>
            <w:r>
              <w:rPr>
                <w:rFonts w:ascii="Arial" w:cs="Arial" w:eastAsia="Arial" w:hAnsi="Arial"/>
                <w:sz w:val="18"/>
                <w:szCs w:val="18"/>
                <w:b w:val="1"/>
                <w:bCs w:val="1"/>
                <w:color w:val="auto"/>
              </w:rPr>
              <w:t>Profit from</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19"/>
                <w:szCs w:val="19"/>
                <w:color w:val="auto"/>
              </w:rPr>
            </w:pPr>
          </w:p>
        </w:tc>
        <w:tc>
          <w:tcPr>
            <w:tcW w:w="1980" w:type="dxa"/>
            <w:vAlign w:val="bottom"/>
          </w:tcPr>
          <w:p>
            <w:pPr>
              <w:ind w:left="360"/>
              <w:spacing w:after="0"/>
              <w:rPr>
                <w:sz w:val="20"/>
                <w:szCs w:val="20"/>
                <w:color w:val="auto"/>
              </w:rPr>
            </w:pPr>
            <w:r>
              <w:rPr>
                <w:rFonts w:ascii="Arial" w:cs="Arial" w:eastAsia="Arial" w:hAnsi="Arial"/>
                <w:sz w:val="18"/>
                <w:szCs w:val="18"/>
                <w:b w:val="1"/>
                <w:bCs w:val="1"/>
                <w:color w:val="auto"/>
              </w:rPr>
              <w:t>operations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125,107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151,359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183,100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46,185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36,617</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92,992</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79,847</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40" w:type="dxa"/>
            <w:vAlign w:val="bottom"/>
          </w:tcPr>
          <w:p>
            <w:pPr>
              <w:spacing w:after="0"/>
              <w:rPr>
                <w:sz w:val="18"/>
                <w:szCs w:val="18"/>
                <w:color w:val="auto"/>
              </w:rPr>
            </w:pPr>
          </w:p>
        </w:tc>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(35,505)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(59,318)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(14,946)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(29,066)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(30,293)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980" w:type="dxa"/>
            <w:vAlign w:val="bottom"/>
          </w:tcPr>
          <w:p>
            <w:pPr>
              <w:ind w:left="180"/>
              <w:spacing w:after="0"/>
              <w:rPr>
                <w:sz w:val="20"/>
                <w:szCs w:val="20"/>
                <w:color w:val="auto"/>
              </w:rPr>
            </w:pPr>
            <w:r>
              <w:rPr>
                <w:rFonts w:ascii="Arial" w:cs="Arial" w:eastAsia="Arial" w:hAnsi="Arial"/>
                <w:sz w:val="18"/>
                <w:szCs w:val="18"/>
                <w:color w:val="auto"/>
              </w:rPr>
              <w:t>Financial income</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1,107</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(Loss)/gain 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1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(5,895)</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7,915</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980" w:type="dxa"/>
            <w:vAlign w:val="bottom"/>
          </w:tcPr>
          <w:p>
            <w:pPr>
              <w:ind w:left="180"/>
              <w:spacing w:after="0" w:line="195" w:lineRule="exact"/>
              <w:rPr>
                <w:sz w:val="20"/>
                <w:szCs w:val="20"/>
                <w:color w:val="auto"/>
              </w:rPr>
            </w:pPr>
            <w:r>
              <w:rPr>
                <w:rFonts w:ascii="Arial" w:cs="Arial" w:eastAsia="Arial" w:hAnsi="Arial"/>
                <w:sz w:val="18"/>
                <w:szCs w:val="18"/>
                <w:b w:val="1"/>
                <w:bCs w:val="1"/>
                <w:color w:val="auto"/>
                <w:w w:val="96"/>
              </w:rPr>
              <w:t>Total other expenses,</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19"/>
                <w:szCs w:val="19"/>
                <w:color w:val="auto"/>
              </w:rPr>
            </w:pPr>
          </w:p>
        </w:tc>
        <w:tc>
          <w:tcPr>
            <w:tcW w:w="1980" w:type="dxa"/>
            <w:vAlign w:val="bottom"/>
          </w:tcPr>
          <w:p>
            <w:pPr>
              <w:ind w:left="36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(41,365)</w:t>
            </w: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(57,258)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(58,181)</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(16,985)</w:t>
            </w: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(12,776)</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(31,006)</w:t>
            </w: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(21,271)</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9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Profit for the</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year/period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83,742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94,101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124,919</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29,200</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23,841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61,986</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58,576</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9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Profit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34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980" w:type="dxa"/>
            <w:vAlign w:val="bottom"/>
          </w:tcPr>
          <w:p>
            <w:pPr>
              <w:ind w:left="360"/>
              <w:spacing w:after="0"/>
              <w:rPr>
                <w:sz w:val="20"/>
                <w:szCs w:val="20"/>
                <w:color w:val="auto"/>
              </w:rPr>
            </w:pPr>
            <w:r>
              <w:rPr>
                <w:rFonts w:ascii="Arial" w:cs="Arial" w:eastAsia="Arial" w:hAnsi="Arial"/>
                <w:sz w:val="18"/>
                <w:szCs w:val="18"/>
                <w:b w:val="1"/>
                <w:bCs w:val="1"/>
                <w:color w:val="auto"/>
              </w:rPr>
              <w:t>GasLog's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19"/>
                <w:szCs w:val="19"/>
                <w:color w:val="auto"/>
              </w:rPr>
            </w:pPr>
          </w:p>
        </w:tc>
        <w:tc>
          <w:tcPr>
            <w:tcW w:w="1980" w:type="dxa"/>
            <w:vAlign w:val="bottom"/>
          </w:tcPr>
          <w:p>
            <w:pPr>
              <w:ind w:left="360"/>
              <w:spacing w:after="0"/>
              <w:rPr>
                <w:sz w:val="20"/>
                <w:szCs w:val="20"/>
                <w:color w:val="auto"/>
              </w:rPr>
            </w:pPr>
            <w:r>
              <w:rPr>
                <w:rFonts w:ascii="Arial" w:cs="Arial" w:eastAsia="Arial" w:hAnsi="Arial"/>
                <w:sz w:val="18"/>
                <w:szCs w:val="18"/>
                <w:b w:val="1"/>
                <w:bCs w:val="1"/>
                <w:color w:val="auto"/>
              </w:rPr>
              <w:t>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18,702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16,831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30,802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9,842</w:t>
            </w: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21,606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3,673</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40" w:type="dxa"/>
            <w:vAlign w:val="bottom"/>
          </w:tcPr>
          <w:p>
            <w:pPr>
              <w:spacing w:after="0"/>
              <w:rPr>
                <w:sz w:val="18"/>
                <w:szCs w:val="18"/>
                <w:color w:val="auto"/>
              </w:rPr>
            </w:pPr>
          </w:p>
        </w:tc>
        <w:tc>
          <w:tcPr>
            <w:tcW w:w="1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Partnership's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65,040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77,270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94,117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19,358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40,380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54,903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Arial" w:cs="Arial" w:eastAsia="Arial" w:hAnsi="Arial"/>
                <w:sz w:val="18"/>
                <w:szCs w:val="18"/>
                <w:b w:val="1"/>
                <w:bCs w:val="1"/>
                <w:color w:val="auto"/>
              </w:rPr>
              <w:t>EARNINGS PER UNIT</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980" w:type="dxa"/>
            <w:vAlign w:val="bottom"/>
          </w:tcPr>
          <w:p>
            <w:pPr>
              <w:ind w:left="180"/>
              <w:spacing w:after="0"/>
              <w:rPr>
                <w:sz w:val="20"/>
                <w:szCs w:val="20"/>
                <w:color w:val="auto"/>
              </w:rPr>
            </w:pPr>
            <w:r>
              <w:rPr>
                <w:rFonts w:ascii="Arial" w:cs="Arial" w:eastAsia="Arial" w:hAnsi="Arial"/>
                <w:sz w:val="18"/>
                <w:szCs w:val="18"/>
                <w:b w:val="1"/>
                <w:bCs w:val="1"/>
                <w:color w:val="auto"/>
              </w:rPr>
              <w:t>ATTRIBUTABLE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40" w:type="dxa"/>
            <w:vAlign w:val="bottom"/>
          </w:tcPr>
          <w:p>
            <w:pPr>
              <w:spacing w:after="0"/>
              <w:rPr>
                <w:sz w:val="19"/>
                <w:szCs w:val="19"/>
                <w:color w:val="auto"/>
              </w:rPr>
            </w:pPr>
          </w:p>
        </w:tc>
        <w:tc>
          <w:tcPr>
            <w:tcW w:w="1980" w:type="dxa"/>
            <w:vAlign w:val="bottom"/>
          </w:tcPr>
          <w:p>
            <w:pPr>
              <w:ind w:left="180"/>
              <w:spacing w:after="0"/>
              <w:rPr>
                <w:sz w:val="20"/>
                <w:szCs w:val="20"/>
                <w:color w:val="auto"/>
              </w:rPr>
            </w:pPr>
            <w:r>
              <w:rPr>
                <w:rFonts w:ascii="Arial" w:cs="Arial" w:eastAsia="Arial" w:hAnsi="Arial"/>
                <w:sz w:val="18"/>
                <w:szCs w:val="18"/>
                <w:b w:val="1"/>
                <w:bCs w:val="1"/>
                <w:color w:val="auto"/>
              </w:rPr>
              <w:t>TO THE</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340" w:type="dxa"/>
            <w:vAlign w:val="bottom"/>
          </w:tcPr>
          <w:p>
            <w:pPr>
              <w:spacing w:after="0"/>
              <w:rPr>
                <w:sz w:val="23"/>
                <w:szCs w:val="23"/>
                <w:color w:val="auto"/>
              </w:rPr>
            </w:pPr>
          </w:p>
        </w:tc>
        <w:tc>
          <w:tcPr>
            <w:tcW w:w="1980" w:type="dxa"/>
            <w:vAlign w:val="bottom"/>
          </w:tcPr>
          <w:p>
            <w:pPr>
              <w:ind w:left="180"/>
              <w:spacing w:after="0" w:line="267" w:lineRule="exact"/>
              <w:rPr>
                <w:sz w:val="20"/>
                <w:szCs w:val="20"/>
                <w:color w:val="auto"/>
              </w:rPr>
            </w:pPr>
            <w:r>
              <w:rPr>
                <w:rFonts w:ascii="Arial" w:cs="Arial" w:eastAsia="Arial" w:hAnsi="Arial"/>
                <w:sz w:val="18"/>
                <w:szCs w:val="18"/>
                <w:b w:val="1"/>
                <w:bCs w:val="1"/>
                <w:color w:val="auto"/>
              </w:rPr>
              <w:t>PARTNERSHIP:</w:t>
            </w:r>
            <w:r>
              <w:rPr>
                <w:rFonts w:ascii="Arial" w:cs="Arial" w:eastAsia="Arial" w:hAnsi="Arial"/>
                <w:sz w:val="29"/>
                <w:szCs w:val="29"/>
                <w:b w:val="1"/>
                <w:bCs w:val="1"/>
                <w:color w:val="auto"/>
                <w:vertAlign w:val="superscript"/>
              </w:rPr>
              <w:t>(2)</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4"/>
                <w:szCs w:val="24"/>
                <w:color w:val="auto"/>
              </w:rPr>
            </w:pPr>
          </w:p>
        </w:tc>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units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0.99</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1980" w:type="dxa"/>
            <w:vAlign w:val="bottom"/>
          </w:tcPr>
          <w:p>
            <w:pPr>
              <w:ind w:left="180"/>
              <w:spacing w:after="0"/>
              <w:rPr>
                <w:sz w:val="20"/>
                <w:szCs w:val="20"/>
                <w:color w:val="auto"/>
              </w:rPr>
            </w:pPr>
            <w:r>
              <w:rPr>
                <w:rFonts w:ascii="Arial" w:cs="Arial" w:eastAsia="Arial" w:hAnsi="Arial"/>
                <w:sz w:val="18"/>
                <w:szCs w:val="18"/>
                <w:color w:val="auto"/>
              </w:rPr>
              <w:t>Common units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198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2.09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0.98</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1980" w:type="dxa"/>
            <w:vAlign w:val="bottom"/>
            <w:shd w:val="clear" w:color="auto" w:fill="CCEEFF"/>
          </w:tcPr>
          <w:p>
            <w:pPr>
              <w:ind w:left="180"/>
              <w:spacing w:after="0" w:line="258" w:lineRule="exact"/>
              <w:rPr>
                <w:sz w:val="20"/>
                <w:szCs w:val="20"/>
                <w:color w:val="auto"/>
              </w:rPr>
            </w:pPr>
            <w:r>
              <w:rPr>
                <w:rFonts w:ascii="Arial" w:cs="Arial" w:eastAsia="Arial" w:hAnsi="Arial"/>
                <w:sz w:val="18"/>
                <w:szCs w:val="18"/>
                <w:color w:val="auto"/>
              </w:rPr>
              <w:t>Subordinated units</w:t>
            </w:r>
            <w:r>
              <w:rPr>
                <w:rFonts w:ascii="Arial" w:cs="Arial" w:eastAsia="Arial" w:hAnsi="Arial"/>
                <w:sz w:val="29"/>
                <w:szCs w:val="29"/>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0.52</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340" w:type="dxa"/>
            <w:vAlign w:val="bottom"/>
          </w:tcPr>
          <w:p>
            <w:pPr>
              <w:spacing w:after="0"/>
              <w:rPr>
                <w:sz w:val="19"/>
                <w:szCs w:val="19"/>
                <w:color w:val="auto"/>
              </w:rPr>
            </w:pPr>
          </w:p>
        </w:tc>
        <w:tc>
          <w:tcPr>
            <w:tcW w:w="1980" w:type="dxa"/>
            <w:vAlign w:val="bottom"/>
          </w:tcPr>
          <w:p>
            <w:pPr>
              <w:ind w:left="180"/>
              <w:spacing w:after="0"/>
              <w:rPr>
                <w:sz w:val="20"/>
                <w:szCs w:val="20"/>
                <w:color w:val="auto"/>
              </w:rPr>
            </w:pPr>
            <w:r>
              <w:rPr>
                <w:rFonts w:ascii="Arial" w:cs="Arial" w:eastAsia="Arial" w:hAnsi="Arial"/>
                <w:sz w:val="18"/>
                <w:szCs w:val="18"/>
                <w:color w:val="auto"/>
              </w:rPr>
              <w:t>General partner units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2.18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0.46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72"/>
              <w:spacing w:after="0"/>
              <w:rPr>
                <w:sz w:val="20"/>
                <w:szCs w:val="20"/>
                <w:color w:val="auto"/>
              </w:rPr>
            </w:pPr>
            <w:r>
              <w:rPr>
                <w:rFonts w:ascii="Arial" w:cs="Arial" w:eastAsia="Arial" w:hAnsi="Arial"/>
                <w:sz w:val="18"/>
                <w:szCs w:val="18"/>
                <w:color w:val="auto"/>
              </w:rPr>
              <w:t>S-11</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084"/>
        </w:trPr>
        <w:tc>
          <w:tcPr>
            <w:tcW w:w="1340" w:type="dxa"/>
            <w:vAlign w:val="bottom"/>
            <w:tcBorders>
              <w:top w:val="single" w:sz="8" w:color="auto"/>
              <w:left w:val="single" w:sz="8" w:color="auto"/>
            </w:tcBorders>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Historical</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spacing w:after="0"/>
              <w:rPr>
                <w:sz w:val="24"/>
                <w:szCs w:val="24"/>
                <w:color w:val="auto"/>
              </w:rPr>
            </w:pPr>
          </w:p>
        </w:tc>
      </w:tr>
      <w:tr>
        <w:trPr>
          <w:trHeight w:val="142"/>
        </w:trPr>
        <w:tc>
          <w:tcPr>
            <w:tcW w:w="1340" w:type="dxa"/>
            <w:vAlign w:val="bottom"/>
            <w:tcBorders>
              <w:left w:val="single" w:sz="8" w:color="auto"/>
            </w:tcBorders>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8"/>
          </w:tcPr>
          <w:p>
            <w:pPr>
              <w:jc w:val="right"/>
              <w:ind w:right="532"/>
              <w:spacing w:after="0" w:line="142" w:lineRule="exact"/>
              <w:rPr>
                <w:sz w:val="20"/>
                <w:szCs w:val="20"/>
                <w:color w:val="auto"/>
              </w:rPr>
            </w:pPr>
            <w:r>
              <w:rPr>
                <w:rFonts w:ascii="Arial" w:cs="Arial" w:eastAsia="Arial" w:hAnsi="Arial"/>
                <w:sz w:val="14"/>
                <w:szCs w:val="14"/>
                <w:b w:val="1"/>
                <w:bCs w:val="1"/>
                <w:color w:val="auto"/>
                <w:w w:val="87"/>
              </w:rPr>
              <w:t>As of December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right"/>
              <w:ind w:right="495"/>
              <w:spacing w:after="0" w:line="142" w:lineRule="exact"/>
              <w:rPr>
                <w:sz w:val="20"/>
                <w:szCs w:val="20"/>
                <w:color w:val="auto"/>
              </w:rPr>
            </w:pPr>
            <w:r>
              <w:rPr>
                <w:rFonts w:ascii="Arial" w:cs="Arial" w:eastAsia="Arial" w:hAnsi="Arial"/>
                <w:sz w:val="14"/>
                <w:szCs w:val="14"/>
                <w:b w:val="1"/>
                <w:bCs w:val="1"/>
                <w:color w:val="auto"/>
              </w:rPr>
              <w:t>As of June 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r>
      <w:tr>
        <w:trPr>
          <w:trHeight w:val="142"/>
        </w:trPr>
        <w:tc>
          <w:tcPr>
            <w:tcW w:w="1340" w:type="dxa"/>
            <w:vAlign w:val="bottom"/>
            <w:tcBorders>
              <w:left w:val="single" w:sz="8" w:color="auto"/>
            </w:tcBorders>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256"/>
              <w:spacing w:after="0" w:line="142" w:lineRule="exact"/>
              <w:rPr>
                <w:sz w:val="20"/>
                <w:szCs w:val="20"/>
                <w:color w:val="auto"/>
              </w:rPr>
            </w:pPr>
            <w:r>
              <w:rPr>
                <w:rFonts w:ascii="Arial" w:cs="Arial" w:eastAsia="Arial" w:hAnsi="Arial"/>
                <w:sz w:val="14"/>
                <w:szCs w:val="14"/>
                <w:b w:val="1"/>
                <w:bCs w:val="1"/>
                <w:color w:val="auto"/>
                <w:w w:val="83"/>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24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r>
      <w:tr>
        <w:trPr>
          <w:trHeight w:val="169"/>
        </w:trPr>
        <w:tc>
          <w:tcPr>
            <w:tcW w:w="1340" w:type="dxa"/>
            <w:vAlign w:val="bottom"/>
            <w:tcBorders>
              <w:left w:val="single" w:sz="8" w:color="auto"/>
            </w:tcBorders>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Borders>
              <w:bottom w:val="single" w:sz="8" w:color="auto"/>
            </w:tcBorders>
            <w:gridSpan w:val="4"/>
          </w:tcPr>
          <w:p>
            <w:pPr>
              <w:jc w:val="center"/>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auto"/>
            </w:tcBorders>
            <w:gridSpan w:val="4"/>
          </w:tcPr>
          <w:p>
            <w:pPr>
              <w:ind w:left="160"/>
              <w:spacing w:after="0" w:line="169"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right"/>
              <w:ind w:right="61"/>
              <w:spacing w:after="0" w:line="169" w:lineRule="exact"/>
              <w:rPr>
                <w:sz w:val="20"/>
                <w:szCs w:val="20"/>
                <w:color w:val="auto"/>
              </w:rPr>
            </w:pPr>
            <w:r>
              <w:rPr>
                <w:rFonts w:ascii="Arial" w:cs="Arial" w:eastAsia="Arial" w:hAnsi="Arial"/>
                <w:sz w:val="12"/>
                <w:szCs w:val="12"/>
                <w:b w:val="1"/>
                <w:bCs w:val="1"/>
                <w:color w:val="auto"/>
                <w:w w:val="99"/>
              </w:rPr>
              <w:t>Restated</w:t>
            </w:r>
            <w:r>
              <w:rPr>
                <w:rFonts w:ascii="Arial" w:cs="Arial" w:eastAsia="Arial" w:hAnsi="Arial"/>
                <w:sz w:val="19"/>
                <w:szCs w:val="19"/>
                <w:b w:val="1"/>
                <w:bCs w:val="1"/>
                <w:color w:val="auto"/>
                <w:w w:val="99"/>
                <w:vertAlign w:val="superscript"/>
              </w:rPr>
              <w:t>(1)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r>
      <w:tr>
        <w:trPr>
          <w:trHeight w:val="142"/>
        </w:trPr>
        <w:tc>
          <w:tcPr>
            <w:tcW w:w="1340" w:type="dxa"/>
            <w:vAlign w:val="bottom"/>
            <w:tcBorders>
              <w:left w:val="single" w:sz="8" w:color="auto"/>
            </w:tcBorders>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of</w:t>
            </w:r>
          </w:p>
        </w:tc>
        <w:tc>
          <w:tcPr>
            <w:tcW w:w="920" w:type="dxa"/>
            <w:vAlign w:val="bottom"/>
            <w:gridSpan w:val="5"/>
          </w:tcPr>
          <w:p>
            <w:pPr>
              <w:jc w:val="right"/>
              <w:ind w:right="81"/>
              <w:spacing w:after="0" w:line="142" w:lineRule="exact"/>
              <w:rPr>
                <w:sz w:val="20"/>
                <w:szCs w:val="20"/>
                <w:color w:val="auto"/>
              </w:rPr>
            </w:pPr>
            <w:r>
              <w:rPr>
                <w:rFonts w:ascii="Arial" w:cs="Arial" w:eastAsia="Arial" w:hAnsi="Arial"/>
                <w:sz w:val="14"/>
                <w:szCs w:val="14"/>
                <w:b w:val="1"/>
                <w:bCs w:val="1"/>
                <w:color w:val="auto"/>
                <w:w w:val="90"/>
              </w:rPr>
              <w:t>U.S. dollars)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STATEMENT OF FINANCIAL POSITION DATA:</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6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66,743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59,875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82"/>
              </w:rPr>
              <w:t>146,721</w:t>
            </w:r>
          </w:p>
        </w:tc>
        <w:tc>
          <w:tcPr>
            <w:tcW w:w="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134,686</w:t>
            </w:r>
          </w:p>
        </w:tc>
        <w:tc>
          <w:tcPr>
            <w:tcW w:w="1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13,000</w:t>
            </w:r>
          </w:p>
        </w:tc>
        <w:tc>
          <w:tcPr>
            <w:tcW w:w="140" w:type="dxa"/>
            <w:vAlign w:val="bottom"/>
            <w:shd w:val="clear" w:color="auto" w:fill="CCEEFF"/>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Vessels</w:t>
            </w:r>
          </w:p>
        </w:tc>
        <w:tc>
          <w:tcPr>
            <w:tcW w:w="100" w:type="dxa"/>
            <w:vAlign w:val="bottom"/>
          </w:tcPr>
          <w:p>
            <w:pPr>
              <w:spacing w:after="0"/>
              <w:rPr>
                <w:sz w:val="18"/>
                <w:szCs w:val="18"/>
                <w:color w:val="auto"/>
              </w:rPr>
            </w:pP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auto"/>
              </w:rPr>
              <w:t>1,658,298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4"/>
          </w:tcPr>
          <w:p>
            <w:pPr>
              <w:jc w:val="right"/>
              <w:ind w:right="92"/>
              <w:spacing w:after="0"/>
              <w:rPr>
                <w:sz w:val="20"/>
                <w:szCs w:val="20"/>
                <w:color w:val="auto"/>
              </w:rPr>
            </w:pPr>
            <w:r>
              <w:rPr>
                <w:rFonts w:ascii="Arial" w:cs="Arial" w:eastAsia="Arial" w:hAnsi="Arial"/>
                <w:sz w:val="18"/>
                <w:szCs w:val="18"/>
                <w:color w:val="auto"/>
                <w:w w:val="92"/>
              </w:rPr>
              <w:t>2,217,634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w w:val="84"/>
              </w:rPr>
              <w:t>2,149,751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2,141,529</w:t>
            </w:r>
          </w:p>
        </w:tc>
        <w:tc>
          <w:tcPr>
            <w:tcW w:w="1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Vessels under construction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105,558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auto"/>
              </w:rPr>
              <w:t>1,850,734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4"/>
          </w:tcPr>
          <w:p>
            <w:pPr>
              <w:jc w:val="right"/>
              <w:ind w:right="92"/>
              <w:spacing w:after="0"/>
              <w:rPr>
                <w:sz w:val="20"/>
                <w:szCs w:val="20"/>
                <w:color w:val="auto"/>
              </w:rPr>
            </w:pPr>
            <w:r>
              <w:rPr>
                <w:rFonts w:ascii="Arial" w:cs="Arial" w:eastAsia="Arial" w:hAnsi="Arial"/>
                <w:sz w:val="18"/>
                <w:szCs w:val="18"/>
                <w:color w:val="auto"/>
                <w:w w:val="92"/>
              </w:rPr>
              <w:t>2,301,826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w w:val="84"/>
              </w:rPr>
              <w:t>2,314,990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2,313,630</w:t>
            </w:r>
          </w:p>
        </w:tc>
        <w:tc>
          <w:tcPr>
            <w:tcW w:w="1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Borrowings—current portion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340,378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84,587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114,570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84,961</w:t>
            </w:r>
          </w:p>
        </w:tc>
        <w:tc>
          <w:tcPr>
            <w:tcW w:w="140" w:type="dxa"/>
            <w:vAlign w:val="bottom"/>
            <w:shd w:val="clear" w:color="auto" w:fill="CCEEFF"/>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Borrowings—non-current portion</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653,768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4"/>
          </w:tcPr>
          <w:p>
            <w:pPr>
              <w:jc w:val="right"/>
              <w:ind w:right="92"/>
              <w:spacing w:after="0"/>
              <w:rPr>
                <w:sz w:val="20"/>
                <w:szCs w:val="20"/>
                <w:color w:val="auto"/>
              </w:rPr>
            </w:pPr>
            <w:r>
              <w:rPr>
                <w:rFonts w:ascii="Arial" w:cs="Arial" w:eastAsia="Arial" w:hAnsi="Arial"/>
                <w:sz w:val="18"/>
                <w:szCs w:val="18"/>
                <w:color w:val="auto"/>
                <w:w w:val="92"/>
              </w:rPr>
              <w:t>1,315,849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w w:val="84"/>
              </w:rPr>
              <w:t>1,185,995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1,099,482</w:t>
            </w:r>
          </w:p>
        </w:tc>
        <w:tc>
          <w:tcPr>
            <w:tcW w:w="1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772,366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839,306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963,508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1,058,272</w:t>
            </w:r>
          </w:p>
        </w:tc>
        <w:tc>
          <w:tcPr>
            <w:tcW w:w="140" w:type="dxa"/>
            <w:vAlign w:val="bottom"/>
            <w:shd w:val="clear" w:color="auto" w:fill="CCEEFF"/>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784"/>
        </w:trPr>
        <w:tc>
          <w:tcPr>
            <w:tcW w:w="1340" w:type="dxa"/>
            <w:vAlign w:val="bottom"/>
            <w:tcBorders>
              <w:left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tcBorders>
              <w:right w:val="single" w:sz="8" w:color="auto"/>
            </w:tcBorders>
            <w:gridSpan w:val="8"/>
          </w:tcPr>
          <w:p>
            <w:pPr>
              <w:jc w:val="center"/>
              <w:ind w:right="1560"/>
              <w:spacing w:after="0"/>
              <w:rPr>
                <w:sz w:val="20"/>
                <w:szCs w:val="20"/>
                <w:color w:val="auto"/>
              </w:rPr>
            </w:pPr>
            <w:r>
              <w:rPr>
                <w:rFonts w:ascii="Arial" w:cs="Arial" w:eastAsia="Arial" w:hAnsi="Arial"/>
                <w:sz w:val="14"/>
                <w:szCs w:val="14"/>
                <w:b w:val="1"/>
                <w:bCs w:val="1"/>
                <w:color w:val="auto"/>
                <w:w w:val="88"/>
              </w:rPr>
              <w:t>Six Months</w:t>
            </w:r>
          </w:p>
        </w:tc>
      </w:tr>
      <w:tr>
        <w:trPr>
          <w:trHeight w:val="161"/>
        </w:trPr>
        <w:tc>
          <w:tcPr>
            <w:tcW w:w="1340" w:type="dxa"/>
            <w:vAlign w:val="bottom"/>
            <w:tcBorders>
              <w:left w:val="single" w:sz="8" w:color="auto"/>
            </w:tcBorders>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60" w:type="dxa"/>
            <w:vAlign w:val="bottom"/>
            <w:gridSpan w:val="11"/>
          </w:tcPr>
          <w:p>
            <w:pPr>
              <w:jc w:val="center"/>
              <w:ind w:right="432"/>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tcBorders>
              <w:right w:val="single" w:sz="8" w:color="auto"/>
            </w:tcBorders>
            <w:gridSpan w:val="8"/>
          </w:tcPr>
          <w:p>
            <w:pPr>
              <w:jc w:val="center"/>
              <w:ind w:right="1560"/>
              <w:spacing w:after="0"/>
              <w:rPr>
                <w:sz w:val="20"/>
                <w:szCs w:val="20"/>
                <w:color w:val="auto"/>
              </w:rPr>
            </w:pPr>
            <w:r>
              <w:rPr>
                <w:rFonts w:ascii="Arial" w:cs="Arial" w:eastAsia="Arial" w:hAnsi="Arial"/>
                <w:sz w:val="14"/>
                <w:szCs w:val="14"/>
                <w:b w:val="1"/>
                <w:bCs w:val="1"/>
                <w:color w:val="auto"/>
                <w:w w:val="87"/>
              </w:rPr>
              <w:t>Ended June 30,</w:t>
            </w:r>
          </w:p>
        </w:tc>
      </w:tr>
      <w:tr>
        <w:trPr>
          <w:trHeight w:val="142"/>
        </w:trPr>
        <w:tc>
          <w:tcPr>
            <w:tcW w:w="1340" w:type="dxa"/>
            <w:vAlign w:val="bottom"/>
            <w:tcBorders>
              <w:left w:val="single" w:sz="8" w:color="auto"/>
            </w:tcBorders>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4"/>
          </w:tcPr>
          <w:p>
            <w:pPr>
              <w:jc w:val="center"/>
              <w:ind w:left="156"/>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r>
      <w:tr>
        <w:trPr>
          <w:trHeight w:val="169"/>
        </w:trPr>
        <w:tc>
          <w:tcPr>
            <w:tcW w:w="1340" w:type="dxa"/>
            <w:vAlign w:val="bottom"/>
            <w:tcBorders>
              <w:left w:val="single" w:sz="8" w:color="auto"/>
            </w:tcBorders>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gridSpan w:val="2"/>
          </w:tcPr>
          <w:p>
            <w:pPr>
              <w:jc w:val="center"/>
              <w:ind w:right="36"/>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gridSpan w:val="4"/>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ind w:right="80"/>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r>
      <w:tr>
        <w:trPr>
          <w:trHeight w:val="142"/>
        </w:trPr>
        <w:tc>
          <w:tcPr>
            <w:tcW w:w="1340" w:type="dxa"/>
            <w:vAlign w:val="bottom"/>
            <w:tcBorders>
              <w:left w:val="single" w:sz="8" w:color="auto"/>
            </w:tcBorders>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81"/>
              </w:rPr>
              <w:t>(in</w:t>
            </w:r>
          </w:p>
        </w:tc>
        <w:tc>
          <w:tcPr>
            <w:tcW w:w="10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83"/>
              </w:rPr>
              <w:t>thousands of U.S.</w:t>
            </w:r>
          </w:p>
        </w:tc>
        <w:tc>
          <w:tcPr>
            <w:tcW w:w="98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w w:val="78"/>
              </w:rPr>
              <w:t>dollars)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tcBorders>
              <w:left w:val="single" w:sz="8" w:color="CCEEFF"/>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136,975</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  203,815</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ind w:right="59"/>
              <w:spacing w:after="0"/>
              <w:rPr>
                <w:sz w:val="20"/>
                <w:szCs w:val="20"/>
                <w:color w:val="auto"/>
              </w:rPr>
            </w:pPr>
            <w:r>
              <w:rPr>
                <w:rFonts w:ascii="Arial" w:cs="Arial" w:eastAsia="Arial" w:hAnsi="Arial"/>
                <w:sz w:val="18"/>
                <w:szCs w:val="18"/>
                <w:color w:val="auto"/>
              </w:rPr>
              <w:t>191,205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93,777</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  97,889</w:t>
            </w:r>
          </w:p>
        </w:tc>
        <w:tc>
          <w:tcPr>
            <w:tcW w:w="134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5"/>
              </w:rPr>
              <w:t>Net cash (used in)/provided by investing activities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13,722</w:t>
            </w:r>
          </w:p>
        </w:tc>
        <w:tc>
          <w:tcPr>
            <w:tcW w:w="1080" w:type="dxa"/>
            <w:vAlign w:val="bottom"/>
            <w:gridSpan w:val="6"/>
            <w:shd w:val="clear" w:color="auto" w:fill="CCEEFF"/>
          </w:tcPr>
          <w:p>
            <w:pPr>
              <w:jc w:val="right"/>
              <w:ind w:right="21"/>
              <w:spacing w:after="0"/>
              <w:rPr>
                <w:sz w:val="20"/>
                <w:szCs w:val="20"/>
                <w:color w:val="auto"/>
              </w:rPr>
            </w:pPr>
            <w:r>
              <w:rPr>
                <w:rFonts w:ascii="Arial" w:cs="Arial" w:eastAsia="Arial" w:hAnsi="Arial"/>
                <w:sz w:val="18"/>
                <w:szCs w:val="18"/>
                <w:color w:val="auto"/>
              </w:rPr>
              <w:t>(506,878)</w:t>
            </w: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59"/>
              <w:spacing w:after="0"/>
              <w:rPr>
                <w:sz w:val="20"/>
                <w:szCs w:val="20"/>
                <w:color w:val="auto"/>
              </w:rPr>
            </w:pPr>
            <w:r>
              <w:rPr>
                <w:rFonts w:ascii="Arial" w:cs="Arial" w:eastAsia="Arial" w:hAnsi="Arial"/>
                <w:sz w:val="18"/>
                <w:szCs w:val="18"/>
                <w:color w:val="auto"/>
              </w:rPr>
              <w:t>3,336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7,174</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(25,662)</w:t>
            </w:r>
          </w:p>
        </w:tc>
        <w:tc>
          <w:tcPr>
            <w:tcW w:w="1340" w:type="dxa"/>
            <w:vAlign w:val="bottom"/>
            <w:tcBorders>
              <w:left w:val="single" w:sz="8" w:color="CCEEFF"/>
              <w:right w:val="single" w:sz="8" w:color="auto"/>
            </w:tcBorders>
          </w:tcPr>
          <w:p>
            <w:pPr>
              <w:spacing w:after="0"/>
              <w:rPr>
                <w:sz w:val="18"/>
                <w:szCs w:val="18"/>
                <w:color w:val="auto"/>
              </w:rPr>
            </w:pPr>
          </w:p>
        </w:tc>
      </w:tr>
      <w:tr>
        <w:trPr>
          <w:trHeight w:val="222"/>
        </w:trPr>
        <w:tc>
          <w:tcPr>
            <w:tcW w:w="1340" w:type="dxa"/>
            <w:vAlign w:val="bottom"/>
            <w:tcBorders>
              <w:left w:val="single" w:sz="8" w:color="auto"/>
            </w:tcBorders>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5"/>
              </w:rPr>
              <w:t>Net cash provided by/(used in) financing activities</w:t>
            </w:r>
          </w:p>
        </w:tc>
        <w:tc>
          <w:tcPr>
            <w:tcW w:w="1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(136,267)</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296,195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(107,695)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60,594</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(84,262)</w:t>
            </w:r>
          </w:p>
        </w:tc>
        <w:tc>
          <w:tcPr>
            <w:tcW w:w="1340" w:type="dxa"/>
            <w:vAlign w:val="bottom"/>
            <w:tcBorders>
              <w:right w:val="single" w:sz="8" w:color="auto"/>
            </w:tcBorders>
          </w:tcPr>
          <w:p>
            <w:pPr>
              <w:spacing w:after="0"/>
              <w:rPr>
                <w:sz w:val="19"/>
                <w:szCs w:val="19"/>
                <w:color w:val="auto"/>
              </w:rPr>
            </w:pPr>
          </w:p>
        </w:tc>
      </w:tr>
      <w:tr>
        <w:trPr>
          <w:trHeight w:val="220"/>
        </w:trPr>
        <w:tc>
          <w:tcPr>
            <w:tcW w:w="1340" w:type="dxa"/>
            <w:vAlign w:val="bottom"/>
            <w:tcBorders>
              <w:left w:val="single" w:sz="8" w:color="auto"/>
              <w:bottom w:val="single" w:sz="8" w:color="auto"/>
            </w:tcBorders>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S-12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-3157220</wp:posOffset>
            </wp:positionV>
            <wp:extent cx="555688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56885" cy="13716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-2882900</wp:posOffset>
            </wp:positionV>
            <wp:extent cx="555688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56885" cy="13716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-2608580</wp:posOffset>
            </wp:positionV>
            <wp:extent cx="555688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56885" cy="13716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-2334260</wp:posOffset>
            </wp:positionV>
            <wp:extent cx="555688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56885" cy="13716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-996315</wp:posOffset>
            </wp:positionV>
            <wp:extent cx="557403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74030" cy="13716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-721995</wp:posOffset>
            </wp:positionV>
            <wp:extent cx="557403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4030" cy="13716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674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1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left="403"/>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1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6"/>
              </w:rPr>
              <w:t>Year Ended December 31,</w:t>
            </w:r>
          </w:p>
        </w:tc>
        <w:tc>
          <w:tcPr>
            <w:tcW w:w="1060" w:type="dxa"/>
            <w:vAlign w:val="bottom"/>
            <w:gridSpan w:val="3"/>
          </w:tcPr>
          <w:p>
            <w:pPr>
              <w:jc w:val="center"/>
              <w:ind w:left="383"/>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left="402"/>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1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2"/>
                <w:szCs w:val="12"/>
                <w:color w:val="auto"/>
              </w:rPr>
            </w:pPr>
          </w:p>
        </w:tc>
      </w:tr>
      <w:tr>
        <w:trPr>
          <w:trHeight w:val="169"/>
        </w:trPr>
        <w:tc>
          <w:tcPr>
            <w:tcW w:w="1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Borders>
              <w:bottom w:val="single" w:sz="8" w:color="auto"/>
            </w:tcBorders>
          </w:tcPr>
          <w:p>
            <w:pPr>
              <w:jc w:val="right"/>
              <w:ind w:right="21"/>
              <w:spacing w:after="0" w:line="169"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23"/>
              <w:spacing w:after="0" w:line="169"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FLEET DATA*:</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8"/>
        </w:trPr>
        <w:tc>
          <w:tcPr>
            <w:tcW w:w="2480" w:type="dxa"/>
            <w:vAlign w:val="bottom"/>
            <w:gridSpan w:val="2"/>
          </w:tcPr>
          <w:p>
            <w:pPr>
              <w:spacing w:after="0"/>
              <w:rPr>
                <w:sz w:val="20"/>
                <w:szCs w:val="20"/>
                <w:color w:val="auto"/>
              </w:rPr>
            </w:pPr>
            <w:r>
              <w:rPr>
                <w:rFonts w:ascii="Arial" w:cs="Arial" w:eastAsia="Arial" w:hAnsi="Arial"/>
                <w:sz w:val="18"/>
                <w:szCs w:val="18"/>
                <w:color w:val="auto"/>
                <w:w w:val="99"/>
              </w:rPr>
              <w:t>Number of LNG carriers at end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2480" w:type="dxa"/>
            <w:vAlign w:val="bottom"/>
            <w:gridSpan w:val="2"/>
          </w:tcPr>
          <w:p>
            <w:pPr>
              <w:ind w:left="180"/>
              <w:spacing w:after="0"/>
              <w:rPr>
                <w:sz w:val="20"/>
                <w:szCs w:val="20"/>
                <w:color w:val="auto"/>
              </w:rPr>
            </w:pPr>
            <w:r>
              <w:rPr>
                <w:rFonts w:ascii="Arial" w:cs="Arial" w:eastAsia="Arial" w:hAnsi="Arial"/>
                <w:sz w:val="18"/>
                <w:szCs w:val="18"/>
                <w:color w:val="auto"/>
              </w:rPr>
              <w:t>of period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r>
      <w:tr>
        <w:trPr>
          <w:trHeight w:val="209"/>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number of LNG</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carriers during period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r>
      <w:tr>
        <w:trPr>
          <w:trHeight w:val="208"/>
        </w:trPr>
        <w:tc>
          <w:tcPr>
            <w:tcW w:w="2480" w:type="dxa"/>
            <w:vAlign w:val="bottom"/>
            <w:gridSpan w:val="2"/>
          </w:tcPr>
          <w:p>
            <w:pPr>
              <w:spacing w:after="0"/>
              <w:rPr>
                <w:sz w:val="20"/>
                <w:szCs w:val="20"/>
                <w:color w:val="auto"/>
              </w:rPr>
            </w:pPr>
            <w:r>
              <w:rPr>
                <w:rFonts w:ascii="Arial" w:cs="Arial" w:eastAsia="Arial" w:hAnsi="Arial"/>
                <w:sz w:val="18"/>
                <w:szCs w:val="18"/>
                <w:color w:val="auto"/>
              </w:rPr>
              <w:t>Average age of LNG carriers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2480" w:type="dxa"/>
            <w:vAlign w:val="bottom"/>
            <w:gridSpan w:val="2"/>
          </w:tcPr>
          <w:p>
            <w:pPr>
              <w:ind w:left="180"/>
              <w:spacing w:after="0"/>
              <w:rPr>
                <w:sz w:val="20"/>
                <w:szCs w:val="20"/>
                <w:color w:val="auto"/>
              </w:rPr>
            </w:pPr>
            <w:r>
              <w:rPr>
                <w:rFonts w:ascii="Arial" w:cs="Arial" w:eastAsia="Arial" w:hAnsi="Arial"/>
                <w:sz w:val="18"/>
                <w:szCs w:val="18"/>
                <w:color w:val="auto"/>
              </w:rPr>
              <w:t>(years)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r>
      <w:tr>
        <w:trPr>
          <w:trHeight w:val="209"/>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calendar days of fleet for</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the period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1,183</w:t>
            </w:r>
          </w:p>
        </w:tc>
        <w:tc>
          <w:tcPr>
            <w:tcW w:w="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1,183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2,353</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2,353</w:t>
            </w:r>
          </w:p>
        </w:tc>
      </w:tr>
      <w:tr>
        <w:trPr>
          <w:trHeight w:val="209"/>
        </w:trPr>
        <w:tc>
          <w:tcPr>
            <w:tcW w:w="2480" w:type="dxa"/>
            <w:vAlign w:val="bottom"/>
            <w:gridSpan w:val="2"/>
          </w:tcPr>
          <w:p>
            <w:pPr>
              <w:spacing w:after="0"/>
              <w:rPr>
                <w:sz w:val="20"/>
                <w:szCs w:val="20"/>
                <w:color w:val="auto"/>
              </w:rPr>
            </w:pPr>
            <w:r>
              <w:rPr>
                <w:rFonts w:ascii="Arial" w:cs="Arial" w:eastAsia="Arial" w:hAnsi="Arial"/>
                <w:sz w:val="18"/>
                <w:szCs w:val="18"/>
                <w:color w:val="auto"/>
                <w:w w:val="99"/>
              </w:rPr>
              <w:t>Total operating days of fleet for</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72"/>
        </w:trPr>
        <w:tc>
          <w:tcPr>
            <w:tcW w:w="15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the period</w:t>
            </w:r>
            <w:r>
              <w:rPr>
                <w:rFonts w:ascii="Arial" w:cs="Arial" w:eastAsia="Arial" w:hAnsi="Arial"/>
                <w:sz w:val="29"/>
                <w:szCs w:val="29"/>
                <w:color w:val="auto"/>
                <w:vertAlign w:val="superscript"/>
              </w:rPr>
              <w:t>(4)</w:t>
            </w:r>
          </w:p>
        </w:tc>
        <w:tc>
          <w:tcPr>
            <w:tcW w:w="9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3,585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4,045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4,745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1,183</w:t>
            </w:r>
          </w:p>
        </w:tc>
        <w:tc>
          <w:tcPr>
            <w:tcW w:w="6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1,098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2,353</w:t>
            </w:r>
          </w:p>
        </w:tc>
        <w:tc>
          <w:tcPr>
            <w:tcW w:w="8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2,266</w:t>
            </w:r>
          </w:p>
        </w:tc>
      </w:tr>
    </w:tbl>
    <w:p>
      <w:pPr>
        <w:spacing w:after="0" w:line="192" w:lineRule="exact"/>
        <w:rPr>
          <w:sz w:val="20"/>
          <w:szCs w:val="20"/>
          <w:color w:val="auto"/>
        </w:rPr>
      </w:pPr>
    </w:p>
    <w:p>
      <w:pPr>
        <w:ind w:left="1880" w:hanging="544"/>
        <w:spacing w:after="0"/>
        <w:tabs>
          <w:tab w:leader="none" w:pos="1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Fleet Data above is calculated consistent with our IFRS Common Control Reported Results.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4"/>
                <w:szCs w:val="14"/>
                <w:color w:val="auto"/>
              </w:rPr>
            </w:pPr>
          </w:p>
        </w:tc>
        <w:tc>
          <w:tcPr>
            <w:tcW w:w="106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6"/>
              <w:spacing w:after="0"/>
              <w:rPr>
                <w:sz w:val="20"/>
                <w:szCs w:val="20"/>
                <w:color w:val="auto"/>
              </w:rPr>
            </w:pPr>
            <w:r>
              <w:rPr>
                <w:rFonts w:ascii="Arial" w:cs="Arial" w:eastAsia="Arial" w:hAnsi="Arial"/>
                <w:sz w:val="14"/>
                <w:szCs w:val="14"/>
                <w:b w:val="1"/>
                <w:bCs w:val="1"/>
                <w:color w:val="auto"/>
                <w:w w:val="85"/>
              </w:rPr>
              <w:t>June 30,</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r>
      <w:tr>
        <w:trPr>
          <w:trHeight w:val="169"/>
        </w:trPr>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6"/>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6"/>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FINANCIAL DATA:</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76"/>
        </w:trPr>
        <w:tc>
          <w:tcPr>
            <w:tcW w:w="2200" w:type="dxa"/>
            <w:vAlign w:val="bottom"/>
          </w:tcPr>
          <w:p>
            <w:pPr>
              <w:ind w:left="140"/>
              <w:spacing w:after="0" w:line="176" w:lineRule="exact"/>
              <w:rPr>
                <w:sz w:val="20"/>
                <w:szCs w:val="20"/>
                <w:color w:val="auto"/>
              </w:rPr>
            </w:pPr>
            <w:r>
              <w:rPr>
                <w:rFonts w:ascii="Arial" w:cs="Arial" w:eastAsia="Arial" w:hAnsi="Arial"/>
                <w:sz w:val="13"/>
                <w:szCs w:val="13"/>
                <w:color w:val="auto"/>
              </w:rPr>
              <w:t>EBITDA</w:t>
            </w:r>
            <w:r>
              <w:rPr>
                <w:rFonts w:ascii="Arial" w:cs="Arial" w:eastAsia="Arial" w:hAnsi="Arial"/>
                <w:sz w:val="20"/>
                <w:szCs w:val="20"/>
                <w:color w:val="auto"/>
                <w:vertAlign w:val="superscript"/>
              </w:rPr>
              <w:t>(5)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180,800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214,113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256,648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64,515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54,992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129,456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116,451</w:t>
            </w:r>
          </w:p>
        </w:tc>
      </w:tr>
      <w:tr>
        <w:trPr>
          <w:trHeight w:val="149"/>
        </w:trPr>
        <w:tc>
          <w:tcPr>
            <w:tcW w:w="22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Capital expenditures: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38"/>
        </w:trPr>
        <w:tc>
          <w:tcPr>
            <w:tcW w:w="2200" w:type="dxa"/>
            <w:vAlign w:val="bottom"/>
          </w:tcPr>
          <w:p>
            <w:pPr>
              <w:ind w:left="280"/>
              <w:spacing w:after="0" w:line="138" w:lineRule="exact"/>
              <w:rPr>
                <w:sz w:val="20"/>
                <w:szCs w:val="20"/>
                <w:color w:val="auto"/>
              </w:rPr>
            </w:pPr>
            <w:r>
              <w:rPr>
                <w:rFonts w:ascii="Arial" w:cs="Arial" w:eastAsia="Arial" w:hAnsi="Arial"/>
                <w:sz w:val="14"/>
                <w:szCs w:val="14"/>
                <w:color w:val="auto"/>
                <w:w w:val="96"/>
              </w:rPr>
              <w:t>Payment for vessels and vessel</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59"/>
        </w:trPr>
        <w:tc>
          <w:tcPr>
            <w:tcW w:w="2200" w:type="dxa"/>
            <w:vAlign w:val="bottom"/>
          </w:tcPr>
          <w:p>
            <w:pPr>
              <w:ind w:left="420"/>
              <w:spacing w:after="0" w:line="159" w:lineRule="exact"/>
              <w:rPr>
                <w:sz w:val="20"/>
                <w:szCs w:val="20"/>
                <w:color w:val="auto"/>
              </w:rPr>
            </w:pPr>
            <w:r>
              <w:rPr>
                <w:rFonts w:ascii="Arial" w:cs="Arial" w:eastAsia="Arial" w:hAnsi="Arial"/>
                <w:sz w:val="14"/>
                <w:szCs w:val="14"/>
                <w:color w:val="auto"/>
              </w:rPr>
              <w:t>additions</w:t>
            </w:r>
          </w:p>
        </w:tc>
        <w:tc>
          <w:tcPr>
            <w:tcW w:w="80" w:type="dxa"/>
            <w:vAlign w:val="bottom"/>
          </w:tcPr>
          <w:p>
            <w:pPr>
              <w:spacing w:after="0"/>
              <w:rPr>
                <w:sz w:val="13"/>
                <w:szCs w:val="13"/>
                <w:color w:val="auto"/>
              </w:rPr>
            </w:pP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8,025</w:t>
            </w:r>
          </w:p>
        </w:tc>
        <w:tc>
          <w:tcPr>
            <w:tcW w:w="80" w:type="dxa"/>
            <w:vAlign w:val="bottom"/>
          </w:tcPr>
          <w:p>
            <w:pPr>
              <w:spacing w:after="0"/>
              <w:rPr>
                <w:sz w:val="13"/>
                <w:szCs w:val="13"/>
                <w:color w:val="auto"/>
              </w:rPr>
            </w:pP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501,080</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4,765</w:t>
            </w:r>
          </w:p>
        </w:tc>
        <w:tc>
          <w:tcPr>
            <w:tcW w:w="80" w:type="dxa"/>
            <w:vAlign w:val="bottom"/>
          </w:tcPr>
          <w:p>
            <w:pPr>
              <w:spacing w:after="0"/>
              <w:rPr>
                <w:sz w:val="13"/>
                <w:szCs w:val="13"/>
                <w:color w:val="auto"/>
              </w:rPr>
            </w:pPr>
          </w:p>
        </w:tc>
        <w:tc>
          <w:tcPr>
            <w:tcW w:w="9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6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5,349</w:t>
            </w:r>
          </w:p>
        </w:tc>
        <w:tc>
          <w:tcPr>
            <w:tcW w:w="100" w:type="dxa"/>
            <w:vAlign w:val="bottom"/>
          </w:tcPr>
          <w:p>
            <w:pPr>
              <w:spacing w:after="0"/>
              <w:rPr>
                <w:sz w:val="13"/>
                <w:szCs w:val="13"/>
                <w:color w:val="auto"/>
              </w:rPr>
            </w:pPr>
          </w:p>
        </w:tc>
        <w:tc>
          <w:tcPr>
            <w:tcW w:w="9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700</w:t>
            </w:r>
          </w:p>
        </w:tc>
        <w:tc>
          <w:tcPr>
            <w:tcW w:w="120" w:type="dxa"/>
            <w:vAlign w:val="bottom"/>
          </w:tcPr>
          <w:p>
            <w:pPr>
              <w:spacing w:after="0"/>
              <w:rPr>
                <w:sz w:val="13"/>
                <w:szCs w:val="13"/>
                <w:color w:val="auto"/>
              </w:rPr>
            </w:pPr>
          </w:p>
        </w:tc>
        <w:tc>
          <w:tcPr>
            <w:tcW w:w="7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13,590</w:t>
            </w:r>
          </w:p>
        </w:tc>
      </w:tr>
      <w:tr>
        <w:trPr>
          <w:trHeight w:val="176"/>
        </w:trPr>
        <w:tc>
          <w:tcPr>
            <w:tcW w:w="2200" w:type="dxa"/>
            <w:vAlign w:val="bottom"/>
            <w:shd w:val="clear" w:color="auto" w:fill="CCEEFF"/>
          </w:tcPr>
          <w:p>
            <w:pPr>
              <w:ind w:left="280"/>
              <w:spacing w:after="0" w:line="176" w:lineRule="exact"/>
              <w:rPr>
                <w:sz w:val="20"/>
                <w:szCs w:val="20"/>
                <w:color w:val="auto"/>
              </w:rPr>
            </w:pPr>
            <w:r>
              <w:rPr>
                <w:rFonts w:ascii="Arial" w:cs="Arial" w:eastAsia="Arial" w:hAnsi="Arial"/>
                <w:sz w:val="13"/>
                <w:szCs w:val="13"/>
                <w:color w:val="auto"/>
              </w:rPr>
              <w:t>Distributable cash flow</w:t>
            </w:r>
            <w:r>
              <w:rPr>
                <w:rFonts w:ascii="Arial" w:cs="Arial" w:eastAsia="Arial" w:hAnsi="Arial"/>
                <w:sz w:val="20"/>
                <w:szCs w:val="20"/>
                <w:color w:val="auto"/>
                <w:vertAlign w:val="superscript"/>
              </w:rPr>
              <w:t>(5)</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72,254</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83,660</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100,551</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23,254</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22,915</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46,750</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50,377</w:t>
            </w:r>
          </w:p>
        </w:tc>
      </w:tr>
      <w:tr>
        <w:trPr>
          <w:trHeight w:val="149"/>
        </w:trPr>
        <w:tc>
          <w:tcPr>
            <w:tcW w:w="2200" w:type="dxa"/>
            <w:vAlign w:val="bottom"/>
          </w:tcPr>
          <w:p>
            <w:pPr>
              <w:ind w:left="280"/>
              <w:spacing w:after="0" w:line="149" w:lineRule="exact"/>
              <w:rPr>
                <w:sz w:val="20"/>
                <w:szCs w:val="20"/>
                <w:color w:val="auto"/>
              </w:rPr>
            </w:pPr>
            <w:r>
              <w:rPr>
                <w:rFonts w:ascii="Arial" w:cs="Arial" w:eastAsia="Arial" w:hAnsi="Arial"/>
                <w:sz w:val="14"/>
                <w:szCs w:val="14"/>
                <w:color w:val="auto"/>
              </w:rPr>
              <w:t>Cash distributions declared</w:t>
            </w:r>
          </w:p>
        </w:tc>
        <w:tc>
          <w:tcPr>
            <w:tcW w:w="8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1"/>
                <w:szCs w:val="11"/>
                <w:color w:val="auto"/>
              </w:rPr>
              <w:t>58,992</w:t>
            </w:r>
            <w:r>
              <w:rPr>
                <w:rFonts w:ascii="Arial" w:cs="Arial" w:eastAsia="Arial" w:hAnsi="Arial"/>
                <w:sz w:val="17"/>
                <w:szCs w:val="17"/>
                <w:color w:val="auto"/>
                <w:vertAlign w:val="superscript"/>
              </w:rPr>
              <w:t>(6)</w:t>
            </w:r>
          </w:p>
        </w:tc>
        <w:tc>
          <w:tcPr>
            <w:tcW w:w="8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1"/>
                <w:szCs w:val="11"/>
                <w:color w:val="auto"/>
              </w:rPr>
              <w:t>65,577</w:t>
            </w:r>
            <w:r>
              <w:rPr>
                <w:rFonts w:ascii="Arial" w:cs="Arial" w:eastAsia="Arial" w:hAnsi="Arial"/>
                <w:sz w:val="17"/>
                <w:szCs w:val="17"/>
                <w:color w:val="auto"/>
                <w:vertAlign w:val="superscript"/>
              </w:rPr>
              <w:t>(7)</w:t>
            </w: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83,048</w:t>
            </w:r>
            <w:r>
              <w:rPr>
                <w:rFonts w:ascii="Arial" w:cs="Arial" w:eastAsia="Arial" w:hAnsi="Arial"/>
                <w:sz w:val="17"/>
                <w:szCs w:val="17"/>
                <w:color w:val="auto"/>
                <w:vertAlign w:val="superscript"/>
              </w:rPr>
              <w:t>(9)</w:t>
            </w: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1"/>
                <w:szCs w:val="11"/>
                <w:color w:val="auto"/>
              </w:rPr>
              <w:t>20,121</w:t>
            </w:r>
            <w:r>
              <w:rPr>
                <w:rFonts w:ascii="Arial" w:cs="Arial" w:eastAsia="Arial" w:hAnsi="Arial"/>
                <w:sz w:val="17"/>
                <w:szCs w:val="17"/>
                <w:color w:val="auto"/>
                <w:vertAlign w:val="superscript"/>
              </w:rPr>
              <w:t>(10)</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24,272</w:t>
            </w:r>
            <w:r>
              <w:rPr>
                <w:rFonts w:ascii="Arial" w:cs="Arial" w:eastAsia="Arial" w:hAnsi="Arial"/>
                <w:sz w:val="17"/>
                <w:szCs w:val="17"/>
                <w:color w:val="auto"/>
                <w:vertAlign w:val="superscript"/>
              </w:rPr>
              <w:t>(11)</w:t>
            </w:r>
          </w:p>
        </w:tc>
        <w:tc>
          <w:tcPr>
            <w:tcW w:w="1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1"/>
                <w:szCs w:val="11"/>
                <w:color w:val="auto"/>
              </w:rPr>
              <w:t>39,670</w:t>
            </w:r>
            <w:r>
              <w:rPr>
                <w:rFonts w:ascii="Arial" w:cs="Arial" w:eastAsia="Arial" w:hAnsi="Arial"/>
                <w:sz w:val="17"/>
                <w:szCs w:val="17"/>
                <w:color w:val="auto"/>
                <w:vertAlign w:val="superscript"/>
              </w:rPr>
              <w:t>(10)</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47,117</w:t>
            </w:r>
            <w:r>
              <w:rPr>
                <w:rFonts w:ascii="Arial" w:cs="Arial" w:eastAsia="Arial" w:hAnsi="Arial"/>
                <w:sz w:val="17"/>
                <w:szCs w:val="17"/>
                <w:color w:val="auto"/>
                <w:vertAlign w:val="superscript"/>
              </w:rPr>
              <w:t>(11)</w:t>
            </w:r>
          </w:p>
        </w:tc>
      </w:tr>
      <w:tr>
        <w:trPr>
          <w:trHeight w:val="149"/>
        </w:trPr>
        <w:tc>
          <w:tcPr>
            <w:tcW w:w="2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distributions paid</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60,002</w:t>
            </w:r>
            <w:r>
              <w:rPr>
                <w:rFonts w:ascii="Arial" w:cs="Arial" w:eastAsia="Arial" w:hAnsi="Arial"/>
                <w:sz w:val="17"/>
                <w:szCs w:val="17"/>
                <w:color w:val="auto"/>
                <w:vertAlign w:val="superscript"/>
              </w:rPr>
              <w:t>(6)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76,377</w:t>
            </w:r>
            <w:r>
              <w:rPr>
                <w:rFonts w:ascii="Arial" w:cs="Arial" w:eastAsia="Arial" w:hAnsi="Arial"/>
                <w:sz w:val="17"/>
                <w:szCs w:val="17"/>
                <w:color w:val="auto"/>
                <w:vertAlign w:val="superscript"/>
              </w:rPr>
              <w:t>(8)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83,048</w:t>
            </w:r>
            <w:r>
              <w:rPr>
                <w:rFonts w:ascii="Arial" w:cs="Arial" w:eastAsia="Arial" w:hAnsi="Arial"/>
                <w:sz w:val="17"/>
                <w:szCs w:val="17"/>
                <w:color w:val="auto"/>
                <w:vertAlign w:val="superscript"/>
              </w:rPr>
              <w:t>(9)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20,121</w:t>
            </w:r>
            <w:r>
              <w:rPr>
                <w:rFonts w:ascii="Arial" w:cs="Arial" w:eastAsia="Arial" w:hAnsi="Arial"/>
                <w:sz w:val="17"/>
                <w:szCs w:val="17"/>
                <w:color w:val="auto"/>
                <w:vertAlign w:val="superscript"/>
              </w:rPr>
              <w:t>(10)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24,272</w:t>
            </w:r>
            <w:r>
              <w:rPr>
                <w:rFonts w:ascii="Arial" w:cs="Arial" w:eastAsia="Arial" w:hAnsi="Arial"/>
                <w:sz w:val="17"/>
                <w:szCs w:val="17"/>
                <w:color w:val="auto"/>
                <w:vertAlign w:val="superscript"/>
              </w:rPr>
              <w:t>(11)</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1"/>
                <w:szCs w:val="11"/>
                <w:color w:val="auto"/>
              </w:rPr>
              <w:t>39,670</w:t>
            </w:r>
            <w:r>
              <w:rPr>
                <w:rFonts w:ascii="Arial" w:cs="Arial" w:eastAsia="Arial" w:hAnsi="Arial"/>
                <w:sz w:val="17"/>
                <w:szCs w:val="17"/>
                <w:color w:val="auto"/>
                <w:vertAlign w:val="superscript"/>
              </w:rPr>
              <w:t>(10)</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47,117</w:t>
            </w:r>
            <w:r>
              <w:rPr>
                <w:rFonts w:ascii="Arial" w:cs="Arial" w:eastAsia="Arial" w:hAnsi="Arial"/>
                <w:sz w:val="17"/>
                <w:szCs w:val="17"/>
                <w:color w:val="auto"/>
                <w:vertAlign w:val="superscript"/>
              </w:rPr>
              <w:t>(11)</w:t>
            </w:r>
          </w:p>
        </w:tc>
      </w:tr>
      <w:tr>
        <w:trPr>
          <w:trHeight w:val="138"/>
        </w:trPr>
        <w:tc>
          <w:tcPr>
            <w:tcW w:w="2200" w:type="dxa"/>
            <w:vAlign w:val="bottom"/>
          </w:tcPr>
          <w:p>
            <w:pPr>
              <w:ind w:left="280"/>
              <w:spacing w:after="0" w:line="138" w:lineRule="exact"/>
              <w:rPr>
                <w:sz w:val="20"/>
                <w:szCs w:val="20"/>
                <w:color w:val="auto"/>
              </w:rPr>
            </w:pPr>
            <w:r>
              <w:rPr>
                <w:rFonts w:ascii="Arial" w:cs="Arial" w:eastAsia="Arial" w:hAnsi="Arial"/>
                <w:sz w:val="14"/>
                <w:szCs w:val="14"/>
                <w:color w:val="auto"/>
              </w:rPr>
              <w:t>Preference unit distributions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2"/>
        </w:trPr>
        <w:tc>
          <w:tcPr>
            <w:tcW w:w="2200" w:type="dxa"/>
            <w:vAlign w:val="bottom"/>
          </w:tcPr>
          <w:p>
            <w:pPr>
              <w:ind w:left="420"/>
              <w:spacing w:after="0"/>
              <w:rPr>
                <w:sz w:val="20"/>
                <w:szCs w:val="20"/>
                <w:color w:val="auto"/>
              </w:rPr>
            </w:pPr>
            <w:r>
              <w:rPr>
                <w:rFonts w:ascii="Arial" w:cs="Arial" w:eastAsia="Arial" w:hAnsi="Arial"/>
                <w:sz w:val="14"/>
                <w:szCs w:val="14"/>
                <w:color w:val="auto"/>
              </w:rPr>
              <w:t>declared and paid</w:t>
            </w: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7,232</w:t>
            </w: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5,457</w:t>
            </w: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10,076</w:t>
            </w:r>
          </w:p>
        </w:tc>
      </w:tr>
    </w:tbl>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Partnership Performance Results</w:t>
      </w:r>
    </w:p>
    <w:p>
      <w:pPr>
        <w:spacing w:after="0" w:line="231" w:lineRule="exact"/>
        <w:rPr>
          <w:sz w:val="20"/>
          <w:szCs w:val="20"/>
          <w:color w:val="auto"/>
        </w:rPr>
      </w:pPr>
    </w:p>
    <w:p>
      <w:pPr>
        <w:ind w:left="240" w:firstLine="348"/>
        <w:spacing w:after="0" w:line="323" w:lineRule="auto"/>
        <w:rPr>
          <w:sz w:val="20"/>
          <w:szCs w:val="20"/>
          <w:color w:val="auto"/>
        </w:rPr>
      </w:pPr>
      <w:r>
        <w:rPr>
          <w:rFonts w:ascii="Arial" w:cs="Arial" w:eastAsia="Arial" w:hAnsi="Arial"/>
          <w:sz w:val="15"/>
          <w:szCs w:val="15"/>
          <w:color w:val="auto"/>
        </w:rPr>
        <w:t>The financial and operating data below exclude amounts related to vessels currently owned by the Partnership for the periods prior to their respective transfer to GasLog Partners from GasLog, as the Partnership was not entitled to the cash or results generated in the periods prior to such transfers. The Partnership Performance Results are non-GAAP financial measures that the Partnership believes provide meaningful supplemental information to both management and investors regarding the financial and operating performance of the Partnership because such presentation is consistent with the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895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5895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calculation of the quarterly distribution and the earnings per unit, which similarly exclude the results of vessels prior to their transfer to the Partnership.</w:t>
      </w:r>
    </w:p>
    <w:p>
      <w:pPr>
        <w:spacing w:after="0" w:line="23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9"/>
          </w:tcPr>
          <w:p>
            <w:pPr>
              <w:ind w:left="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9"/>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5"/>
          </w:tcPr>
          <w:p>
            <w:pPr>
              <w:jc w:val="center"/>
              <w:ind w:left="222"/>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bottom w:val="single" w:sz="8" w:color="auto"/>
            </w:tcBorders>
            <w:gridSpan w:val="4"/>
          </w:tcPr>
          <w:p>
            <w:pPr>
              <w:jc w:val="right"/>
              <w:ind w:right="16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73"/>
              </w:rPr>
              <w:t>thousands of U.S.</w:t>
            </w:r>
          </w:p>
        </w:tc>
        <w:tc>
          <w:tcPr>
            <w:tcW w:w="940" w:type="dxa"/>
            <w:vAlign w:val="bottom"/>
            <w:gridSpan w:val="7"/>
          </w:tcPr>
          <w:p>
            <w:pPr>
              <w:jc w:val="center"/>
              <w:ind w:right="460"/>
              <w:spacing w:after="0" w:line="142" w:lineRule="exact"/>
              <w:rPr>
                <w:sz w:val="20"/>
                <w:szCs w:val="20"/>
                <w:color w:val="auto"/>
              </w:rPr>
            </w:pPr>
            <w:r>
              <w:rPr>
                <w:rFonts w:ascii="Arial" w:cs="Arial" w:eastAsia="Arial" w:hAnsi="Arial"/>
                <w:sz w:val="14"/>
                <w:szCs w:val="14"/>
                <w:b w:val="1"/>
                <w:bCs w:val="1"/>
                <w:color w:val="auto"/>
                <w:w w:val="86"/>
              </w:rPr>
              <w:t>dollars)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2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PARTNERSHIP</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PERFORMANCE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9"/>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STATEMENT OF</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8"/>
        </w:trPr>
        <w:tc>
          <w:tcPr>
            <w:tcW w:w="2260" w:type="dxa"/>
            <w:vAlign w:val="bottom"/>
            <w:gridSpan w:val="2"/>
            <w:shd w:val="clear" w:color="auto" w:fill="CCEEFF"/>
          </w:tcPr>
          <w:p>
            <w:pPr>
              <w:ind w:left="180"/>
              <w:spacing w:after="0" w:line="267" w:lineRule="exact"/>
              <w:rPr>
                <w:sz w:val="20"/>
                <w:szCs w:val="20"/>
                <w:color w:val="auto"/>
              </w:rPr>
            </w:pPr>
            <w:r>
              <w:rPr>
                <w:rFonts w:ascii="Arial" w:cs="Arial" w:eastAsia="Arial" w:hAnsi="Arial"/>
                <w:sz w:val="18"/>
                <w:szCs w:val="18"/>
                <w:b w:val="1"/>
                <w:bCs w:val="1"/>
                <w:color w:val="auto"/>
              </w:rPr>
              <w:t>PROFIT OR LOSS</w:t>
            </w:r>
            <w:r>
              <w:rPr>
                <w:rFonts w:ascii="Arial" w:cs="Arial" w:eastAsia="Arial" w:hAnsi="Arial"/>
                <w:sz w:val="29"/>
                <w:szCs w:val="29"/>
                <w:b w:val="1"/>
                <w:bCs w:val="1"/>
                <w:color w:val="auto"/>
                <w:vertAlign w:val="superscript"/>
              </w:rPr>
              <w:t>(5)</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16"/>
        </w:trPr>
        <w:tc>
          <w:tcPr>
            <w:tcW w:w="2260" w:type="dxa"/>
            <w:vAlign w:val="bottom"/>
            <w:gridSpan w:val="2"/>
          </w:tcPr>
          <w:p>
            <w:pPr>
              <w:ind w:left="18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168,927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206,424</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ind w:right="12"/>
              <w:spacing w:after="0"/>
              <w:rPr>
                <w:sz w:val="20"/>
                <w:szCs w:val="20"/>
                <w:color w:val="auto"/>
              </w:rPr>
            </w:pPr>
            <w:r>
              <w:rPr>
                <w:rFonts w:ascii="Arial" w:cs="Arial" w:eastAsia="Arial" w:hAnsi="Arial"/>
                <w:sz w:val="18"/>
                <w:szCs w:val="18"/>
                <w:color w:val="auto"/>
                <w:w w:val="95"/>
              </w:rPr>
              <w:t>269,071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62,582</w:t>
            </w:r>
          </w:p>
        </w:tc>
        <w:tc>
          <w:tcPr>
            <w:tcW w:w="80" w:type="dxa"/>
            <w:vAlign w:val="bottom"/>
          </w:tcPr>
          <w:p>
            <w:pPr>
              <w:spacing w:after="0"/>
              <w:rPr>
                <w:sz w:val="18"/>
                <w:szCs w:val="18"/>
                <w:color w:val="auto"/>
              </w:rPr>
            </w:pPr>
          </w:p>
        </w:tc>
        <w:tc>
          <w:tcPr>
            <w:tcW w:w="200" w:type="dxa"/>
            <w:vAlign w:val="bottom"/>
            <w:gridSpan w:val="2"/>
          </w:tcPr>
          <w:p>
            <w:pPr>
              <w:jc w:val="center"/>
              <w:ind w:right="12"/>
              <w:spacing w:after="0"/>
              <w:rPr>
                <w:sz w:val="20"/>
                <w:szCs w:val="20"/>
                <w:color w:val="auto"/>
              </w:rPr>
            </w:pPr>
            <w:r>
              <w:rPr>
                <w:rFonts w:ascii="Arial" w:cs="Arial" w:eastAsia="Arial" w:hAnsi="Arial"/>
                <w:sz w:val="18"/>
                <w:szCs w:val="18"/>
                <w:color w:val="auto"/>
                <w:w w:val="79"/>
              </w:rPr>
              <w:t>$</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74,909</w:t>
            </w:r>
          </w:p>
        </w:tc>
        <w:tc>
          <w:tcPr>
            <w:tcW w:w="100" w:type="dxa"/>
            <w:vAlign w:val="bottom"/>
          </w:tcPr>
          <w:p>
            <w:pPr>
              <w:spacing w:after="0"/>
              <w:rPr>
                <w:sz w:val="18"/>
                <w:szCs w:val="18"/>
                <w:color w:val="auto"/>
              </w:rPr>
            </w:pPr>
          </w:p>
        </w:tc>
        <w:tc>
          <w:tcPr>
            <w:tcW w:w="980" w:type="dxa"/>
            <w:vAlign w:val="bottom"/>
            <w:gridSpan w:val="6"/>
          </w:tcPr>
          <w:p>
            <w:pPr>
              <w:jc w:val="right"/>
              <w:ind w:right="92"/>
              <w:spacing w:after="0"/>
              <w:rPr>
                <w:sz w:val="20"/>
                <w:szCs w:val="20"/>
                <w:color w:val="auto"/>
              </w:rPr>
            </w:pPr>
            <w:r>
              <w:rPr>
                <w:rFonts w:ascii="Arial" w:cs="Arial" w:eastAsia="Arial" w:hAnsi="Arial"/>
                <w:sz w:val="18"/>
                <w:szCs w:val="18"/>
                <w:color w:val="auto"/>
                <w:w w:val="93"/>
              </w:rPr>
              <w:t>$  119,575</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151,970</w:t>
            </w:r>
          </w:p>
        </w:tc>
        <w:tc>
          <w:tcPr>
            <w:tcW w:w="100" w:type="dxa"/>
            <w:vAlign w:val="bottom"/>
          </w:tcPr>
          <w:p>
            <w:pPr>
              <w:spacing w:after="0"/>
              <w:rPr>
                <w:sz w:val="18"/>
                <w:szCs w:val="18"/>
                <w:color w:val="auto"/>
              </w:rPr>
            </w:pPr>
          </w:p>
        </w:tc>
      </w:tr>
      <w:tr>
        <w:trPr>
          <w:trHeight w:val="216"/>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pool allocation</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r>
      <w:tr>
        <w:trPr>
          <w:trHeight w:val="208"/>
        </w:trPr>
        <w:tc>
          <w:tcPr>
            <w:tcW w:w="2260" w:type="dxa"/>
            <w:vAlign w:val="bottom"/>
            <w:gridSpan w:val="2"/>
          </w:tcPr>
          <w:p>
            <w:pPr>
              <w:ind w:left="180"/>
              <w:spacing w:after="0"/>
              <w:rPr>
                <w:sz w:val="20"/>
                <w:szCs w:val="20"/>
                <w:color w:val="auto"/>
              </w:rPr>
            </w:pPr>
            <w:r>
              <w:rPr>
                <w:rFonts w:ascii="Arial" w:cs="Arial" w:eastAsia="Arial" w:hAnsi="Arial"/>
                <w:sz w:val="18"/>
                <w:szCs w:val="18"/>
                <w:color w:val="auto"/>
              </w:rPr>
              <w:t>Voyage expenses and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260" w:type="dxa"/>
            <w:vAlign w:val="bottom"/>
            <w:gridSpan w:val="2"/>
          </w:tcPr>
          <w:p>
            <w:pPr>
              <w:ind w:left="360"/>
              <w:spacing w:after="0"/>
              <w:rPr>
                <w:sz w:val="20"/>
                <w:szCs w:val="20"/>
                <w:color w:val="auto"/>
              </w:rPr>
            </w:pPr>
            <w:r>
              <w:rPr>
                <w:rFonts w:ascii="Arial" w:cs="Arial" w:eastAsia="Arial" w:hAnsi="Arial"/>
                <w:sz w:val="18"/>
                <w:szCs w:val="18"/>
                <w:color w:val="auto"/>
              </w:rPr>
              <w:t>commissions</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(2,102)</w:t>
            </w:r>
          </w:p>
        </w:tc>
        <w:tc>
          <w:tcPr>
            <w:tcW w:w="18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(2,841)</w:t>
            </w:r>
          </w:p>
        </w:tc>
        <w:tc>
          <w:tcPr>
            <w:tcW w:w="140" w:type="dxa"/>
            <w:vAlign w:val="bottom"/>
          </w:tcPr>
          <w:p>
            <w:pPr>
              <w:spacing w:after="0"/>
              <w:rPr>
                <w:sz w:val="19"/>
                <w:szCs w:val="19"/>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(3,377)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(1,511)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3"/>
          </w:tcPr>
          <w:p>
            <w:pPr>
              <w:jc w:val="right"/>
              <w:ind w:right="32"/>
              <w:spacing w:after="0"/>
              <w:rPr>
                <w:sz w:val="20"/>
                <w:szCs w:val="20"/>
                <w:color w:val="auto"/>
              </w:rPr>
            </w:pPr>
            <w:r>
              <w:rPr>
                <w:rFonts w:ascii="Arial" w:cs="Arial" w:eastAsia="Arial" w:hAnsi="Arial"/>
                <w:sz w:val="18"/>
                <w:szCs w:val="18"/>
                <w:color w:val="auto"/>
                <w:w w:val="91"/>
              </w:rPr>
              <w:t>(1,501)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9"/>
                <w:szCs w:val="19"/>
                <w:color w:val="auto"/>
              </w:rPr>
            </w:pPr>
          </w:p>
        </w:tc>
      </w:tr>
      <w:tr>
        <w:trPr>
          <w:trHeight w:val="217"/>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Vessel operating costs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(33,656)</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(43,479)</w:t>
            </w:r>
          </w:p>
        </w:tc>
        <w:tc>
          <w:tcPr>
            <w:tcW w:w="1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(55,692)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(13,309)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2"/>
              </w:rPr>
              <w:t>(15,110)</w:t>
            </w:r>
          </w:p>
        </w:tc>
        <w:tc>
          <w:tcPr>
            <w:tcW w:w="980" w:type="dxa"/>
            <w:vAlign w:val="bottom"/>
            <w:gridSpan w:val="6"/>
            <w:shd w:val="clear" w:color="auto" w:fill="CCEEFF"/>
          </w:tcPr>
          <w:p>
            <w:pPr>
              <w:jc w:val="right"/>
              <w:ind w:right="32"/>
              <w:spacing w:after="0"/>
              <w:rPr>
                <w:sz w:val="20"/>
                <w:szCs w:val="20"/>
                <w:color w:val="auto"/>
              </w:rPr>
            </w:pPr>
            <w:r>
              <w:rPr>
                <w:rFonts w:ascii="Arial" w:cs="Arial" w:eastAsia="Arial" w:hAnsi="Arial"/>
                <w:sz w:val="18"/>
                <w:szCs w:val="18"/>
                <w:color w:val="auto"/>
              </w:rPr>
              <w:t>(24,477)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(30,701)</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(35,981)</w:t>
            </w:r>
          </w:p>
        </w:tc>
        <w:tc>
          <w:tcPr>
            <w:tcW w:w="18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(45,230)</w:t>
            </w:r>
          </w:p>
        </w:tc>
        <w:tc>
          <w:tcPr>
            <w:tcW w:w="14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(58,193)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89"/>
              </w:rPr>
              <w:t>(13,466)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w w:val="92"/>
              </w:rPr>
              <w:t>(17,974)</w:t>
            </w:r>
          </w:p>
        </w:tc>
        <w:tc>
          <w:tcPr>
            <w:tcW w:w="980" w:type="dxa"/>
            <w:vAlign w:val="bottom"/>
            <w:gridSpan w:val="6"/>
          </w:tcPr>
          <w:p>
            <w:pPr>
              <w:jc w:val="right"/>
              <w:ind w:right="32"/>
              <w:spacing w:after="0"/>
              <w:rPr>
                <w:sz w:val="20"/>
                <w:szCs w:val="20"/>
                <w:color w:val="auto"/>
              </w:rPr>
            </w:pPr>
            <w:r>
              <w:rPr>
                <w:rFonts w:ascii="Arial" w:cs="Arial" w:eastAsia="Arial" w:hAnsi="Arial"/>
                <w:sz w:val="18"/>
                <w:szCs w:val="18"/>
                <w:color w:val="auto"/>
              </w:rPr>
              <w:t>(25,828)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(34,760)</w:t>
            </w:r>
          </w:p>
        </w:tc>
        <w:tc>
          <w:tcPr>
            <w:tcW w:w="100" w:type="dxa"/>
            <w:vAlign w:val="bottom"/>
          </w:tcPr>
          <w:p>
            <w:pPr>
              <w:spacing w:after="0"/>
              <w:rPr>
                <w:sz w:val="18"/>
                <w:szCs w:val="18"/>
                <w:color w:val="auto"/>
              </w:rPr>
            </w:pPr>
          </w:p>
        </w:tc>
      </w:tr>
      <w:tr>
        <w:trPr>
          <w:trHeight w:val="208"/>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General and administrative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(10,383)</w:t>
            </w:r>
          </w:p>
        </w:tc>
        <w:tc>
          <w:tcPr>
            <w:tcW w:w="1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(11,219)</w:t>
            </w:r>
          </w:p>
        </w:tc>
        <w:tc>
          <w:tcPr>
            <w:tcW w:w="140" w:type="dxa"/>
            <w:vAlign w:val="bottom"/>
            <w:shd w:val="clear" w:color="auto" w:fill="CCEEFF"/>
          </w:tcPr>
          <w:p>
            <w:pPr>
              <w:spacing w:after="0"/>
              <w:rPr>
                <w:sz w:val="19"/>
                <w:szCs w:val="19"/>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(13,869)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1"/>
              </w:rPr>
              <w:t>(6,351)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100" w:type="dxa"/>
            <w:vAlign w:val="bottom"/>
            <w:shd w:val="clear" w:color="auto" w:fill="CCEEFF"/>
          </w:tcPr>
          <w:p>
            <w:pPr>
              <w:spacing w:after="0"/>
              <w:rPr>
                <w:sz w:val="19"/>
                <w:szCs w:val="19"/>
                <w:color w:val="auto"/>
              </w:rPr>
            </w:pPr>
          </w:p>
        </w:tc>
      </w:tr>
      <w:tr>
        <w:trPr>
          <w:trHeight w:val="210"/>
        </w:trPr>
        <w:tc>
          <w:tcPr>
            <w:tcW w:w="226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Profit from operations</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86,805</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103,655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5"/>
              </w:rPr>
              <w:t>137,940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31,754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35,286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61,418</w:t>
            </w: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79"/>
              </w:rPr>
              <w:t>74,330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Financial costs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(21,789)</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(30,187)</w:t>
            </w:r>
          </w:p>
        </w:tc>
        <w:tc>
          <w:tcPr>
            <w:tcW w:w="1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(44,916)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(10,288)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2"/>
              </w:rPr>
              <w:t>(14,552)</w:t>
            </w:r>
          </w:p>
        </w:tc>
        <w:tc>
          <w:tcPr>
            <w:tcW w:w="980" w:type="dxa"/>
            <w:vAlign w:val="bottom"/>
            <w:gridSpan w:val="6"/>
            <w:shd w:val="clear" w:color="auto" w:fill="CCEEFF"/>
          </w:tcPr>
          <w:p>
            <w:pPr>
              <w:jc w:val="right"/>
              <w:ind w:right="32"/>
              <w:spacing w:after="0"/>
              <w:rPr>
                <w:sz w:val="20"/>
                <w:szCs w:val="20"/>
                <w:color w:val="auto"/>
              </w:rPr>
            </w:pPr>
            <w:r>
              <w:rPr>
                <w:rFonts w:ascii="Arial" w:cs="Arial" w:eastAsia="Arial" w:hAnsi="Arial"/>
                <w:sz w:val="18"/>
                <w:szCs w:val="18"/>
                <w:color w:val="auto"/>
              </w:rPr>
              <w:t>(19,070)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(28,440)</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gridSpan w:val="2"/>
          </w:tcPr>
          <w:p>
            <w:pPr>
              <w:ind w:left="180"/>
              <w:spacing w:after="0"/>
              <w:rPr>
                <w:sz w:val="20"/>
                <w:szCs w:val="20"/>
                <w:color w:val="auto"/>
              </w:rPr>
            </w:pPr>
            <w:r>
              <w:rPr>
                <w:rFonts w:ascii="Arial" w:cs="Arial" w:eastAsia="Arial" w:hAnsi="Arial"/>
                <w:sz w:val="18"/>
                <w:szCs w:val="18"/>
                <w:color w:val="auto"/>
              </w:rPr>
              <w:t>Financial income</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jc w:val="right"/>
              <w:ind w:right="12"/>
              <w:spacing w:after="0"/>
              <w:rPr>
                <w:sz w:val="20"/>
                <w:szCs w:val="20"/>
                <w:color w:val="auto"/>
              </w:rPr>
            </w:pPr>
            <w:r>
              <w:rPr>
                <w:rFonts w:ascii="Arial" w:cs="Arial" w:eastAsia="Arial" w:hAnsi="Arial"/>
                <w:sz w:val="18"/>
                <w:szCs w:val="18"/>
                <w:color w:val="auto"/>
              </w:rPr>
              <w:t>972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92"/>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r>
      <w:tr>
        <w:trPr>
          <w:trHeight w:val="216"/>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(Loss)/gain on derivatives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1"/>
              </w:rPr>
              <w:t>(2,313)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7,915</w:t>
            </w:r>
          </w:p>
        </w:tc>
        <w:tc>
          <w:tcPr>
            <w:tcW w:w="100" w:type="dxa"/>
            <w:vAlign w:val="bottom"/>
            <w:shd w:val="clear" w:color="auto" w:fill="CCEEFF"/>
          </w:tcPr>
          <w:p>
            <w:pPr>
              <w:spacing w:after="0"/>
              <w:rPr>
                <w:sz w:val="18"/>
                <w:szCs w:val="18"/>
                <w:color w:val="auto"/>
              </w:rPr>
            </w:pPr>
          </w:p>
        </w:tc>
      </w:tr>
      <w:tr>
        <w:trPr>
          <w:trHeight w:val="210"/>
        </w:trPr>
        <w:tc>
          <w:tcPr>
            <w:tcW w:w="2260" w:type="dxa"/>
            <w:vAlign w:val="bottom"/>
            <w:gridSpan w:val="2"/>
          </w:tcPr>
          <w:p>
            <w:pPr>
              <w:ind w:left="180"/>
              <w:spacing w:after="0"/>
              <w:rPr>
                <w:sz w:val="20"/>
                <w:szCs w:val="20"/>
                <w:color w:val="auto"/>
              </w:rPr>
            </w:pPr>
            <w:r>
              <w:rPr>
                <w:rFonts w:ascii="Arial" w:cs="Arial" w:eastAsia="Arial" w:hAnsi="Arial"/>
                <w:sz w:val="18"/>
                <w:szCs w:val="18"/>
                <w:b w:val="1"/>
                <w:bCs w:val="1"/>
                <w:color w:val="auto"/>
                <w:w w:val="94"/>
              </w:rPr>
              <w:t>Total other expenses, net</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(21,765)</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(26,385)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(43,823)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0"/>
              </w:rPr>
              <w:t>(12,396)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3"/>
              </w:rPr>
              <w:t>(12,385)</w:t>
            </w:r>
          </w:p>
        </w:tc>
        <w:tc>
          <w:tcPr>
            <w:tcW w:w="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(21,038)</w:t>
            </w: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(19,427)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Partnership's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65,040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77,270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94,117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19,358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ind w:right="12"/>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22,901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83"/>
              </w:rPr>
              <w:t>40,380</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54,903</w:t>
            </w:r>
          </w:p>
        </w:tc>
        <w:tc>
          <w:tcPr>
            <w:tcW w:w="100" w:type="dxa"/>
            <w:vAlign w:val="bottom"/>
            <w:shd w:val="clear" w:color="auto" w:fill="CCEEFF"/>
          </w:tcPr>
          <w:p>
            <w:pPr>
              <w:spacing w:after="0"/>
              <w:rPr>
                <w:sz w:val="18"/>
                <w:szCs w:val="18"/>
                <w:color w:val="auto"/>
              </w:rPr>
            </w:pPr>
          </w:p>
        </w:tc>
      </w:tr>
      <w:tr>
        <w:trPr>
          <w:trHeight w:val="20"/>
        </w:trPr>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65"/>
        </w:trPr>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5"/>
          </w:tcPr>
          <w:p>
            <w:pPr>
              <w:jc w:val="center"/>
              <w:ind w:left="116"/>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8"/>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1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5"/>
          </w:tcPr>
          <w:p>
            <w:pPr>
              <w:jc w:val="center"/>
              <w:ind w:left="96"/>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7"/>
          </w:tcPr>
          <w:p>
            <w:pPr>
              <w:jc w:val="center"/>
              <w:ind w:right="60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5"/>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3"/>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5"/>
        </w:trPr>
        <w:tc>
          <w:tcPr>
            <w:tcW w:w="3380" w:type="dxa"/>
            <w:vAlign w:val="bottom"/>
            <w:gridSpan w:val="6"/>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9"/>
              </w:rPr>
              <w:t>PARTNERSHIP PERFORMANCE FLEET</w:t>
            </w: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00" w:type="dxa"/>
            <w:vAlign w:val="bottom"/>
            <w:gridSpan w:val="5"/>
          </w:tcPr>
          <w:p>
            <w:pPr>
              <w:ind w:left="180"/>
              <w:spacing w:after="0"/>
              <w:rPr>
                <w:sz w:val="20"/>
                <w:szCs w:val="20"/>
                <w:color w:val="auto"/>
              </w:rPr>
            </w:pPr>
            <w:r>
              <w:rPr>
                <w:rFonts w:ascii="Arial" w:cs="Arial" w:eastAsia="Arial" w:hAnsi="Arial"/>
                <w:sz w:val="18"/>
                <w:szCs w:val="18"/>
                <w:color w:val="auto"/>
                <w:w w:val="93"/>
              </w:rPr>
              <w:t>Number of LNG carriers at end of period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9.0</w:t>
            </w: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13.0</w:t>
            </w:r>
          </w:p>
        </w:tc>
        <w:tc>
          <w:tcPr>
            <w:tcW w:w="820" w:type="dxa"/>
            <w:vAlign w:val="bottom"/>
            <w:gridSpan w:val="5"/>
          </w:tcPr>
          <w:p>
            <w:pPr>
              <w:jc w:val="right"/>
              <w:ind w:right="160"/>
              <w:spacing w:after="0"/>
              <w:rPr>
                <w:sz w:val="20"/>
                <w:szCs w:val="20"/>
                <w:color w:val="auto"/>
              </w:rPr>
            </w:pPr>
            <w:r>
              <w:rPr>
                <w:rFonts w:ascii="Arial" w:cs="Arial" w:eastAsia="Arial" w:hAnsi="Arial"/>
                <w:sz w:val="18"/>
                <w:szCs w:val="18"/>
                <w:color w:val="auto"/>
              </w:rPr>
              <w:t>10.0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gridSpan w:val="9"/>
            <w:shd w:val="clear" w:color="auto" w:fill="CCEEFF"/>
          </w:tcPr>
          <w:p>
            <w:pPr>
              <w:ind w:left="180"/>
              <w:spacing w:after="0"/>
              <w:rPr>
                <w:sz w:val="20"/>
                <w:szCs w:val="20"/>
                <w:color w:val="auto"/>
              </w:rPr>
            </w:pPr>
            <w:r>
              <w:rPr>
                <w:rFonts w:ascii="Arial" w:cs="Arial" w:eastAsia="Arial" w:hAnsi="Arial"/>
                <w:sz w:val="18"/>
                <w:szCs w:val="18"/>
                <w:color w:val="auto"/>
              </w:rPr>
              <w:t>Average number of LNG carriers during period</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8.2</w:t>
            </w: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12.7</w:t>
            </w:r>
          </w:p>
        </w:tc>
        <w:tc>
          <w:tcPr>
            <w:tcW w:w="8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gridSpan w:val="5"/>
          </w:tcPr>
          <w:p>
            <w:pPr>
              <w:ind w:left="180"/>
              <w:spacing w:after="0"/>
              <w:rPr>
                <w:sz w:val="20"/>
                <w:szCs w:val="20"/>
                <w:color w:val="auto"/>
              </w:rPr>
            </w:pPr>
            <w:r>
              <w:rPr>
                <w:rFonts w:ascii="Arial" w:cs="Arial" w:eastAsia="Arial" w:hAnsi="Arial"/>
                <w:sz w:val="18"/>
                <w:szCs w:val="18"/>
                <w:color w:val="auto"/>
              </w:rPr>
              <w:t>Average age of LNG carriers (years)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7.2</w:t>
            </w: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c>
          <w:tcPr>
            <w:tcW w:w="820" w:type="dxa"/>
            <w:vAlign w:val="bottom"/>
            <w:gridSpan w:val="5"/>
          </w:tcPr>
          <w:p>
            <w:pPr>
              <w:jc w:val="right"/>
              <w:ind w:right="160"/>
              <w:spacing w:after="0"/>
              <w:rPr>
                <w:sz w:val="20"/>
                <w:szCs w:val="20"/>
                <w:color w:val="auto"/>
              </w:rPr>
            </w:pPr>
            <w:r>
              <w:rPr>
                <w:rFonts w:ascii="Arial" w:cs="Arial" w:eastAsia="Arial" w:hAnsi="Arial"/>
                <w:sz w:val="18"/>
                <w:szCs w:val="18"/>
                <w:color w:val="auto"/>
              </w:rPr>
              <w:t>7.0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w w:val="91"/>
              </w:rPr>
              <w:t>Total calendar days of fleet for the period</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2,377</w:t>
            </w:r>
          </w:p>
        </w:tc>
        <w:tc>
          <w:tcPr>
            <w:tcW w:w="7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2,989</w:t>
            </w: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3,783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877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8"/>
              </w:rPr>
              <w:t>1,157</w:t>
            </w:r>
          </w:p>
        </w:tc>
        <w:tc>
          <w:tcPr>
            <w:tcW w:w="8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1,687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2,237</w:t>
            </w: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365"/>
        </w:trPr>
        <w:tc>
          <w:tcPr>
            <w:tcW w:w="3380" w:type="dxa"/>
            <w:vAlign w:val="bottom"/>
            <w:gridSpan w:val="6"/>
          </w:tcPr>
          <w:p>
            <w:pPr>
              <w:ind w:left="180"/>
              <w:spacing w:after="0"/>
              <w:rPr>
                <w:sz w:val="20"/>
                <w:szCs w:val="20"/>
                <w:color w:val="auto"/>
              </w:rPr>
            </w:pPr>
            <w:r>
              <w:rPr>
                <w:rFonts w:ascii="Arial" w:cs="Arial" w:eastAsia="Arial" w:hAnsi="Arial"/>
                <w:sz w:val="18"/>
                <w:szCs w:val="18"/>
                <w:color w:val="auto"/>
                <w:w w:val="89"/>
              </w:rPr>
              <w:t>Total operating days of fleet for the period</w:t>
            </w:r>
            <w:r>
              <w:rPr>
                <w:rFonts w:ascii="Arial" w:cs="Arial" w:eastAsia="Arial" w:hAnsi="Arial"/>
                <w:sz w:val="29"/>
                <w:szCs w:val="29"/>
                <w:color w:val="auto"/>
                <w:w w:val="89"/>
                <w:vertAlign w:val="superscript"/>
              </w:rPr>
              <w:t>(4)</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w w:val="84"/>
              </w:rPr>
              <w:t>2,377</w:t>
            </w:r>
          </w:p>
        </w:tc>
        <w:tc>
          <w:tcPr>
            <w:tcW w:w="700" w:type="dxa"/>
            <w:vAlign w:val="bottom"/>
            <w:gridSpan w:val="6"/>
          </w:tcPr>
          <w:p>
            <w:pPr>
              <w:jc w:val="right"/>
              <w:ind w:right="40"/>
              <w:spacing w:after="0"/>
              <w:rPr>
                <w:sz w:val="20"/>
                <w:szCs w:val="20"/>
                <w:color w:val="auto"/>
              </w:rPr>
            </w:pPr>
            <w:r>
              <w:rPr>
                <w:rFonts w:ascii="Arial" w:cs="Arial" w:eastAsia="Arial" w:hAnsi="Arial"/>
                <w:sz w:val="18"/>
                <w:szCs w:val="18"/>
                <w:color w:val="auto"/>
              </w:rPr>
              <w:t>2,944</w:t>
            </w: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3,764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877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w w:val="88"/>
              </w:rPr>
              <w:t>1,072</w:t>
            </w:r>
          </w:p>
        </w:tc>
        <w:tc>
          <w:tcPr>
            <w:tcW w:w="820" w:type="dxa"/>
            <w:vAlign w:val="bottom"/>
            <w:gridSpan w:val="5"/>
          </w:tcPr>
          <w:p>
            <w:pPr>
              <w:jc w:val="right"/>
              <w:ind w:right="160"/>
              <w:spacing w:after="0"/>
              <w:rPr>
                <w:sz w:val="20"/>
                <w:szCs w:val="20"/>
                <w:color w:val="auto"/>
              </w:rPr>
            </w:pPr>
            <w:r>
              <w:rPr>
                <w:rFonts w:ascii="Arial" w:cs="Arial" w:eastAsia="Arial" w:hAnsi="Arial"/>
                <w:sz w:val="18"/>
                <w:szCs w:val="18"/>
                <w:color w:val="auto"/>
              </w:rPr>
              <w:t>1,687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2,150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Partnership Performance Fleet Data above is calculated consistent with our Partnership Performance Results.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31" w:right="7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981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598170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240" w:type="dxa"/>
            <w:vAlign w:val="bottom"/>
          </w:tcPr>
          <w:p>
            <w:pPr>
              <w:spacing w:after="0"/>
              <w:rPr>
                <w:sz w:val="14"/>
                <w:szCs w:val="14"/>
                <w:color w:val="auto"/>
              </w:rPr>
            </w:pPr>
          </w:p>
        </w:tc>
        <w:tc>
          <w:tcPr>
            <w:tcW w:w="18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60" w:type="dxa"/>
            <w:vAlign w:val="bottom"/>
            <w:gridSpan w:val="5"/>
          </w:tcPr>
          <w:p>
            <w:pPr>
              <w:jc w:val="right"/>
              <w:ind w:right="439"/>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Ended June 30,</w:t>
            </w:r>
          </w:p>
        </w:tc>
        <w:tc>
          <w:tcPr>
            <w:tcW w:w="240" w:type="dxa"/>
            <w:vAlign w:val="bottom"/>
          </w:tcPr>
          <w:p>
            <w:pPr>
              <w:spacing w:after="0"/>
              <w:rPr>
                <w:sz w:val="14"/>
                <w:szCs w:val="14"/>
                <w:color w:val="auto"/>
              </w:rPr>
            </w:pPr>
          </w:p>
        </w:tc>
        <w:tc>
          <w:tcPr>
            <w:tcW w:w="18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6"/>
          </w:tcPr>
          <w:p>
            <w:pPr>
              <w:jc w:val="right"/>
              <w:ind w:right="316"/>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PARTNERSHIP</w:t>
            </w: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PERFORMANCE</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FINANCIAL DATA:</w:t>
            </w: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380" w:type="dxa"/>
            <w:vAlign w:val="bottom"/>
            <w:gridSpan w:val="2"/>
          </w:tcPr>
          <w:p>
            <w:pPr>
              <w:ind w:left="140"/>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(5)</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$ 122,786</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$ 148,885</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$ 196,133</w:t>
            </w:r>
          </w:p>
        </w:tc>
        <w:tc>
          <w:tcPr>
            <w:tcW w:w="2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$ 45,220</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$ 53,260</w:t>
            </w:r>
          </w:p>
        </w:tc>
        <w:tc>
          <w:tcPr>
            <w:tcW w:w="2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$ 87,246</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$ 109,090</w:t>
            </w: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CCEEFF"/>
          </w:tcPr>
          <w:p>
            <w:pPr>
              <w:ind w:left="140"/>
              <w:spacing w:after="0" w:line="256" w:lineRule="exact"/>
              <w:rPr>
                <w:sz w:val="20"/>
                <w:szCs w:val="20"/>
                <w:color w:val="auto"/>
              </w:rPr>
            </w:pPr>
            <w:r>
              <w:rPr>
                <w:rFonts w:ascii="Arial" w:cs="Arial" w:eastAsia="Arial" w:hAnsi="Arial"/>
                <w:sz w:val="18"/>
                <w:szCs w:val="18"/>
                <w:color w:val="auto"/>
              </w:rPr>
              <w:t>Distributable cash flow</w:t>
            </w:r>
            <w:r>
              <w:rPr>
                <w:rFonts w:ascii="Arial" w:cs="Arial" w:eastAsia="Arial" w:hAnsi="Arial"/>
                <w:sz w:val="29"/>
                <w:szCs w:val="29"/>
                <w:color w:val="auto"/>
                <w:vertAlign w:val="superscript"/>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72,254</w:t>
            </w: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83,660</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100,551</w:t>
            </w:r>
          </w:p>
        </w:tc>
        <w:tc>
          <w:tcPr>
            <w:tcW w:w="2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23,254</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22,915</w:t>
            </w:r>
          </w:p>
        </w:tc>
        <w:tc>
          <w:tcPr>
            <w:tcW w:w="2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46,750</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50,377</w:t>
            </w:r>
          </w:p>
        </w:tc>
        <w:tc>
          <w:tcPr>
            <w:tcW w:w="0" w:type="dxa"/>
            <w:vAlign w:val="bottom"/>
          </w:tcPr>
          <w:p>
            <w:pPr>
              <w:spacing w:after="0"/>
              <w:rPr>
                <w:sz w:val="1"/>
                <w:szCs w:val="1"/>
                <w:color w:val="auto"/>
              </w:rPr>
            </w:pPr>
          </w:p>
        </w:tc>
      </w:tr>
      <w:tr>
        <w:trPr>
          <w:trHeight w:val="208"/>
        </w:trPr>
        <w:tc>
          <w:tcPr>
            <w:tcW w:w="2380" w:type="dxa"/>
            <w:vAlign w:val="bottom"/>
            <w:gridSpan w:val="2"/>
          </w:tcPr>
          <w:p>
            <w:pPr>
              <w:ind w:left="140"/>
              <w:spacing w:after="0"/>
              <w:rPr>
                <w:sz w:val="20"/>
                <w:szCs w:val="20"/>
                <w:color w:val="auto"/>
              </w:rPr>
            </w:pPr>
            <w:r>
              <w:rPr>
                <w:rFonts w:ascii="Arial" w:cs="Arial" w:eastAsia="Arial" w:hAnsi="Arial"/>
                <w:sz w:val="18"/>
                <w:szCs w:val="18"/>
                <w:color w:val="auto"/>
              </w:rPr>
              <w:t>Cash distributions declared</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51,192</w:t>
            </w:r>
          </w:p>
        </w:tc>
        <w:tc>
          <w:tcPr>
            <w:tcW w:w="24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65,577</w:t>
            </w: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83,048</w:t>
            </w:r>
          </w:p>
        </w:tc>
        <w:tc>
          <w:tcPr>
            <w:tcW w:w="220" w:type="dxa"/>
            <w:vAlign w:val="bottom"/>
          </w:tcPr>
          <w:p>
            <w:pPr>
              <w:spacing w:after="0"/>
              <w:rPr>
                <w:sz w:val="18"/>
                <w:szCs w:val="18"/>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20,121</w:t>
            </w:r>
          </w:p>
        </w:tc>
        <w:tc>
          <w:tcPr>
            <w:tcW w:w="2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24,272</w:t>
            </w:r>
          </w:p>
        </w:tc>
        <w:tc>
          <w:tcPr>
            <w:tcW w:w="240" w:type="dxa"/>
            <w:vAlign w:val="bottom"/>
          </w:tcPr>
          <w:p>
            <w:pPr>
              <w:spacing w:after="0"/>
              <w:rPr>
                <w:sz w:val="18"/>
                <w:szCs w:val="18"/>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39,670</w:t>
            </w:r>
          </w:p>
        </w:tc>
        <w:tc>
          <w:tcPr>
            <w:tcW w:w="240" w:type="dxa"/>
            <w:vAlign w:val="bottom"/>
          </w:tcPr>
          <w:p>
            <w:pPr>
              <w:spacing w:after="0"/>
              <w:rPr>
                <w:sz w:val="18"/>
                <w:szCs w:val="18"/>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47,117</w:t>
            </w:r>
          </w:p>
        </w:tc>
        <w:tc>
          <w:tcPr>
            <w:tcW w:w="0" w:type="dxa"/>
            <w:vAlign w:val="bottom"/>
          </w:tcPr>
          <w:p>
            <w:pPr>
              <w:spacing w:after="0"/>
              <w:rPr>
                <w:sz w:val="1"/>
                <w:szCs w:val="1"/>
                <w:color w:val="auto"/>
              </w:rPr>
            </w:pPr>
          </w:p>
        </w:tc>
      </w:tr>
      <w:tr>
        <w:trPr>
          <w:trHeight w:val="27"/>
        </w:trPr>
        <w:tc>
          <w:tcPr>
            <w:tcW w:w="2380" w:type="dxa"/>
            <w:vAlign w:val="bottom"/>
            <w:gridSpan w:val="2"/>
          </w:tcPr>
          <w:p>
            <w:pPr>
              <w:ind w:left="280"/>
              <w:spacing w:after="0" w:line="27" w:lineRule="exact"/>
              <w:rPr>
                <w:sz w:val="20"/>
                <w:szCs w:val="20"/>
                <w:color w:val="auto"/>
              </w:rPr>
            </w:pPr>
            <w:r>
              <w:rPr>
                <w:rFonts w:ascii="Arial" w:cs="Arial" w:eastAsia="Arial" w:hAnsi="Arial"/>
                <w:sz w:val="3"/>
                <w:szCs w:val="3"/>
                <w:color w:val="auto"/>
              </w:rPr>
              <w:t>and paid</w:t>
            </w:r>
          </w:p>
        </w:tc>
        <w:tc>
          <w:tcPr>
            <w:tcW w:w="700" w:type="dxa"/>
            <w:vAlign w:val="bottom"/>
            <w:vMerge w:val="continue"/>
          </w:tcPr>
          <w:p>
            <w:pPr>
              <w:spacing w:after="0"/>
              <w:rPr>
                <w:sz w:val="2"/>
                <w:szCs w:val="2"/>
                <w:color w:val="auto"/>
              </w:rPr>
            </w:pP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w w:val="82"/>
              </w:rPr>
              <w:t>(12)</w:t>
            </w:r>
          </w:p>
        </w:tc>
        <w:tc>
          <w:tcPr>
            <w:tcW w:w="700" w:type="dxa"/>
            <w:vAlign w:val="bottom"/>
            <w:vMerge w:val="continue"/>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w w:val="87"/>
              </w:rPr>
              <w:t>(7)</w:t>
            </w:r>
          </w:p>
        </w:tc>
        <w:tc>
          <w:tcPr>
            <w:tcW w:w="700" w:type="dxa"/>
            <w:vAlign w:val="bottom"/>
            <w:vMerge w:val="continue"/>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w w:val="76"/>
              </w:rPr>
              <w:t>(9)</w:t>
            </w:r>
          </w:p>
        </w:tc>
        <w:tc>
          <w:tcPr>
            <w:tcW w:w="640" w:type="dxa"/>
            <w:vAlign w:val="bottom"/>
            <w:gridSpan w:val="2"/>
            <w:vMerge w:val="continue"/>
          </w:tcPr>
          <w:p>
            <w:pPr>
              <w:spacing w:after="0"/>
              <w:rPr>
                <w:sz w:val="2"/>
                <w:szCs w:val="2"/>
                <w:color w:val="auto"/>
              </w:rPr>
            </w:pPr>
          </w:p>
        </w:tc>
        <w:tc>
          <w:tcPr>
            <w:tcW w:w="240" w:type="dxa"/>
            <w:vAlign w:val="bottom"/>
            <w:vMerge w:val="restart"/>
          </w:tcPr>
          <w:p>
            <w:pPr>
              <w:jc w:val="center"/>
              <w:spacing w:after="0"/>
              <w:rPr>
                <w:sz w:val="20"/>
                <w:szCs w:val="20"/>
                <w:color w:val="auto"/>
              </w:rPr>
            </w:pPr>
            <w:r>
              <w:rPr>
                <w:rFonts w:ascii="Arial" w:cs="Arial" w:eastAsia="Arial" w:hAnsi="Arial"/>
                <w:sz w:val="15"/>
                <w:szCs w:val="15"/>
                <w:color w:val="auto"/>
                <w:w w:val="89"/>
              </w:rPr>
              <w:t>(10)</w:t>
            </w:r>
          </w:p>
        </w:tc>
        <w:tc>
          <w:tcPr>
            <w:tcW w:w="620" w:type="dxa"/>
            <w:vAlign w:val="bottom"/>
            <w:vMerge w:val="continue"/>
          </w:tcPr>
          <w:p>
            <w:pPr>
              <w:spacing w:after="0"/>
              <w:rPr>
                <w:sz w:val="2"/>
                <w:szCs w:val="2"/>
                <w:color w:val="auto"/>
              </w:rPr>
            </w:pP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w w:val="82"/>
              </w:rPr>
              <w:t>(11)</w:t>
            </w:r>
          </w:p>
        </w:tc>
        <w:tc>
          <w:tcPr>
            <w:tcW w:w="640" w:type="dxa"/>
            <w:vAlign w:val="bottom"/>
            <w:gridSpan w:val="2"/>
            <w:vMerge w:val="continue"/>
          </w:tcPr>
          <w:p>
            <w:pPr>
              <w:spacing w:after="0"/>
              <w:rPr>
                <w:sz w:val="2"/>
                <w:szCs w:val="2"/>
                <w:color w:val="auto"/>
              </w:rPr>
            </w:pP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w w:val="82"/>
              </w:rPr>
              <w:t>(10)</w:t>
            </w:r>
          </w:p>
        </w:tc>
        <w:tc>
          <w:tcPr>
            <w:tcW w:w="9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13"/>
        </w:trPr>
        <w:tc>
          <w:tcPr>
            <w:tcW w:w="2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Preference unit distributions</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declared and paid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2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10,076</w:t>
            </w:r>
          </w:p>
        </w:tc>
        <w:tc>
          <w:tcPr>
            <w:tcW w:w="0" w:type="dxa"/>
            <w:vAlign w:val="bottom"/>
          </w:tcPr>
          <w:p>
            <w:pPr>
              <w:spacing w:after="0"/>
              <w:rPr>
                <w:sz w:val="1"/>
                <w:szCs w:val="1"/>
                <w:color w:val="auto"/>
              </w:rPr>
            </w:pPr>
          </w:p>
        </w:tc>
      </w:tr>
      <w:tr>
        <w:trPr>
          <w:trHeight w:val="108"/>
        </w:trPr>
        <w:tc>
          <w:tcPr>
            <w:tcW w:w="16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9"/>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GAS-fourteen Ltd., acquired on April 26, 2018 from GasLog.</w:t>
      </w:r>
    </w:p>
    <w:p>
      <w:pPr>
        <w:spacing w:after="0" w:line="122" w:lineRule="exact"/>
        <w:rPr>
          <w:rFonts w:ascii="Arial" w:cs="Arial" w:eastAsia="Arial" w:hAnsi="Arial"/>
          <w:sz w:val="11"/>
          <w:szCs w:val="11"/>
          <w:color w:val="auto"/>
        </w:rPr>
      </w:pPr>
    </w:p>
    <w:p>
      <w:pPr>
        <w:ind w:left="1880" w:hanging="544"/>
        <w:spacing w:after="0" w:line="261" w:lineRule="auto"/>
        <w:tabs>
          <w:tab w:leader="none" w:pos="1880" w:val="left"/>
        </w:tabs>
        <w:numPr>
          <w:ilvl w:val="0"/>
          <w:numId w:val="9"/>
        </w:numPr>
        <w:rPr>
          <w:rFonts w:ascii="Arial" w:cs="Arial" w:eastAsia="Arial" w:hAnsi="Arial"/>
          <w:sz w:val="10"/>
          <w:szCs w:val="10"/>
          <w:color w:val="auto"/>
        </w:rPr>
      </w:pPr>
      <w:r>
        <w:rPr>
          <w:rFonts w:ascii="Arial" w:cs="Arial" w:eastAsia="Arial" w:hAnsi="Arial"/>
          <w:sz w:val="12"/>
          <w:szCs w:val="12"/>
          <w:color w:val="auto"/>
        </w:rPr>
        <w:t>On May 12, 2014, the Partnership completed its IPO and issued 9,822,358 common units, 9,822,358 subordinated units and 400,913 general partner units. On September 29, 2014, the Partnership completed an equity offering of 4,500,000 common units. In connection with the offering, the Partnership issued 91,837 general partner units to its general partner in order for GasLog to retain its 2.0% general partner interest. On June 26, 2015, the Partnership completed an equity offering of 7,500,000 common units. In connection with the offering, the Partnership issued 153,061 general partner units to its general partner in order for GasLog to retain its 2.0% general partner interest. On August 5, 2016, the Partnership completed an equity offering of 2,750,000 common units. In connection with the offering, the Partnership issued 56,122 general partner units to its general partner in order for GasLog to retain its 2.0% general partner interest. On January 27, 2017, the Partnership completed an equity offering of 3,750,000 common units. In addition, the option to purchase additional units was partially exercised by the underwriter on February 24, 2017, resulting in 120,000 additional units being sold at the same price. In connection with the offering, the Partnership issued 78,980 general partner units to its general partner in order for GasLog to retain its 2.0% general partner interest. Earnings per unit is presented for the periods in which the units were outstanding. On May 15, 2017, the Partnership completed an equity offering of 5,750,000 Series A Preference Units. On May 16, 2017 the subordination period expired, and the subordinated units held by GasLog converted on a one-for-one basis into common units, which participate pro rata with other common units in distributions for available cash. Also, on May 16, 2017, GasLog Partners entered into an Equity Distribution Agreement under which the Partnership may, from time to time, raise equity through the issuance and sale of new common units having an aggregate offering price of up to $100.0 million. On November 3, 2017, the Partnership entered into the Amended and Restated Equity Distribution Agreement to increase the size of the program from $100,000,000 to $144,040,000 (the "ATM Programme"). On January 17, 2018, the Partnership completed an equity offering of 4,600,000 Series B Preference Units. Since the commencement of the ATM Programme through June 30, 2018, GasLog Partners has issued and received payment for a total of 2,738,425 common units. In connection with the issuance of common units under the ATM Programme during this period, the Partnership also issued 55,887 general partner units to its general partner in order for GasLog to retain its 2.0% general partner interest. On July 26, 2018, the Partnership entered into the Second Amended and Restated Equity Distribution Agreement to register its ATM Programme, which had previously been registered under a shelf registration statement that expired in June 2018, under a shelf registration statement declared effective by the SEC on October 10, 2017.</w:t>
      </w:r>
    </w:p>
    <w:p>
      <w:pPr>
        <w:spacing w:after="0" w:line="106" w:lineRule="exact"/>
        <w:rPr>
          <w:rFonts w:ascii="Arial" w:cs="Arial" w:eastAsia="Arial" w:hAnsi="Arial"/>
          <w:sz w:val="10"/>
          <w:szCs w:val="10"/>
          <w:color w:val="auto"/>
        </w:rPr>
      </w:pPr>
    </w:p>
    <w:p>
      <w:pPr>
        <w:ind w:left="1880" w:right="60" w:hanging="544"/>
        <w:spacing w:after="0" w:line="228" w:lineRule="auto"/>
        <w:tabs>
          <w:tab w:leader="none" w:pos="1880" w:val="left"/>
        </w:tabs>
        <w:numPr>
          <w:ilvl w:val="0"/>
          <w:numId w:val="9"/>
        </w:numPr>
        <w:rPr>
          <w:rFonts w:ascii="Arial" w:cs="Arial" w:eastAsia="Arial" w:hAnsi="Arial"/>
          <w:sz w:val="11"/>
          <w:szCs w:val="11"/>
          <w:color w:val="auto"/>
        </w:rPr>
      </w:pPr>
      <w:r>
        <w:rPr>
          <w:rFonts w:ascii="Arial" w:cs="Arial" w:eastAsia="Arial" w:hAnsi="Arial"/>
          <w:sz w:val="14"/>
          <w:szCs w:val="14"/>
          <w:color w:val="auto"/>
        </w:rPr>
        <w:t>Upon the expiration of the subordination period, which occurred on May 16, 2017, all of the subordinated units held by GasLog converted on a one-for-one basis into common units which participate pro rata with other common units in distributions of available cash. Consequently, earnings have been allocated to subordinated units and the weighted average number of subordinated units has been calculated only for the applicable period in 2017 during which they were entitled to distributions based on the Partnership Agreement, i.e. for the three months ended March 31, 2017. For further discussion, see "Item 8. Financial Information—Our Cash Distribution Policy-Subordination Period" in our Annual Report on Form 20-F.</w:t>
      </w:r>
    </w:p>
    <w:p>
      <w:pPr>
        <w:spacing w:after="0" w:line="113" w:lineRule="exact"/>
        <w:rPr>
          <w:rFonts w:ascii="Arial" w:cs="Arial" w:eastAsia="Arial" w:hAnsi="Arial"/>
          <w:sz w:val="11"/>
          <w:szCs w:val="11"/>
          <w:color w:val="auto"/>
        </w:rPr>
      </w:pPr>
    </w:p>
    <w:p>
      <w:pPr>
        <w:ind w:left="1880" w:right="100" w:hanging="544"/>
        <w:spacing w:after="0" w:line="228" w:lineRule="auto"/>
        <w:tabs>
          <w:tab w:leader="none" w:pos="1880" w:val="left"/>
        </w:tabs>
        <w:numPr>
          <w:ilvl w:val="0"/>
          <w:numId w:val="9"/>
        </w:numPr>
        <w:rPr>
          <w:rFonts w:ascii="Arial" w:cs="Arial" w:eastAsia="Arial" w:hAnsi="Arial"/>
          <w:sz w:val="11"/>
          <w:szCs w:val="11"/>
          <w:color w:val="auto"/>
        </w:rPr>
      </w:pPr>
      <w:r>
        <w:rPr>
          <w:rFonts w:ascii="Arial" w:cs="Arial" w:eastAsia="Arial" w:hAnsi="Arial"/>
          <w:sz w:val="14"/>
          <w:szCs w:val="14"/>
          <w:color w:val="auto"/>
        </w:rPr>
        <w:t>The operating days for our fleet are the total number of days in a given period that the vessels were in our possession less the total number of days off-hire not recoverable from the insurers.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100" w:lineRule="exact"/>
        <w:rPr>
          <w:rFonts w:ascii="Arial" w:cs="Arial" w:eastAsia="Arial" w:hAnsi="Arial"/>
          <w:sz w:val="11"/>
          <w:szCs w:val="11"/>
          <w:color w:val="auto"/>
        </w:rPr>
      </w:pPr>
    </w:p>
    <w:p>
      <w:pPr>
        <w:ind w:left="1880" w:hanging="544"/>
        <w:spacing w:after="0"/>
        <w:tabs>
          <w:tab w:leader="none" w:pos="188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b w:val="1"/>
          <w:bCs w:val="1"/>
          <w:color w:val="auto"/>
        </w:rPr>
        <w:t>Non-GAAP Financial Measures</w:t>
      </w:r>
    </w:p>
    <w:p>
      <w:pPr>
        <w:spacing w:after="0" w:line="219" w:lineRule="exact"/>
        <w:rPr>
          <w:rFonts w:ascii="Arial" w:cs="Arial" w:eastAsia="Arial" w:hAnsi="Arial"/>
          <w:sz w:val="22"/>
          <w:szCs w:val="22"/>
          <w:color w:val="auto"/>
          <w:vertAlign w:val="superscript"/>
        </w:rPr>
      </w:pPr>
    </w:p>
    <w:p>
      <w:pPr>
        <w:ind w:left="1880" w:right="400"/>
        <w:spacing w:after="0" w:line="239" w:lineRule="auto"/>
        <w:rPr>
          <w:rFonts w:ascii="Arial" w:cs="Arial" w:eastAsia="Arial" w:hAnsi="Arial"/>
          <w:sz w:val="22"/>
          <w:szCs w:val="22"/>
          <w:color w:val="auto"/>
          <w:vertAlign w:val="superscript"/>
        </w:rPr>
      </w:pPr>
      <w:r>
        <w:rPr>
          <w:rFonts w:ascii="Arial" w:cs="Arial" w:eastAsia="Arial" w:hAnsi="Arial"/>
          <w:sz w:val="14"/>
          <w:szCs w:val="14"/>
          <w:b w:val="1"/>
          <w:bCs w:val="1"/>
          <w:i w:val="1"/>
          <w:iCs w:val="1"/>
          <w:color w:val="auto"/>
        </w:rPr>
        <w:t xml:space="preserve">Partnership Performance Results. </w:t>
      </w:r>
      <w:r>
        <w:rPr>
          <w:rFonts w:ascii="Arial" w:cs="Arial" w:eastAsia="Arial" w:hAnsi="Arial"/>
          <w:sz w:val="14"/>
          <w:szCs w:val="14"/>
          <w:color w:val="auto"/>
        </w:rPr>
        <w:t>As described above, our IFRS Common Control Reported Results are derived from the consolidated financial statements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Partnership.</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5270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5527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80" w:right="260"/>
        <w:spacing w:after="0" w:line="262" w:lineRule="auto"/>
        <w:rPr>
          <w:sz w:val="20"/>
          <w:szCs w:val="20"/>
          <w:color w:val="auto"/>
        </w:rPr>
      </w:pPr>
      <w:r>
        <w:rPr>
          <w:rFonts w:ascii="Arial" w:cs="Arial" w:eastAsia="Arial" w:hAnsi="Arial"/>
          <w:sz w:val="12"/>
          <w:szCs w:val="12"/>
          <w:color w:val="auto"/>
        </w:rPr>
        <w:t xml:space="preserve">Our Partnership Performance Results presented below are non-GAAP measures and exclude amounts related to GAS-three Ltd., GAS-four Ltd. and GAS-five Ltd. (the owners of the </w:t>
      </w:r>
      <w:r>
        <w:rPr>
          <w:rFonts w:ascii="Arial" w:cs="Arial" w:eastAsia="Arial" w:hAnsi="Arial"/>
          <w:sz w:val="12"/>
          <w:szCs w:val="12"/>
          <w:i w:val="1"/>
          <w:iCs w:val="1"/>
          <w:color w:val="auto"/>
        </w:rPr>
        <w:t>GasLog Shanghai</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Santiago</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Sydney</w:t>
      </w:r>
      <w:r>
        <w:rPr>
          <w:rFonts w:ascii="Arial" w:cs="Arial" w:eastAsia="Arial" w:hAnsi="Arial"/>
          <w:sz w:val="12"/>
          <w:szCs w:val="12"/>
          <w:color w:val="auto"/>
        </w:rPr>
        <w:t xml:space="preserve">, respectively) for the period prior to the closing of the IPO, GAS-sixteen Ltd. and GAS-seventeen Ltd. (the owners of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respectively) for the period prior to their transfer to the Partnership on September 29, 2014, the amounts related to GAS-nineteen Ltd., GAS-twenty Ltd. and GAS-twenty one Ltd. (the owners of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Shirley Elisabeth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Methane Heather Sally</w:t>
      </w:r>
      <w:r>
        <w:rPr>
          <w:rFonts w:ascii="Arial" w:cs="Arial" w:eastAsia="Arial" w:hAnsi="Arial"/>
          <w:sz w:val="12"/>
          <w:szCs w:val="12"/>
          <w:color w:val="auto"/>
        </w:rPr>
        <w:t>, respectively) for the period prior to their transfer to the Partnership on July 1, 2015, the amounts related to GAS-</w:t>
      </w:r>
    </w:p>
    <w:p>
      <w:pPr>
        <w:spacing w:after="0" w:line="2" w:lineRule="exact"/>
        <w:rPr>
          <w:sz w:val="20"/>
          <w:szCs w:val="20"/>
          <w:color w:val="auto"/>
        </w:rPr>
      </w:pPr>
    </w:p>
    <w:p>
      <w:pPr>
        <w:ind w:left="1880"/>
        <w:spacing w:after="0" w:line="261" w:lineRule="auto"/>
        <w:rPr>
          <w:sz w:val="20"/>
          <w:szCs w:val="20"/>
          <w:color w:val="auto"/>
        </w:rPr>
      </w:pPr>
      <w:r>
        <w:rPr>
          <w:rFonts w:ascii="Arial" w:cs="Arial" w:eastAsia="Arial" w:hAnsi="Arial"/>
          <w:sz w:val="12"/>
          <w:szCs w:val="12"/>
          <w:color w:val="auto"/>
        </w:rPr>
        <w:t xml:space="preserve">seven Ltd. (the owner of the </w:t>
      </w:r>
      <w:r>
        <w:rPr>
          <w:rFonts w:ascii="Arial" w:cs="Arial" w:eastAsia="Arial" w:hAnsi="Arial"/>
          <w:sz w:val="12"/>
          <w:szCs w:val="12"/>
          <w:i w:val="1"/>
          <w:iCs w:val="1"/>
          <w:color w:val="auto"/>
        </w:rPr>
        <w:t>GasLog Seattle</w:t>
      </w:r>
      <w:r>
        <w:rPr>
          <w:rFonts w:ascii="Arial" w:cs="Arial" w:eastAsia="Arial" w:hAnsi="Arial"/>
          <w:sz w:val="12"/>
          <w:szCs w:val="12"/>
          <w:color w:val="auto"/>
        </w:rPr>
        <w:t xml:space="preserve">) for the period prior to its transfer to the Partnership on November 1, 2016, the amounts related to GAS-eleven Ltd. (the owner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for the period prior to its transfer to the Partnership on May 3, 2017, the amounts related to GAS-thirteen Ltd. (the owner of the </w:t>
      </w:r>
      <w:r>
        <w:rPr>
          <w:rFonts w:ascii="Arial" w:cs="Arial" w:eastAsia="Arial" w:hAnsi="Arial"/>
          <w:sz w:val="12"/>
          <w:szCs w:val="12"/>
          <w:i w:val="1"/>
          <w:iCs w:val="1"/>
          <w:color w:val="auto"/>
        </w:rPr>
        <w:t>GasLog Geneva</w:t>
      </w:r>
      <w:r>
        <w:rPr>
          <w:rFonts w:ascii="Arial" w:cs="Arial" w:eastAsia="Arial" w:hAnsi="Arial"/>
          <w:sz w:val="12"/>
          <w:szCs w:val="12"/>
          <w:color w:val="auto"/>
        </w:rPr>
        <w:t xml:space="preserve">) for the period prior to its transfer to the Partnership on July 3, 2017, the amounts related to GAS-eight Ltd. (the owner of the </w:t>
      </w:r>
      <w:r>
        <w:rPr>
          <w:rFonts w:ascii="Arial" w:cs="Arial" w:eastAsia="Arial" w:hAnsi="Arial"/>
          <w:sz w:val="12"/>
          <w:szCs w:val="12"/>
          <w:i w:val="1"/>
          <w:iCs w:val="1"/>
          <w:color w:val="auto"/>
        </w:rPr>
        <w:t>Solaris</w:t>
      </w:r>
      <w:r>
        <w:rPr>
          <w:rFonts w:ascii="Arial" w:cs="Arial" w:eastAsia="Arial" w:hAnsi="Arial"/>
          <w:sz w:val="12"/>
          <w:szCs w:val="12"/>
          <w:color w:val="auto"/>
        </w:rPr>
        <w:t xml:space="preserve">) for the period prior to its transfer to the Partnership on October 20, 2017 and the amounts related to GAS-fourteen Ltd. (the owner of the </w:t>
      </w:r>
      <w:r>
        <w:rPr>
          <w:rFonts w:ascii="Arial" w:cs="Arial" w:eastAsia="Arial" w:hAnsi="Arial"/>
          <w:sz w:val="12"/>
          <w:szCs w:val="12"/>
          <w:i w:val="1"/>
          <w:iCs w:val="1"/>
          <w:color w:val="auto"/>
        </w:rPr>
        <w:t>GasLog Gibraltar</w:t>
      </w:r>
      <w:r>
        <w:rPr>
          <w:rFonts w:ascii="Arial" w:cs="Arial" w:eastAsia="Arial" w:hAnsi="Arial"/>
          <w:sz w:val="12"/>
          <w:szCs w:val="12"/>
          <w:color w:val="auto"/>
        </w:rPr>
        <w:t>) for the period prior to its transfer to the Partnership on April 26, 2018. While such amounts are reflected in the Partnership's reported financial statements because the transfers to the Partnership were accounted for as a reorganization of entities under common control under IFRS, (i) GAS-three Ltd., GAS-four Ltd. and GAS-five Ltd. were not owned by the Partnership prior to the closing of the IPO, (ii) GAS-sixteen Ltd. and GAS-seventeen Ltd. were not owned by the Partnership prior to their transfer to the Partnership in September 2014, (iii) GAS-nineteen Ltd., GAS-twenty Ltd. and GAS-twenty one Ltd. were not owned by the Partnership prior to their transfer to the Partnership in July 2015, (iv) GAS-seven Ltd. was not owned by the Partnership prior to its transfer to the Partnership in November 2016, (v) GAS-eleven Ltd. was not owned by the Partnership prior to its transfer to the Partnership in May 2017, (vi) GAS-thirteen Ltd. was not owned by the Partnership prior to its transfer to the Partnership in July 2017, (vii) GAS-eight Ltd. was not owned by the Partnership prior to its transfer to the Partnership in October 2017 and (viii) GAS-fourteen Ltd. was not owned by the Partnership prior to its transfer to the Partnership in April 2018, and accordingly the Partnership was not entitled to the cash or results generated in the period prior to such transfers.</w:t>
      </w:r>
    </w:p>
    <w:p>
      <w:pPr>
        <w:spacing w:after="0" w:line="186" w:lineRule="exact"/>
        <w:rPr>
          <w:sz w:val="20"/>
          <w:szCs w:val="20"/>
          <w:color w:val="auto"/>
        </w:rPr>
      </w:pPr>
    </w:p>
    <w:p>
      <w:pPr>
        <w:ind w:left="1880" w:right="120"/>
        <w:spacing w:after="0" w:line="273" w:lineRule="auto"/>
        <w:rPr>
          <w:sz w:val="20"/>
          <w:szCs w:val="20"/>
          <w:color w:val="auto"/>
        </w:rPr>
      </w:pPr>
      <w:r>
        <w:rPr>
          <w:rFonts w:ascii="Arial" w:cs="Arial" w:eastAsia="Arial" w:hAnsi="Arial"/>
          <w:sz w:val="12"/>
          <w:szCs w:val="12"/>
          <w:color w:val="auto"/>
        </w:rPr>
        <w:t>The Partnership Performance Results are non-GAAP financial measures. GasLog Partners believes that these financial measures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172"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Reconciliation of Partnership Performance Results to IFRS Common Control Reported Results in our Financial Statements:</w:t>
      </w:r>
    </w:p>
    <w:p>
      <w:pPr>
        <w:spacing w:after="0" w:line="19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December 31, 2015</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 2016</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 2017</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29"/>
        </w:trPr>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rPr>
              <w:t>IFRS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rPr>
              <w:t>IFRS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IFRS</w:t>
            </w:r>
          </w:p>
        </w:tc>
        <w:tc>
          <w:tcPr>
            <w:tcW w:w="180" w:type="dxa"/>
            <w:vAlign w:val="bottom"/>
          </w:tcPr>
          <w:p>
            <w:pPr>
              <w:spacing w:after="0"/>
              <w:rPr>
                <w:sz w:val="11"/>
                <w:szCs w:val="1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Results</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2"/>
              </w:rPr>
              <w:t>Partnership</w:t>
            </w: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Results</w:t>
            </w:r>
          </w:p>
        </w:tc>
        <w:tc>
          <w:tcPr>
            <w:tcW w:w="8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Results</w:t>
            </w:r>
          </w:p>
        </w:tc>
        <w:tc>
          <w:tcPr>
            <w:tcW w:w="8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8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49"/>
        </w:trPr>
        <w:tc>
          <w:tcPr>
            <w:tcW w:w="1760" w:type="dxa"/>
            <w:vAlign w:val="bottom"/>
          </w:tcPr>
          <w:p>
            <w:pPr>
              <w:spacing w:after="0"/>
              <w:rPr>
                <w:sz w:val="12"/>
                <w:szCs w:val="12"/>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Reported</w:t>
            </w:r>
          </w:p>
        </w:tc>
        <w:tc>
          <w:tcPr>
            <w:tcW w:w="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Performance</w:t>
            </w: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Reported</w:t>
            </w:r>
          </w:p>
        </w:tc>
        <w:tc>
          <w:tcPr>
            <w:tcW w:w="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Performance</w:t>
            </w: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1760" w:type="dxa"/>
            <w:vAlign w:val="bottom"/>
          </w:tcPr>
          <w:p>
            <w:pPr>
              <w:spacing w:after="0"/>
              <w:rPr>
                <w:sz w:val="14"/>
                <w:szCs w:val="14"/>
                <w:color w:val="auto"/>
              </w:rPr>
            </w:pPr>
          </w:p>
        </w:tc>
        <w:tc>
          <w:tcPr>
            <w:tcW w:w="7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to GasLog</w:t>
            </w:r>
          </w:p>
        </w:tc>
        <w:tc>
          <w:tcPr>
            <w:tcW w:w="12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Results</w:t>
            </w:r>
          </w:p>
        </w:tc>
        <w:tc>
          <w:tcPr>
            <w:tcW w:w="8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Results</w:t>
            </w: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to GasLog</w:t>
            </w:r>
          </w:p>
        </w:tc>
        <w:tc>
          <w:tcPr>
            <w:tcW w:w="12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Results</w:t>
            </w:r>
          </w:p>
        </w:tc>
        <w:tc>
          <w:tcPr>
            <w:tcW w:w="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Results</w:t>
            </w:r>
          </w:p>
        </w:tc>
        <w:tc>
          <w:tcPr>
            <w:tcW w:w="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to GasLog</w:t>
            </w: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Results</w:t>
            </w:r>
          </w:p>
        </w:tc>
        <w:tc>
          <w:tcPr>
            <w:tcW w:w="8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Results</w:t>
            </w:r>
          </w:p>
        </w:tc>
      </w:tr>
      <w:tr>
        <w:trPr>
          <w:trHeight w:val="169"/>
        </w:trPr>
        <w:tc>
          <w:tcPr>
            <w:tcW w:w="1760" w:type="dxa"/>
            <w:vAlign w:val="bottom"/>
          </w:tcPr>
          <w:p>
            <w:pPr>
              <w:spacing w:after="0"/>
              <w:rPr>
                <w:sz w:val="14"/>
                <w:szCs w:val="14"/>
                <w:color w:val="auto"/>
              </w:rPr>
            </w:pPr>
          </w:p>
        </w:tc>
        <w:tc>
          <w:tcPr>
            <w:tcW w:w="700" w:type="dxa"/>
            <w:vAlign w:val="bottom"/>
            <w:tcBorders>
              <w:top w:val="single" w:sz="8" w:color="auto"/>
              <w:bottom w:val="single" w:sz="8" w:color="auto"/>
            </w:tcBorders>
            <w:gridSpan w:val="2"/>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gridSpan w:val="2"/>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80" w:type="dxa"/>
            <w:vAlign w:val="bottom"/>
          </w:tcPr>
          <w:p>
            <w:pPr>
              <w:spacing w:after="0"/>
              <w:rPr>
                <w:sz w:val="14"/>
                <w:szCs w:val="14"/>
                <w:color w:val="auto"/>
              </w:rPr>
            </w:pPr>
          </w:p>
        </w:tc>
        <w:tc>
          <w:tcPr>
            <w:tcW w:w="700" w:type="dxa"/>
            <w:vAlign w:val="bottom"/>
            <w:tcBorders>
              <w:top w:val="single" w:sz="8" w:color="auto"/>
              <w:bottom w:val="single" w:sz="8" w:color="auto"/>
            </w:tcBorders>
            <w:gridSpan w:val="2"/>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gridSpan w:val="2"/>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80" w:type="dxa"/>
            <w:vAlign w:val="bottom"/>
          </w:tcPr>
          <w:p>
            <w:pPr>
              <w:spacing w:after="0"/>
              <w:rPr>
                <w:sz w:val="14"/>
                <w:szCs w:val="14"/>
                <w:color w:val="auto"/>
              </w:rPr>
            </w:pPr>
          </w:p>
        </w:tc>
        <w:tc>
          <w:tcPr>
            <w:tcW w:w="700" w:type="dxa"/>
            <w:vAlign w:val="bottom"/>
            <w:tcBorders>
              <w:top w:val="single" w:sz="8" w:color="auto"/>
              <w:bottom w:val="single" w:sz="8" w:color="auto"/>
            </w:tcBorders>
            <w:gridSpan w:val="2"/>
          </w:tcPr>
          <w:p>
            <w:pPr>
              <w:jc w:val="center"/>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gridSpan w:val="2"/>
          </w:tcPr>
          <w:p>
            <w:pPr>
              <w:jc w:val="center"/>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80" w:type="dxa"/>
            <w:vAlign w:val="bottom"/>
          </w:tcPr>
          <w:p>
            <w:pPr>
              <w:spacing w:after="0"/>
              <w:rPr>
                <w:sz w:val="14"/>
                <w:szCs w:val="14"/>
                <w:color w:val="auto"/>
              </w:rPr>
            </w:pPr>
          </w:p>
        </w:tc>
      </w:tr>
      <w:tr>
        <w:trPr>
          <w:trHeight w:val="142"/>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8"/>
          </w:tcPr>
          <w:p>
            <w:pPr>
              <w:jc w:val="right"/>
              <w:ind w:right="380"/>
              <w:spacing w:after="0" w:line="142" w:lineRule="exact"/>
              <w:rPr>
                <w:sz w:val="20"/>
                <w:szCs w:val="20"/>
                <w:color w:val="auto"/>
              </w:rPr>
            </w:pPr>
            <w:r>
              <w:rPr>
                <w:rFonts w:ascii="Arial" w:cs="Arial" w:eastAsia="Arial" w:hAnsi="Arial"/>
                <w:sz w:val="14"/>
                <w:szCs w:val="14"/>
                <w:b w:val="1"/>
                <w:bCs w:val="1"/>
                <w:color w:val="auto"/>
                <w:w w:val="94"/>
              </w:rPr>
              <w:t>(in thousands of U.S. dollars)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36"/>
        </w:trPr>
        <w:tc>
          <w:tcPr>
            <w:tcW w:w="1760" w:type="dxa"/>
            <w:vAlign w:val="bottom"/>
            <w:shd w:val="clear" w:color="auto" w:fill="CCEEFF"/>
          </w:tcPr>
          <w:p>
            <w:pPr>
              <w:ind w:left="80"/>
              <w:spacing w:after="0" w:line="136" w:lineRule="exact"/>
              <w:rPr>
                <w:sz w:val="20"/>
                <w:szCs w:val="20"/>
                <w:color w:val="auto"/>
              </w:rPr>
            </w:pPr>
            <w:r>
              <w:rPr>
                <w:rFonts w:ascii="Arial" w:cs="Arial" w:eastAsia="Arial" w:hAnsi="Arial"/>
                <w:sz w:val="14"/>
                <w:szCs w:val="14"/>
                <w:b w:val="1"/>
                <w:bCs w:val="1"/>
                <w:color w:val="auto"/>
              </w:rPr>
              <w:t>STATEMENT OF PROFIT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1"/>
        </w:trPr>
        <w:tc>
          <w:tcPr>
            <w:tcW w:w="17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OR LOSS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49"/>
        </w:trPr>
        <w:tc>
          <w:tcPr>
            <w:tcW w:w="1760" w:type="dxa"/>
            <w:vAlign w:val="bottom"/>
          </w:tcPr>
          <w:p>
            <w:pPr>
              <w:ind w:left="80"/>
              <w:spacing w:after="0" w:line="149" w:lineRule="exact"/>
              <w:rPr>
                <w:sz w:val="20"/>
                <w:szCs w:val="20"/>
                <w:color w:val="auto"/>
              </w:rPr>
            </w:pPr>
            <w:r>
              <w:rPr>
                <w:rFonts w:ascii="Arial" w:cs="Arial" w:eastAsia="Arial" w:hAnsi="Arial"/>
                <w:sz w:val="14"/>
                <w:szCs w:val="14"/>
                <w:color w:val="auto"/>
              </w:rPr>
              <w:t>Revenues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79,574</w:t>
            </w:r>
          </w:p>
        </w:tc>
        <w:tc>
          <w:tcPr>
            <w:tcW w:w="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168,927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248,501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80,870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206,424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287,294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71,963</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269,071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341,034</w:t>
            </w:r>
          </w:p>
        </w:tc>
      </w:tr>
      <w:tr>
        <w:trPr>
          <w:trHeight w:val="138"/>
        </w:trPr>
        <w:tc>
          <w:tcPr>
            <w:tcW w:w="17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Voyage expenses and</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9"/>
        </w:trPr>
        <w:tc>
          <w:tcPr>
            <w:tcW w:w="176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commissions</w:t>
            </w: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(1,211)</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(2,102)</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(3,313)</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(1,114)</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(2,841)</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(3,955)</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(896)</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(3,377)</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(4,273)</w:t>
            </w:r>
          </w:p>
        </w:tc>
      </w:tr>
      <w:tr>
        <w:trPr>
          <w:trHeight w:val="149"/>
        </w:trPr>
        <w:tc>
          <w:tcPr>
            <w:tcW w:w="1760" w:type="dxa"/>
            <w:vAlign w:val="bottom"/>
          </w:tcPr>
          <w:p>
            <w:pPr>
              <w:ind w:left="80"/>
              <w:spacing w:after="0" w:line="149" w:lineRule="exact"/>
              <w:rPr>
                <w:sz w:val="20"/>
                <w:szCs w:val="20"/>
                <w:color w:val="auto"/>
              </w:rPr>
            </w:pPr>
            <w:r>
              <w:rPr>
                <w:rFonts w:ascii="Arial" w:cs="Arial" w:eastAsia="Arial" w:hAnsi="Arial"/>
                <w:sz w:val="14"/>
                <w:szCs w:val="14"/>
                <w:color w:val="auto"/>
              </w:rPr>
              <w:t>Vessel operating costs</w:t>
            </w:r>
          </w:p>
        </w:tc>
        <w:tc>
          <w:tcPr>
            <w:tcW w:w="100" w:type="dxa"/>
            <w:vAlign w:val="bottom"/>
          </w:tcPr>
          <w:p>
            <w:pPr>
              <w:spacing w:after="0"/>
              <w:rPr>
                <w:sz w:val="12"/>
                <w:szCs w:val="12"/>
                <w:color w:val="auto"/>
              </w:rPr>
            </w:pP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(18,926)</w:t>
            </w: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(33,656)</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(52,582)</w:t>
            </w:r>
          </w:p>
        </w:tc>
        <w:tc>
          <w:tcPr>
            <w:tcW w:w="10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(12,950)</w:t>
            </w: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(43,479)</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(56,429)</w:t>
            </w:r>
          </w:p>
        </w:tc>
        <w:tc>
          <w:tcPr>
            <w:tcW w:w="10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(9,501)</w:t>
            </w: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(55,692)</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(65,193)</w:t>
            </w:r>
          </w:p>
        </w:tc>
      </w:tr>
      <w:tr>
        <w:trPr>
          <w:trHeight w:val="149"/>
        </w:trPr>
        <w:tc>
          <w:tcPr>
            <w:tcW w:w="17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Depreciation</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(19,712)</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(35,981)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(55,693)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(17,524)</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(45,230)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(62,754)</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(15,355)</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(58,193)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(73,548)</w:t>
            </w:r>
          </w:p>
        </w:tc>
      </w:tr>
      <w:tr>
        <w:trPr>
          <w:trHeight w:val="138"/>
        </w:trPr>
        <w:tc>
          <w:tcPr>
            <w:tcW w:w="1760" w:type="dxa"/>
            <w:vAlign w:val="bottom"/>
          </w:tcPr>
          <w:p>
            <w:pPr>
              <w:ind w:left="80"/>
              <w:spacing w:after="0" w:line="138" w:lineRule="exact"/>
              <w:rPr>
                <w:sz w:val="20"/>
                <w:szCs w:val="20"/>
                <w:color w:val="auto"/>
              </w:rPr>
            </w:pPr>
            <w:r>
              <w:rPr>
                <w:rFonts w:ascii="Arial" w:cs="Arial" w:eastAsia="Arial" w:hAnsi="Arial"/>
                <w:sz w:val="14"/>
                <w:szCs w:val="14"/>
                <w:color w:val="auto"/>
                <w:w w:val="99"/>
              </w:rPr>
              <w:t>General and administrative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9"/>
        </w:trPr>
        <w:tc>
          <w:tcPr>
            <w:tcW w:w="1760" w:type="dxa"/>
            <w:vAlign w:val="bottom"/>
          </w:tcPr>
          <w:p>
            <w:pPr>
              <w:ind w:left="180"/>
              <w:spacing w:after="0" w:line="159" w:lineRule="exact"/>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13"/>
                <w:szCs w:val="13"/>
                <w:color w:val="auto"/>
              </w:rPr>
            </w:pPr>
          </w:p>
        </w:tc>
        <w:tc>
          <w:tcPr>
            <w:tcW w:w="6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(1,423)</w:t>
            </w:r>
          </w:p>
        </w:tc>
        <w:tc>
          <w:tcPr>
            <w:tcW w:w="120" w:type="dxa"/>
            <w:vAlign w:val="bottom"/>
          </w:tcPr>
          <w:p>
            <w:pPr>
              <w:spacing w:after="0"/>
              <w:rPr>
                <w:sz w:val="13"/>
                <w:szCs w:val="13"/>
                <w:color w:val="auto"/>
              </w:rPr>
            </w:pPr>
          </w:p>
        </w:tc>
        <w:tc>
          <w:tcPr>
            <w:tcW w:w="7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(10,383)</w:t>
            </w: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(11,806)</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(1,578)</w:t>
            </w:r>
          </w:p>
        </w:tc>
        <w:tc>
          <w:tcPr>
            <w:tcW w:w="120" w:type="dxa"/>
            <w:vAlign w:val="bottom"/>
          </w:tcPr>
          <w:p>
            <w:pPr>
              <w:spacing w:after="0"/>
              <w:rPr>
                <w:sz w:val="13"/>
                <w:szCs w:val="13"/>
                <w:color w:val="auto"/>
              </w:rPr>
            </w:pP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(11,219)</w:t>
            </w: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(12,797)</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(1,051)</w:t>
            </w:r>
          </w:p>
        </w:tc>
        <w:tc>
          <w:tcPr>
            <w:tcW w:w="120" w:type="dxa"/>
            <w:vAlign w:val="bottom"/>
          </w:tcPr>
          <w:p>
            <w:pPr>
              <w:spacing w:after="0"/>
              <w:rPr>
                <w:sz w:val="13"/>
                <w:szCs w:val="13"/>
                <w:color w:val="auto"/>
              </w:rPr>
            </w:pP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(13,869)</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(14,920)</w:t>
            </w:r>
          </w:p>
        </w:tc>
      </w:tr>
      <w:tr>
        <w:trPr>
          <w:trHeight w:val="20"/>
        </w:trPr>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176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38,302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86,805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125,107</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47,704</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103,655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151,359</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45,160</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137,940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183,100</w:t>
            </w:r>
          </w:p>
        </w:tc>
      </w:tr>
      <w:tr>
        <w:trPr>
          <w:trHeight w:val="142"/>
        </w:trPr>
        <w:tc>
          <w:tcPr>
            <w:tcW w:w="1760" w:type="dxa"/>
            <w:vAlign w:val="bottom"/>
          </w:tcPr>
          <w:p>
            <w:pPr>
              <w:ind w:left="80"/>
              <w:spacing w:after="0" w:line="142" w:lineRule="exact"/>
              <w:rPr>
                <w:sz w:val="20"/>
                <w:szCs w:val="20"/>
                <w:color w:val="auto"/>
              </w:rPr>
            </w:pPr>
            <w:r>
              <w:rPr>
                <w:rFonts w:ascii="Arial" w:cs="Arial" w:eastAsia="Arial" w:hAnsi="Arial"/>
                <w:sz w:val="14"/>
                <w:szCs w:val="14"/>
                <w:color w:val="auto"/>
              </w:rPr>
              <w:t>Financial costs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(13,716)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(21,789)</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(35,505)</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(20,440)</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(30,187)</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(50,627)</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(14,402)</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(44,916)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(59,318)</w:t>
            </w:r>
          </w:p>
        </w:tc>
        <w:tc>
          <w:tcPr>
            <w:tcW w:w="180" w:type="dxa"/>
            <w:vAlign w:val="bottom"/>
          </w:tcPr>
          <w:p>
            <w:pPr>
              <w:spacing w:after="0"/>
              <w:rPr>
                <w:sz w:val="12"/>
                <w:szCs w:val="12"/>
                <w:color w:val="auto"/>
              </w:rPr>
            </w:pPr>
          </w:p>
        </w:tc>
      </w:tr>
      <w:tr>
        <w:trPr>
          <w:trHeight w:val="149"/>
        </w:trPr>
        <w:tc>
          <w:tcPr>
            <w:tcW w:w="17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Financial income</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1,016</w:t>
            </w:r>
          </w:p>
        </w:tc>
      </w:tr>
      <w:tr>
        <w:trPr>
          <w:trHeight w:val="149"/>
        </w:trPr>
        <w:tc>
          <w:tcPr>
            <w:tcW w:w="1760" w:type="dxa"/>
            <w:vAlign w:val="bottom"/>
          </w:tcPr>
          <w:p>
            <w:pPr>
              <w:ind w:left="80"/>
              <w:spacing w:after="0" w:line="149" w:lineRule="exact"/>
              <w:rPr>
                <w:sz w:val="20"/>
                <w:szCs w:val="20"/>
                <w:color w:val="auto"/>
              </w:rPr>
            </w:pPr>
            <w:r>
              <w:rPr>
                <w:rFonts w:ascii="Arial" w:cs="Arial" w:eastAsia="Arial" w:hAnsi="Arial"/>
                <w:sz w:val="14"/>
                <w:szCs w:val="14"/>
                <w:color w:val="auto"/>
              </w:rPr>
              <w:t>(Loss)/gain on derivatives</w:t>
            </w:r>
          </w:p>
        </w:tc>
        <w:tc>
          <w:tcPr>
            <w:tcW w:w="100" w:type="dxa"/>
            <w:vAlign w:val="bottom"/>
          </w:tcPr>
          <w:p>
            <w:pPr>
              <w:spacing w:after="0"/>
              <w:rPr>
                <w:sz w:val="12"/>
                <w:szCs w:val="12"/>
                <w:color w:val="auto"/>
              </w:rPr>
            </w:pP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(5,895)</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(5,895)</w:t>
            </w:r>
          </w:p>
        </w:tc>
        <w:tc>
          <w:tcPr>
            <w:tcW w:w="10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(10,460)</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3,623</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(6,837)</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121</w:t>
            </w:r>
          </w:p>
        </w:tc>
      </w:tr>
      <w:tr>
        <w:trPr>
          <w:trHeight w:val="20"/>
        </w:trPr>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176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w w:val="98"/>
              </w:rPr>
              <w:t>Total other expenses, net</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(19,600)</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(21,765)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(41,365)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(30,873)</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(26,385)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(57,258)</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(14,358)</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(43,823)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(58,181)</w:t>
            </w:r>
          </w:p>
        </w:tc>
      </w:tr>
      <w:tr>
        <w:trPr>
          <w:trHeight w:val="142"/>
        </w:trPr>
        <w:tc>
          <w:tcPr>
            <w:tcW w:w="17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Profit for the year</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18,702</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65,040</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83,742</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16,831</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77,270</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94,101</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30,802</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94,117</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124,919</w:t>
            </w:r>
          </w:p>
        </w:tc>
        <w:tc>
          <w:tcPr>
            <w:tcW w:w="180" w:type="dxa"/>
            <w:vAlign w:val="bottom"/>
          </w:tcPr>
          <w:p>
            <w:pPr>
              <w:spacing w:after="0"/>
              <w:rPr>
                <w:sz w:val="12"/>
                <w:szCs w:val="12"/>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81165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8116570"/>
                    </a:xfrm>
                    <a:prstGeom prst="rect">
                      <a:avLst/>
                    </a:prstGeom>
                    <a:noFill/>
                  </pic:spPr>
                </pic:pic>
              </a:graphicData>
            </a:graphic>
          </wp:anchor>
        </w:drawing>
      </w:r>
    </w:p>
    <w:p>
      <w:pPr>
        <w:sectPr>
          <w:pgSz w:w="11900" w:h="16838" w:orient="portrait"/>
          <w:cols w:equalWidth="0" w:num="1">
            <w:col w:w="10700"/>
          </w:cols>
          <w:pgMar w:left="240" w:top="131"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center"/>
              <w:ind w:left="657"/>
              <w:spacing w:after="0"/>
              <w:rPr>
                <w:sz w:val="20"/>
                <w:szCs w:val="20"/>
                <w:color w:val="auto"/>
              </w:rPr>
            </w:pPr>
            <w:r>
              <w:rPr>
                <w:rFonts w:ascii="Arial" w:cs="Arial" w:eastAsia="Arial" w:hAnsi="Arial"/>
                <w:sz w:val="14"/>
                <w:szCs w:val="14"/>
                <w:b w:val="1"/>
                <w:bCs w:val="1"/>
                <w:color w:val="auto"/>
                <w:w w:val="87"/>
              </w:rPr>
              <w:t>For the three months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center"/>
              <w:ind w:left="656"/>
              <w:spacing w:after="0"/>
              <w:rPr>
                <w:sz w:val="20"/>
                <w:szCs w:val="20"/>
                <w:color w:val="auto"/>
              </w:rPr>
            </w:pPr>
            <w:r>
              <w:rPr>
                <w:rFonts w:ascii="Arial" w:cs="Arial" w:eastAsia="Arial" w:hAnsi="Arial"/>
                <w:sz w:val="14"/>
                <w:szCs w:val="14"/>
                <w:b w:val="1"/>
                <w:bCs w:val="1"/>
                <w:color w:val="auto"/>
                <w:w w:val="87"/>
              </w:rPr>
              <w:t>For the three months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2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ended June 30, 2017</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5"/>
              </w:rPr>
              <w:t>ended June 30, 2018</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29"/>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IFRS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93"/>
              </w:rPr>
              <w:t>IFRS</w:t>
            </w:r>
          </w:p>
        </w:tc>
        <w:tc>
          <w:tcPr>
            <w:tcW w:w="180" w:type="dxa"/>
            <w:vAlign w:val="bottom"/>
          </w:tcPr>
          <w:p>
            <w:pPr>
              <w:spacing w:after="0"/>
              <w:rPr>
                <w:sz w:val="11"/>
                <w:szCs w:val="11"/>
                <w:color w:val="auto"/>
              </w:rPr>
            </w:pPr>
          </w:p>
        </w:tc>
      </w:tr>
      <w:tr>
        <w:trPr>
          <w:trHeight w:val="14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4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2"/>
              </w:rPr>
              <w:t>Results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Partnership</w:t>
            </w:r>
          </w:p>
        </w:tc>
        <w:tc>
          <w:tcPr>
            <w:tcW w:w="100" w:type="dxa"/>
            <w:vAlign w:val="bottom"/>
          </w:tcPr>
          <w:p>
            <w:pPr>
              <w:spacing w:after="0"/>
              <w:rPr>
                <w:sz w:val="12"/>
                <w:szCs w:val="12"/>
                <w:color w:val="auto"/>
              </w:rPr>
            </w:pPr>
          </w:p>
        </w:tc>
        <w:tc>
          <w:tcPr>
            <w:tcW w:w="90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92"/>
              </w:rPr>
              <w:t>Control</w:t>
            </w:r>
          </w:p>
        </w:tc>
        <w:tc>
          <w:tcPr>
            <w:tcW w:w="120" w:type="dxa"/>
            <w:vAlign w:val="bottom"/>
          </w:tcPr>
          <w:p>
            <w:pPr>
              <w:spacing w:after="0"/>
              <w:rPr>
                <w:sz w:val="12"/>
                <w:szCs w:val="12"/>
                <w:color w:val="auto"/>
              </w:rPr>
            </w:pPr>
          </w:p>
        </w:tc>
        <w:tc>
          <w:tcPr>
            <w:tcW w:w="80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2"/>
              </w:rPr>
              <w:t>Results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49"/>
        </w:trPr>
        <w:tc>
          <w:tcPr>
            <w:tcW w:w="27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10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00" w:type="dxa"/>
            <w:vAlign w:val="bottom"/>
          </w:tcPr>
          <w:p>
            <w:pPr>
              <w:spacing w:after="0"/>
              <w:rPr>
                <w:sz w:val="12"/>
                <w:szCs w:val="12"/>
                <w:color w:val="auto"/>
              </w:rPr>
            </w:pPr>
          </w:p>
        </w:tc>
        <w:tc>
          <w:tcPr>
            <w:tcW w:w="90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7"/>
              </w:rPr>
              <w:t>Reported</w:t>
            </w: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10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3"/>
              </w:rPr>
              <w:t>to GasLog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Results</w:t>
            </w:r>
          </w:p>
        </w:tc>
        <w:tc>
          <w:tcPr>
            <w:tcW w:w="100" w:type="dxa"/>
            <w:vAlign w:val="bottom"/>
          </w:tcPr>
          <w:p>
            <w:pPr>
              <w:spacing w:after="0"/>
              <w:rPr>
                <w:sz w:val="14"/>
                <w:szCs w:val="14"/>
                <w:color w:val="auto"/>
              </w:rPr>
            </w:pPr>
          </w:p>
        </w:tc>
        <w:tc>
          <w:tcPr>
            <w:tcW w:w="90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2"/>
              </w:rPr>
              <w:t>Results</w:t>
            </w:r>
          </w:p>
        </w:tc>
        <w:tc>
          <w:tcPr>
            <w:tcW w:w="120" w:type="dxa"/>
            <w:vAlign w:val="bottom"/>
          </w:tcPr>
          <w:p>
            <w:pPr>
              <w:spacing w:after="0"/>
              <w:rPr>
                <w:sz w:val="14"/>
                <w:szCs w:val="14"/>
                <w:color w:val="auto"/>
              </w:rPr>
            </w:pPr>
          </w:p>
        </w:tc>
        <w:tc>
          <w:tcPr>
            <w:tcW w:w="80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6"/>
              </w:rPr>
              <w:t>to GasLog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Results</w:t>
            </w: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Results</w:t>
            </w:r>
          </w:p>
        </w:tc>
      </w:tr>
      <w:tr>
        <w:trPr>
          <w:trHeight w:val="169"/>
        </w:trPr>
        <w:tc>
          <w:tcPr>
            <w:tcW w:w="27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center"/>
              <w:ind w:right="17"/>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80" w:type="dxa"/>
            <w:vAlign w:val="bottom"/>
            <w:gridSpan w:val="4"/>
          </w:tcPr>
          <w:p>
            <w:pPr>
              <w:jc w:val="right"/>
              <w:ind w:right="92"/>
              <w:spacing w:after="0" w:line="142" w:lineRule="exact"/>
              <w:rPr>
                <w:sz w:val="20"/>
                <w:szCs w:val="20"/>
                <w:color w:val="auto"/>
              </w:rPr>
            </w:pPr>
            <w:r>
              <w:rPr>
                <w:rFonts w:ascii="Arial" w:cs="Arial" w:eastAsia="Arial" w:hAnsi="Arial"/>
                <w:sz w:val="14"/>
                <w:szCs w:val="14"/>
                <w:b w:val="1"/>
                <w:bCs w:val="1"/>
                <w:color w:val="auto"/>
                <w:w w:val="91"/>
              </w:rPr>
              <w:t>of U.S. dollars)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2"/>
        </w:trPr>
        <w:tc>
          <w:tcPr>
            <w:tcW w:w="272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b w:val="1"/>
                <w:bCs w:val="1"/>
                <w:color w:val="auto"/>
              </w:rPr>
              <w:t>STATEMENT OF PROFIT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27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OR LOSS</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6"/>
        </w:trPr>
        <w:tc>
          <w:tcPr>
            <w:tcW w:w="2720" w:type="dxa"/>
            <w:vAlign w:val="bottom"/>
          </w:tcPr>
          <w:p>
            <w:pPr>
              <w:ind w:left="460"/>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22,823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62,582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85,405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74,909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76,934</w:t>
            </w:r>
          </w:p>
        </w:tc>
      </w:tr>
      <w:tr>
        <w:trPr>
          <w:trHeight w:val="216"/>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pool allocation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08"/>
        </w:trPr>
        <w:tc>
          <w:tcPr>
            <w:tcW w:w="2720" w:type="dxa"/>
            <w:vAlign w:val="bottom"/>
          </w:tcPr>
          <w:p>
            <w:pPr>
              <w:ind w:left="460"/>
              <w:spacing w:after="0"/>
              <w:rPr>
                <w:sz w:val="20"/>
                <w:szCs w:val="20"/>
                <w:color w:val="auto"/>
              </w:rPr>
            </w:pPr>
            <w:r>
              <w:rPr>
                <w:rFonts w:ascii="Arial" w:cs="Arial" w:eastAsia="Arial" w:hAnsi="Arial"/>
                <w:sz w:val="18"/>
                <w:szCs w:val="18"/>
                <w:color w:val="auto"/>
              </w:rPr>
              <w:t>Voyage expenses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2720" w:type="dxa"/>
            <w:vAlign w:val="bottom"/>
          </w:tcPr>
          <w:p>
            <w:pPr>
              <w:ind w:left="600"/>
              <w:spacing w:after="0"/>
              <w:rPr>
                <w:sz w:val="20"/>
                <w:szCs w:val="20"/>
                <w:color w:val="auto"/>
              </w:rPr>
            </w:pPr>
            <w:r>
              <w:rPr>
                <w:rFonts w:ascii="Arial" w:cs="Arial" w:eastAsia="Arial" w:hAnsi="Arial"/>
                <w:sz w:val="18"/>
                <w:szCs w:val="18"/>
                <w:color w:val="auto"/>
              </w:rPr>
              <w:t>commissions</w:t>
            </w: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r>
      <w:tr>
        <w:trPr>
          <w:trHeight w:val="217"/>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Vessel operating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(16,232)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(15,351)</w:t>
            </w:r>
          </w:p>
        </w:tc>
      </w:tr>
      <w:tr>
        <w:trPr>
          <w:trHeight w:val="216"/>
        </w:trPr>
        <w:tc>
          <w:tcPr>
            <w:tcW w:w="272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(13,466)</w:t>
            </w:r>
          </w:p>
        </w:tc>
        <w:tc>
          <w:tcPr>
            <w:tcW w:w="100" w:type="dxa"/>
            <w:vAlign w:val="bottom"/>
          </w:tcPr>
          <w:p>
            <w:pPr>
              <w:spacing w:after="0"/>
              <w:rPr>
                <w:sz w:val="18"/>
                <w:szCs w:val="18"/>
                <w:color w:val="auto"/>
              </w:rPr>
            </w:pP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(18,330)</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(17,974)</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(18,375)</w:t>
            </w:r>
          </w:p>
        </w:tc>
      </w:tr>
      <w:tr>
        <w:trPr>
          <w:trHeight w:val="208"/>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(3,588)</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(4,671)</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(4,698)</w:t>
            </w:r>
          </w:p>
        </w:tc>
      </w:tr>
      <w:tr>
        <w:trPr>
          <w:trHeight w:val="210"/>
        </w:trPr>
        <w:tc>
          <w:tcPr>
            <w:tcW w:w="2720" w:type="dxa"/>
            <w:vAlign w:val="bottom"/>
          </w:tcPr>
          <w:p>
            <w:pPr>
              <w:ind w:left="460"/>
              <w:spacing w:after="0"/>
              <w:rPr>
                <w:sz w:val="20"/>
                <w:szCs w:val="20"/>
                <w:color w:val="auto"/>
              </w:rPr>
            </w:pPr>
            <w:r>
              <w:rPr>
                <w:rFonts w:ascii="Arial" w:cs="Arial" w:eastAsia="Arial" w:hAnsi="Arial"/>
                <w:sz w:val="18"/>
                <w:szCs w:val="18"/>
                <w:b w:val="1"/>
                <w:bCs w:val="1"/>
                <w:color w:val="auto"/>
              </w:rPr>
              <w:t>Profit from operations</w:t>
            </w: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31,754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46,185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35,286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36,617</w:t>
            </w:r>
          </w:p>
        </w:tc>
        <w:tc>
          <w:tcPr>
            <w:tcW w:w="180" w:type="dxa"/>
            <w:vAlign w:val="bottom"/>
          </w:tcPr>
          <w:p>
            <w:pPr>
              <w:spacing w:after="0"/>
              <w:rPr>
                <w:sz w:val="18"/>
                <w:szCs w:val="18"/>
                <w:color w:val="auto"/>
              </w:rPr>
            </w:pPr>
          </w:p>
        </w:tc>
      </w:tr>
      <w:tr>
        <w:trPr>
          <w:trHeight w:val="210"/>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Financial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(14,892)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(14,946)</w:t>
            </w:r>
          </w:p>
        </w:tc>
      </w:tr>
      <w:tr>
        <w:trPr>
          <w:trHeight w:val="216"/>
        </w:trPr>
        <w:tc>
          <w:tcPr>
            <w:tcW w:w="2720" w:type="dxa"/>
            <w:vAlign w:val="bottom"/>
          </w:tcPr>
          <w:p>
            <w:pPr>
              <w:ind w:left="460"/>
              <w:spacing w:after="0"/>
              <w:rPr>
                <w:sz w:val="20"/>
                <w:szCs w:val="20"/>
                <w:color w:val="auto"/>
              </w:rPr>
            </w:pPr>
            <w:r>
              <w:rPr>
                <w:rFonts w:ascii="Arial" w:cs="Arial" w:eastAsia="Arial" w:hAnsi="Arial"/>
                <w:sz w:val="18"/>
                <w:szCs w:val="18"/>
                <w:color w:val="auto"/>
              </w:rPr>
              <w:t>Financial income</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r>
      <w:tr>
        <w:trPr>
          <w:trHeight w:val="216"/>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(Loss)/gain on derivatives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(2,336)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1,588</w:t>
            </w:r>
          </w:p>
        </w:tc>
      </w:tr>
      <w:tr>
        <w:trPr>
          <w:trHeight w:val="210"/>
        </w:trPr>
        <w:tc>
          <w:tcPr>
            <w:tcW w:w="2720" w:type="dxa"/>
            <w:vAlign w:val="bottom"/>
          </w:tcPr>
          <w:p>
            <w:pPr>
              <w:ind w:left="460"/>
              <w:spacing w:after="0"/>
              <w:rPr>
                <w:sz w:val="20"/>
                <w:szCs w:val="20"/>
                <w:color w:val="auto"/>
              </w:rPr>
            </w:pPr>
            <w:r>
              <w:rPr>
                <w:rFonts w:ascii="Arial" w:cs="Arial" w:eastAsia="Arial" w:hAnsi="Arial"/>
                <w:sz w:val="18"/>
                <w:szCs w:val="18"/>
                <w:b w:val="1"/>
                <w:bCs w:val="1"/>
                <w:color w:val="auto"/>
              </w:rPr>
              <w:t>Total other expenses, net</w:t>
            </w: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(12,396)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(16,985)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(12,385)</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(12,776)</w:t>
            </w:r>
          </w:p>
        </w:tc>
        <w:tc>
          <w:tcPr>
            <w:tcW w:w="180" w:type="dxa"/>
            <w:vAlign w:val="bottom"/>
          </w:tcPr>
          <w:p>
            <w:pPr>
              <w:spacing w:after="0"/>
              <w:rPr>
                <w:sz w:val="18"/>
                <w:szCs w:val="18"/>
                <w:color w:val="auto"/>
              </w:rPr>
            </w:pPr>
          </w:p>
        </w:tc>
      </w:tr>
      <w:tr>
        <w:trPr>
          <w:trHeight w:val="210"/>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Profit for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9,842</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19,358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29,200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22,901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23,841</w:t>
            </w:r>
          </w:p>
        </w:tc>
      </w:tr>
      <w:tr>
        <w:trPr>
          <w:trHeight w:val="20"/>
        </w:trPr>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65"/>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For the six months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For the six months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1"/>
        </w:trPr>
        <w:tc>
          <w:tcPr>
            <w:tcW w:w="2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ended June 30, 2017</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5"/>
              </w:rPr>
              <w:t>ended June 30, 2018</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29"/>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IFRS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93"/>
              </w:rPr>
              <w:t>IFRS</w:t>
            </w:r>
          </w:p>
        </w:tc>
        <w:tc>
          <w:tcPr>
            <w:tcW w:w="180" w:type="dxa"/>
            <w:vAlign w:val="bottom"/>
          </w:tcPr>
          <w:p>
            <w:pPr>
              <w:spacing w:after="0"/>
              <w:rPr>
                <w:sz w:val="11"/>
                <w:szCs w:val="11"/>
                <w:color w:val="auto"/>
              </w:rPr>
            </w:pPr>
          </w:p>
        </w:tc>
      </w:tr>
      <w:tr>
        <w:trPr>
          <w:trHeight w:val="14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4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2"/>
              </w:rPr>
              <w:t>Results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Partnership</w:t>
            </w:r>
          </w:p>
        </w:tc>
        <w:tc>
          <w:tcPr>
            <w:tcW w:w="100" w:type="dxa"/>
            <w:vAlign w:val="bottom"/>
          </w:tcPr>
          <w:p>
            <w:pPr>
              <w:spacing w:after="0"/>
              <w:rPr>
                <w:sz w:val="12"/>
                <w:szCs w:val="12"/>
                <w:color w:val="auto"/>
              </w:rPr>
            </w:pPr>
          </w:p>
        </w:tc>
        <w:tc>
          <w:tcPr>
            <w:tcW w:w="90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92"/>
              </w:rPr>
              <w:t>Control</w:t>
            </w:r>
          </w:p>
        </w:tc>
        <w:tc>
          <w:tcPr>
            <w:tcW w:w="120" w:type="dxa"/>
            <w:vAlign w:val="bottom"/>
          </w:tcPr>
          <w:p>
            <w:pPr>
              <w:spacing w:after="0"/>
              <w:rPr>
                <w:sz w:val="12"/>
                <w:szCs w:val="12"/>
                <w:color w:val="auto"/>
              </w:rPr>
            </w:pPr>
          </w:p>
        </w:tc>
        <w:tc>
          <w:tcPr>
            <w:tcW w:w="80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2"/>
              </w:rPr>
              <w:t>Results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49"/>
        </w:trPr>
        <w:tc>
          <w:tcPr>
            <w:tcW w:w="27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10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00" w:type="dxa"/>
            <w:vAlign w:val="bottom"/>
          </w:tcPr>
          <w:p>
            <w:pPr>
              <w:spacing w:after="0"/>
              <w:rPr>
                <w:sz w:val="12"/>
                <w:szCs w:val="12"/>
                <w:color w:val="auto"/>
              </w:rPr>
            </w:pPr>
          </w:p>
        </w:tc>
        <w:tc>
          <w:tcPr>
            <w:tcW w:w="90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7"/>
              </w:rPr>
              <w:t>Reported</w:t>
            </w: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10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3"/>
              </w:rPr>
              <w:t>to GasLog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Results</w:t>
            </w:r>
          </w:p>
        </w:tc>
        <w:tc>
          <w:tcPr>
            <w:tcW w:w="100" w:type="dxa"/>
            <w:vAlign w:val="bottom"/>
          </w:tcPr>
          <w:p>
            <w:pPr>
              <w:spacing w:after="0"/>
              <w:rPr>
                <w:sz w:val="14"/>
                <w:szCs w:val="14"/>
                <w:color w:val="auto"/>
              </w:rPr>
            </w:pPr>
          </w:p>
        </w:tc>
        <w:tc>
          <w:tcPr>
            <w:tcW w:w="90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2"/>
              </w:rPr>
              <w:t>Results</w:t>
            </w:r>
          </w:p>
        </w:tc>
        <w:tc>
          <w:tcPr>
            <w:tcW w:w="120" w:type="dxa"/>
            <w:vAlign w:val="bottom"/>
          </w:tcPr>
          <w:p>
            <w:pPr>
              <w:spacing w:after="0"/>
              <w:rPr>
                <w:sz w:val="14"/>
                <w:szCs w:val="14"/>
                <w:color w:val="auto"/>
              </w:rPr>
            </w:pPr>
          </w:p>
        </w:tc>
        <w:tc>
          <w:tcPr>
            <w:tcW w:w="80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6"/>
              </w:rPr>
              <w:t>to GasLog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Results</w:t>
            </w: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Results</w:t>
            </w:r>
          </w:p>
        </w:tc>
      </w:tr>
      <w:tr>
        <w:trPr>
          <w:trHeight w:val="169"/>
        </w:trPr>
        <w:tc>
          <w:tcPr>
            <w:tcW w:w="27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center"/>
              <w:ind w:right="17"/>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80" w:type="dxa"/>
            <w:vAlign w:val="bottom"/>
            <w:gridSpan w:val="4"/>
          </w:tcPr>
          <w:p>
            <w:pPr>
              <w:jc w:val="right"/>
              <w:ind w:right="92"/>
              <w:spacing w:after="0" w:line="142" w:lineRule="exact"/>
              <w:rPr>
                <w:sz w:val="20"/>
                <w:szCs w:val="20"/>
                <w:color w:val="auto"/>
              </w:rPr>
            </w:pPr>
            <w:r>
              <w:rPr>
                <w:rFonts w:ascii="Arial" w:cs="Arial" w:eastAsia="Arial" w:hAnsi="Arial"/>
                <w:sz w:val="14"/>
                <w:szCs w:val="14"/>
                <w:b w:val="1"/>
                <w:bCs w:val="1"/>
                <w:color w:val="auto"/>
                <w:w w:val="91"/>
              </w:rPr>
              <w:t>of U.S. dollars)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2"/>
        </w:trPr>
        <w:tc>
          <w:tcPr>
            <w:tcW w:w="272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b w:val="1"/>
                <w:bCs w:val="1"/>
                <w:color w:val="auto"/>
              </w:rPr>
              <w:t>STATEMENT OF PROFIT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27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OR LOSS</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6"/>
        </w:trPr>
        <w:tc>
          <w:tcPr>
            <w:tcW w:w="2720" w:type="dxa"/>
            <w:vAlign w:val="bottom"/>
          </w:tcPr>
          <w:p>
            <w:pPr>
              <w:ind w:left="460"/>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50,307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119,575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169,882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9,315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151,970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161,285</w:t>
            </w:r>
          </w:p>
        </w:tc>
      </w:tr>
      <w:tr>
        <w:trPr>
          <w:trHeight w:val="216"/>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pool allocation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08"/>
        </w:trPr>
        <w:tc>
          <w:tcPr>
            <w:tcW w:w="2720" w:type="dxa"/>
            <w:vAlign w:val="bottom"/>
          </w:tcPr>
          <w:p>
            <w:pPr>
              <w:ind w:left="460"/>
              <w:spacing w:after="0"/>
              <w:rPr>
                <w:sz w:val="20"/>
                <w:szCs w:val="20"/>
                <w:color w:val="auto"/>
              </w:rPr>
            </w:pPr>
            <w:r>
              <w:rPr>
                <w:rFonts w:ascii="Arial" w:cs="Arial" w:eastAsia="Arial" w:hAnsi="Arial"/>
                <w:sz w:val="18"/>
                <w:szCs w:val="18"/>
                <w:color w:val="auto"/>
              </w:rPr>
              <w:t>Voyage expenses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2720" w:type="dxa"/>
            <w:vAlign w:val="bottom"/>
          </w:tcPr>
          <w:p>
            <w:pPr>
              <w:ind w:left="600"/>
              <w:spacing w:after="0"/>
              <w:rPr>
                <w:sz w:val="20"/>
                <w:szCs w:val="20"/>
                <w:color w:val="auto"/>
              </w:rPr>
            </w:pPr>
            <w:r>
              <w:rPr>
                <w:rFonts w:ascii="Arial" w:cs="Arial" w:eastAsia="Arial" w:hAnsi="Arial"/>
                <w:sz w:val="18"/>
                <w:szCs w:val="18"/>
                <w:color w:val="auto"/>
              </w:rPr>
              <w:t>commissions</w:t>
            </w: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9"/>
                <w:szCs w:val="19"/>
                <w:color w:val="auto"/>
              </w:rPr>
            </w:pP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(2,683)</w:t>
            </w:r>
          </w:p>
        </w:tc>
      </w:tr>
      <w:tr>
        <w:trPr>
          <w:trHeight w:val="217"/>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Vessel operating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(31,220)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(30,701)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(32,413)</w:t>
            </w:r>
          </w:p>
        </w:tc>
      </w:tr>
      <w:tr>
        <w:trPr>
          <w:trHeight w:val="216"/>
        </w:trPr>
        <w:tc>
          <w:tcPr>
            <w:tcW w:w="272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(10,636)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(25,828)</w:t>
            </w:r>
          </w:p>
        </w:tc>
        <w:tc>
          <w:tcPr>
            <w:tcW w:w="100" w:type="dxa"/>
            <w:vAlign w:val="bottom"/>
          </w:tcPr>
          <w:p>
            <w:pPr>
              <w:spacing w:after="0"/>
              <w:rPr>
                <w:sz w:val="18"/>
                <w:szCs w:val="18"/>
                <w:color w:val="auto"/>
              </w:rPr>
            </w:pP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(36,464)</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(34,760)</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(36,604)</w:t>
            </w:r>
          </w:p>
        </w:tc>
      </w:tr>
      <w:tr>
        <w:trPr>
          <w:trHeight w:val="208"/>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(6,351)</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(7,078)</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(9,256)</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(9,381)</w:t>
            </w:r>
          </w:p>
        </w:tc>
      </w:tr>
      <w:tr>
        <w:trPr>
          <w:trHeight w:val="210"/>
        </w:trPr>
        <w:tc>
          <w:tcPr>
            <w:tcW w:w="2720" w:type="dxa"/>
            <w:vAlign w:val="bottom"/>
          </w:tcPr>
          <w:p>
            <w:pPr>
              <w:ind w:left="460"/>
              <w:spacing w:after="0"/>
              <w:rPr>
                <w:sz w:val="20"/>
                <w:szCs w:val="20"/>
                <w:color w:val="auto"/>
              </w:rPr>
            </w:pPr>
            <w:r>
              <w:rPr>
                <w:rFonts w:ascii="Arial" w:cs="Arial" w:eastAsia="Arial" w:hAnsi="Arial"/>
                <w:sz w:val="18"/>
                <w:szCs w:val="18"/>
                <w:b w:val="1"/>
                <w:bCs w:val="1"/>
                <w:color w:val="auto"/>
              </w:rPr>
              <w:t>Profit from operations</w:t>
            </w: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61,418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92,992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74,330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79,847</w:t>
            </w:r>
          </w:p>
        </w:tc>
        <w:tc>
          <w:tcPr>
            <w:tcW w:w="180" w:type="dxa"/>
            <w:vAlign w:val="bottom"/>
          </w:tcPr>
          <w:p>
            <w:pPr>
              <w:spacing w:after="0"/>
              <w:rPr>
                <w:sz w:val="18"/>
                <w:szCs w:val="18"/>
                <w:color w:val="auto"/>
              </w:rPr>
            </w:pPr>
          </w:p>
        </w:tc>
      </w:tr>
      <w:tr>
        <w:trPr>
          <w:trHeight w:val="210"/>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Financial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(29,066)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(30,293)</w:t>
            </w:r>
          </w:p>
        </w:tc>
      </w:tr>
      <w:tr>
        <w:trPr>
          <w:trHeight w:val="216"/>
        </w:trPr>
        <w:tc>
          <w:tcPr>
            <w:tcW w:w="2720" w:type="dxa"/>
            <w:vAlign w:val="bottom"/>
          </w:tcPr>
          <w:p>
            <w:pPr>
              <w:ind w:left="460"/>
              <w:spacing w:after="0"/>
              <w:rPr>
                <w:sz w:val="20"/>
                <w:szCs w:val="20"/>
                <w:color w:val="auto"/>
              </w:rPr>
            </w:pPr>
            <w:r>
              <w:rPr>
                <w:rFonts w:ascii="Arial" w:cs="Arial" w:eastAsia="Arial" w:hAnsi="Arial"/>
                <w:sz w:val="18"/>
                <w:szCs w:val="18"/>
                <w:color w:val="auto"/>
              </w:rPr>
              <w:t>Financial income</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1,107</w:t>
            </w:r>
          </w:p>
        </w:tc>
      </w:tr>
      <w:tr>
        <w:trPr>
          <w:trHeight w:val="216"/>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(Loss)/gain on derivatives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(2,313)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7,915</w:t>
            </w:r>
          </w:p>
        </w:tc>
      </w:tr>
      <w:tr>
        <w:trPr>
          <w:trHeight w:val="210"/>
        </w:trPr>
        <w:tc>
          <w:tcPr>
            <w:tcW w:w="2720" w:type="dxa"/>
            <w:vAlign w:val="bottom"/>
          </w:tcPr>
          <w:p>
            <w:pPr>
              <w:ind w:left="460"/>
              <w:spacing w:after="0"/>
              <w:rPr>
                <w:sz w:val="20"/>
                <w:szCs w:val="20"/>
                <w:color w:val="auto"/>
              </w:rPr>
            </w:pPr>
            <w:r>
              <w:rPr>
                <w:rFonts w:ascii="Arial" w:cs="Arial" w:eastAsia="Arial" w:hAnsi="Arial"/>
                <w:sz w:val="18"/>
                <w:szCs w:val="18"/>
                <w:b w:val="1"/>
                <w:bCs w:val="1"/>
                <w:color w:val="auto"/>
              </w:rPr>
              <w:t>Total other expenses, net</w:t>
            </w: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(21,038)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(31,006)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(19,427)</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(21,271)</w:t>
            </w:r>
          </w:p>
        </w:tc>
        <w:tc>
          <w:tcPr>
            <w:tcW w:w="180" w:type="dxa"/>
            <w:vAlign w:val="bottom"/>
          </w:tcPr>
          <w:p>
            <w:pPr>
              <w:spacing w:after="0"/>
              <w:rPr>
                <w:sz w:val="18"/>
                <w:szCs w:val="18"/>
                <w:color w:val="auto"/>
              </w:rPr>
            </w:pPr>
          </w:p>
        </w:tc>
      </w:tr>
      <w:tr>
        <w:trPr>
          <w:trHeight w:val="210"/>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Profit for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21,606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40,380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61,986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54,903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58,576</w:t>
            </w:r>
          </w:p>
        </w:tc>
      </w:tr>
      <w:tr>
        <w:trPr>
          <w:trHeight w:val="20"/>
        </w:trPr>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5" w:lineRule="exact"/>
        <w:rPr>
          <w:sz w:val="20"/>
          <w:szCs w:val="20"/>
          <w:color w:val="auto"/>
        </w:rPr>
      </w:pPr>
    </w:p>
    <w:p>
      <w:pPr>
        <w:ind w:left="1880"/>
        <w:spacing w:after="0"/>
        <w:rPr>
          <w:sz w:val="20"/>
          <w:szCs w:val="20"/>
          <w:color w:val="auto"/>
        </w:rPr>
      </w:pPr>
      <w:r>
        <w:rPr>
          <w:rFonts w:ascii="Arial" w:cs="Arial" w:eastAsia="Arial" w:hAnsi="Arial"/>
          <w:sz w:val="14"/>
          <w:szCs w:val="14"/>
          <w:b w:val="1"/>
          <w:bCs w:val="1"/>
          <w:i w:val="1"/>
          <w:iCs w:val="1"/>
          <w:color w:val="auto"/>
        </w:rPr>
        <w:t>EBITDA</w:t>
      </w:r>
    </w:p>
    <w:p>
      <w:pPr>
        <w:spacing w:after="0" w:line="204" w:lineRule="exact"/>
        <w:rPr>
          <w:sz w:val="20"/>
          <w:szCs w:val="20"/>
          <w:color w:val="auto"/>
        </w:rPr>
      </w:pPr>
    </w:p>
    <w:p>
      <w:pPr>
        <w:ind w:left="1880"/>
        <w:spacing w:after="0" w:line="239" w:lineRule="auto"/>
        <w:rPr>
          <w:sz w:val="20"/>
          <w:szCs w:val="20"/>
          <w:color w:val="auto"/>
        </w:rPr>
      </w:pPr>
      <w:r>
        <w:rPr>
          <w:rFonts w:ascii="Arial" w:cs="Arial" w:eastAsia="Arial" w:hAnsi="Arial"/>
          <w:sz w:val="14"/>
          <w:szCs w:val="14"/>
          <w:color w:val="auto"/>
        </w:rPr>
        <w:t>EBITDA is defined as earnings before interest income and expense, gain/loss on derivatives, taxes, depreciation and amortization. EBITDA, which is a non-GAAP financial measure, is used as a supplemental financial measure by</w:t>
      </w:r>
    </w:p>
    <w:p>
      <w:pPr>
        <w:sectPr>
          <w:pgSz w:w="11900" w:h="16838" w:orient="portrait"/>
          <w:cols w:equalWidth="0" w:num="1">
            <w:col w:w="10700"/>
          </w:cols>
          <w:pgMar w:left="240" w:top="131"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131" w:right="9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9761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697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80"/>
        <w:spacing w:after="0" w:line="268" w:lineRule="auto"/>
        <w:rPr>
          <w:sz w:val="20"/>
          <w:szCs w:val="20"/>
          <w:color w:val="auto"/>
        </w:rPr>
      </w:pPr>
      <w:r>
        <w:rPr>
          <w:rFonts w:ascii="Arial" w:cs="Arial" w:eastAsia="Arial" w:hAnsi="Arial"/>
          <w:sz w:val="12"/>
          <w:szCs w:val="12"/>
          <w:color w:val="auto"/>
        </w:rPr>
        <w:t>management and external users of financial statements, such as investors, to assess our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financial costs, gain/losses on derivatives,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77" w:lineRule="exact"/>
        <w:rPr>
          <w:sz w:val="20"/>
          <w:szCs w:val="20"/>
          <w:color w:val="auto"/>
        </w:rPr>
      </w:pPr>
    </w:p>
    <w:p>
      <w:pPr>
        <w:ind w:left="1880"/>
        <w:spacing w:after="0" w:line="273" w:lineRule="auto"/>
        <w:rPr>
          <w:sz w:val="20"/>
          <w:szCs w:val="20"/>
          <w:color w:val="auto"/>
        </w:rPr>
      </w:pPr>
      <w:r>
        <w:rPr>
          <w:rFonts w:ascii="Arial" w:cs="Arial" w:eastAsia="Arial" w:hAnsi="Arial"/>
          <w:sz w:val="12"/>
          <w:szCs w:val="12"/>
          <w:color w:val="auto"/>
        </w:rPr>
        <w:t>EBITDA has limitations as an analytical tool and should not be considered as an alternative to, or as a substitute for, or superior to profit, profit from operations, earnings per unit or any other measure of operating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w:t>
      </w:r>
    </w:p>
    <w:p>
      <w:pPr>
        <w:spacing w:after="0" w:line="174" w:lineRule="exact"/>
        <w:rPr>
          <w:sz w:val="20"/>
          <w:szCs w:val="20"/>
          <w:color w:val="auto"/>
        </w:rPr>
      </w:pPr>
    </w:p>
    <w:p>
      <w:pPr>
        <w:jc w:val="both"/>
        <w:ind w:left="1880"/>
        <w:spacing w:after="0" w:line="233" w:lineRule="auto"/>
        <w:rPr>
          <w:sz w:val="20"/>
          <w:szCs w:val="20"/>
          <w:color w:val="auto"/>
        </w:rPr>
      </w:pPr>
      <w:r>
        <w:rPr>
          <w:rFonts w:ascii="Arial" w:cs="Arial" w:eastAsia="Arial" w:hAnsi="Arial"/>
          <w:sz w:val="14"/>
          <w:szCs w:val="14"/>
          <w:color w:val="auto"/>
        </w:rPr>
        <w:t>EBITDA excludes some, but not all, items that affect profit/(loss)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93" w:lineRule="exact"/>
        <w:rPr>
          <w:sz w:val="20"/>
          <w:szCs w:val="20"/>
          <w:color w:val="auto"/>
        </w:rPr>
      </w:pPr>
    </w:p>
    <w:p>
      <w:pPr>
        <w:ind w:left="1880" w:right="280"/>
        <w:spacing w:after="0" w:line="233" w:lineRule="auto"/>
        <w:rPr>
          <w:sz w:val="20"/>
          <w:szCs w:val="20"/>
          <w:color w:val="auto"/>
        </w:rPr>
      </w:pPr>
      <w:r>
        <w:rPr>
          <w:rFonts w:ascii="Arial" w:cs="Arial" w:eastAsia="Arial" w:hAnsi="Arial"/>
          <w:sz w:val="14"/>
          <w:szCs w:val="14"/>
          <w:color w:val="auto"/>
        </w:rPr>
        <w:t>EBITDA is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 below.</w:t>
      </w:r>
    </w:p>
    <w:p>
      <w:pPr>
        <w:spacing w:after="0" w:line="191"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Reconciliation of Profit to EBITDA:</w:t>
      </w:r>
    </w:p>
    <w:p>
      <w:pPr>
        <w:spacing w:after="0" w:line="204"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IFRS Common Control Reported Results:</w:t>
      </w:r>
    </w:p>
    <w:p>
      <w:pPr>
        <w:spacing w:after="0" w:line="19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w w:val="98"/>
              </w:rPr>
              <w:t>Six Months Ended</w:t>
            </w:r>
          </w:p>
        </w:tc>
      </w:tr>
      <w:tr>
        <w:trPr>
          <w:trHeight w:val="16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15"/>
          </w:tcPr>
          <w:p>
            <w:pPr>
              <w:jc w:val="center"/>
              <w:ind w:left="319"/>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89"/>
              </w:rPr>
              <w:t>Ended June 30,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2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jc w:val="center"/>
              <w:ind w:left="100"/>
              <w:spacing w:after="0" w:line="142"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4"/>
          </w:tcPr>
          <w:p>
            <w:pPr>
              <w:jc w:val="right"/>
              <w:ind w:right="20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09"/>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8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r>
      <w:tr>
        <w:trPr>
          <w:trHeight w:val="169"/>
        </w:trPr>
        <w:tc>
          <w:tcPr>
            <w:tcW w:w="2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2"/>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4"/>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right"/>
              <w:ind w:right="26"/>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840" w:type="dxa"/>
            <w:vAlign w:val="bottom"/>
            <w:tcBorders>
              <w:bottom w:val="single" w:sz="8" w:color="auto"/>
            </w:tcBorders>
            <w:gridSpan w:val="4"/>
          </w:tcPr>
          <w:p>
            <w:pPr>
              <w:jc w:val="right"/>
              <w:ind w:right="29"/>
              <w:spacing w:after="0" w:line="169"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9"/>
                <w:szCs w:val="19"/>
                <w:b w:val="1"/>
                <w:bCs w:val="1"/>
                <w:color w:val="auto"/>
                <w:vertAlign w:val="superscript"/>
              </w:rPr>
              <w:t>(1)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100"/>
              <w:spacing w:after="0" w:line="169" w:lineRule="exact"/>
              <w:rPr>
                <w:sz w:val="20"/>
                <w:szCs w:val="20"/>
                <w:color w:val="auto"/>
              </w:rPr>
            </w:pPr>
            <w:r>
              <w:rPr>
                <w:rFonts w:ascii="Arial" w:cs="Arial" w:eastAsia="Arial" w:hAnsi="Arial"/>
                <w:sz w:val="12"/>
                <w:szCs w:val="12"/>
                <w:b w:val="1"/>
                <w:bCs w:val="1"/>
                <w:color w:val="auto"/>
                <w:w w:val="93"/>
              </w:rPr>
              <w:t>Restated</w:t>
            </w:r>
            <w:r>
              <w:rPr>
                <w:rFonts w:ascii="Arial" w:cs="Arial" w:eastAsia="Arial" w:hAnsi="Arial"/>
                <w:sz w:val="19"/>
                <w:szCs w:val="19"/>
                <w:b w:val="1"/>
                <w:bCs w:val="1"/>
                <w:color w:val="auto"/>
                <w:w w:val="93"/>
                <w:vertAlign w:val="superscript"/>
              </w:rPr>
              <w:t>(1)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w w:val="87"/>
              </w:rPr>
              <w:t>(in thousands of U.S. dollars)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2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83,742</w:t>
            </w:r>
          </w:p>
        </w:tc>
        <w:tc>
          <w:tcPr>
            <w:tcW w:w="20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8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94,101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124,919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29,200</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5"/>
              </w:rPr>
              <w:t>$ 23,841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61,986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58,576</w:t>
            </w:r>
          </w:p>
        </w:tc>
      </w:tr>
      <w:tr>
        <w:trPr>
          <w:trHeight w:val="216"/>
        </w:trPr>
        <w:tc>
          <w:tcPr>
            <w:tcW w:w="222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55,693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6"/>
          </w:tcPr>
          <w:p>
            <w:pPr>
              <w:jc w:val="right"/>
              <w:ind w:right="100"/>
              <w:spacing w:after="0"/>
              <w:rPr>
                <w:sz w:val="20"/>
                <w:szCs w:val="20"/>
                <w:color w:val="auto"/>
              </w:rPr>
            </w:pPr>
            <w:r>
              <w:rPr>
                <w:rFonts w:ascii="Arial" w:cs="Arial" w:eastAsia="Arial" w:hAnsi="Arial"/>
                <w:sz w:val="18"/>
                <w:szCs w:val="18"/>
                <w:color w:val="auto"/>
              </w:rPr>
              <w:t>62,754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w w:val="83"/>
              </w:rPr>
              <w:t>73,548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18,330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18,375</w:t>
            </w:r>
          </w:p>
        </w:tc>
        <w:tc>
          <w:tcPr>
            <w:tcW w:w="10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36,464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36,604</w:t>
            </w:r>
          </w:p>
        </w:tc>
      </w:tr>
      <w:tr>
        <w:trPr>
          <w:trHeight w:val="216"/>
        </w:trPr>
        <w:tc>
          <w:tcPr>
            <w:tcW w:w="2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Financial costs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50,627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3"/>
              </w:rPr>
              <w:t>59,318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14,892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14,946</w:t>
            </w: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29,066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30,293</w:t>
            </w:r>
          </w:p>
        </w:tc>
      </w:tr>
      <w:tr>
        <w:trPr>
          <w:trHeight w:val="216"/>
        </w:trPr>
        <w:tc>
          <w:tcPr>
            <w:tcW w:w="2220" w:type="dxa"/>
            <w:vAlign w:val="bottom"/>
          </w:tcPr>
          <w:p>
            <w:pPr>
              <w:ind w:left="460"/>
              <w:spacing w:after="0"/>
              <w:rPr>
                <w:sz w:val="20"/>
                <w:szCs w:val="20"/>
                <w:color w:val="auto"/>
              </w:rPr>
            </w:pPr>
            <w:r>
              <w:rPr>
                <w:rFonts w:ascii="Arial" w:cs="Arial" w:eastAsia="Arial" w:hAnsi="Arial"/>
                <w:sz w:val="18"/>
                <w:szCs w:val="18"/>
                <w:color w:val="auto"/>
              </w:rPr>
              <w:t>Financial income</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(1,016)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(1,107)</w:t>
            </w:r>
          </w:p>
        </w:tc>
      </w:tr>
      <w:tr>
        <w:trPr>
          <w:trHeight w:val="208"/>
        </w:trPr>
        <w:tc>
          <w:tcPr>
            <w:tcW w:w="2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Loss/(gain) 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6,837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2,336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(1,588)</w:t>
            </w:r>
          </w:p>
        </w:tc>
        <w:tc>
          <w:tcPr>
            <w:tcW w:w="10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2,313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(7,915)</w:t>
            </w:r>
          </w:p>
        </w:tc>
      </w:tr>
      <w:tr>
        <w:trPr>
          <w:trHeight w:val="210"/>
        </w:trPr>
        <w:tc>
          <w:tcPr>
            <w:tcW w:w="2220" w:type="dxa"/>
            <w:vAlign w:val="bottom"/>
          </w:tcPr>
          <w:p>
            <w:pPr>
              <w:ind w:left="460"/>
              <w:spacing w:after="0"/>
              <w:rPr>
                <w:sz w:val="20"/>
                <w:szCs w:val="20"/>
                <w:color w:val="auto"/>
              </w:rPr>
            </w:pPr>
            <w:r>
              <w:rPr>
                <w:rFonts w:ascii="Arial" w:cs="Arial" w:eastAsia="Arial" w:hAnsi="Arial"/>
                <w:sz w:val="18"/>
                <w:szCs w:val="18"/>
                <w:b w:val="1"/>
                <w:bCs w:val="1"/>
                <w:color w:val="auto"/>
              </w:rPr>
              <w:t>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180,800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214,113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256,648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64,515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$ 54,992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129,456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116,451</w:t>
            </w:r>
          </w:p>
        </w:tc>
        <w:tc>
          <w:tcPr>
            <w:tcW w:w="180" w:type="dxa"/>
            <w:vAlign w:val="bottom"/>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58"/>
        </w:trPr>
        <w:tc>
          <w:tcPr>
            <w:tcW w:w="3120" w:type="dxa"/>
            <w:vAlign w:val="bottom"/>
            <w:gridSpan w:val="5"/>
          </w:tcPr>
          <w:p>
            <w:pPr>
              <w:ind w:left="540"/>
              <w:spacing w:after="0"/>
              <w:rPr>
                <w:sz w:val="20"/>
                <w:szCs w:val="20"/>
                <w:color w:val="auto"/>
              </w:rPr>
            </w:pPr>
            <w:r>
              <w:rPr>
                <w:rFonts w:ascii="Arial" w:cs="Arial" w:eastAsia="Arial" w:hAnsi="Arial"/>
                <w:sz w:val="14"/>
                <w:szCs w:val="14"/>
                <w:b w:val="1"/>
                <w:bCs w:val="1"/>
                <w:color w:val="auto"/>
              </w:rPr>
              <w:t>Partnership Performance Results: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9"/>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1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3"/>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r>
      <w:tr>
        <w:trPr>
          <w:trHeight w:val="142"/>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11"/>
          </w:tcPr>
          <w:p>
            <w:pPr>
              <w:jc w:val="right"/>
              <w:ind w:right="360"/>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2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Profit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65,040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w w:val="90"/>
              </w:rPr>
              <w:t>77,270</w:t>
            </w: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94,117</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$ 19,358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$ 22,901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$ 40,380</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54,903</w:t>
            </w:r>
          </w:p>
        </w:tc>
      </w:tr>
      <w:tr>
        <w:trPr>
          <w:trHeight w:val="216"/>
        </w:trPr>
        <w:tc>
          <w:tcPr>
            <w:tcW w:w="222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35,981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6"/>
          </w:tcPr>
          <w:p>
            <w:pPr>
              <w:jc w:val="right"/>
              <w:ind w:right="80"/>
              <w:spacing w:after="0"/>
              <w:rPr>
                <w:sz w:val="20"/>
                <w:szCs w:val="20"/>
                <w:color w:val="auto"/>
              </w:rPr>
            </w:pPr>
            <w:r>
              <w:rPr>
                <w:rFonts w:ascii="Arial" w:cs="Arial" w:eastAsia="Arial" w:hAnsi="Arial"/>
                <w:sz w:val="18"/>
                <w:szCs w:val="18"/>
                <w:color w:val="auto"/>
                <w:w w:val="90"/>
              </w:rPr>
              <w:t>45,230</w:t>
            </w:r>
          </w:p>
        </w:tc>
        <w:tc>
          <w:tcPr>
            <w:tcW w:w="900" w:type="dxa"/>
            <w:vAlign w:val="bottom"/>
            <w:gridSpan w:val="5"/>
          </w:tcPr>
          <w:p>
            <w:pPr>
              <w:jc w:val="right"/>
              <w:ind w:right="100"/>
              <w:spacing w:after="0"/>
              <w:rPr>
                <w:sz w:val="20"/>
                <w:szCs w:val="20"/>
                <w:color w:val="auto"/>
              </w:rPr>
            </w:pPr>
            <w:r>
              <w:rPr>
                <w:rFonts w:ascii="Arial" w:cs="Arial" w:eastAsia="Arial" w:hAnsi="Arial"/>
                <w:sz w:val="18"/>
                <w:szCs w:val="18"/>
                <w:color w:val="auto"/>
              </w:rPr>
              <w:t>58,193</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13,466</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17,974</w:t>
            </w: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25,828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34,760</w:t>
            </w:r>
          </w:p>
        </w:tc>
      </w:tr>
      <w:tr>
        <w:trPr>
          <w:trHeight w:val="216"/>
        </w:trPr>
        <w:tc>
          <w:tcPr>
            <w:tcW w:w="2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Financial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21,789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w w:val="90"/>
              </w:rPr>
              <w:t>30,187</w:t>
            </w: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44,916</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10,288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14,552</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19,070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28,440</w:t>
            </w:r>
          </w:p>
        </w:tc>
      </w:tr>
      <w:tr>
        <w:trPr>
          <w:trHeight w:val="216"/>
        </w:trPr>
        <w:tc>
          <w:tcPr>
            <w:tcW w:w="2220" w:type="dxa"/>
            <w:vAlign w:val="bottom"/>
          </w:tcPr>
          <w:p>
            <w:pPr>
              <w:ind w:left="460"/>
              <w:spacing w:after="0"/>
              <w:rPr>
                <w:sz w:val="20"/>
                <w:szCs w:val="20"/>
                <w:color w:val="auto"/>
              </w:rPr>
            </w:pPr>
            <w:r>
              <w:rPr>
                <w:rFonts w:ascii="Arial" w:cs="Arial" w:eastAsia="Arial" w:hAnsi="Arial"/>
                <w:sz w:val="18"/>
                <w:szCs w:val="18"/>
                <w:color w:val="auto"/>
              </w:rPr>
              <w:t>Financial income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ind w:left="8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8"/>
                <w:szCs w:val="18"/>
                <w:color w:val="auto"/>
                <w:w w:val="90"/>
              </w:rPr>
              <w:t>(179)</w:t>
            </w:r>
          </w:p>
        </w:tc>
        <w:tc>
          <w:tcPr>
            <w:tcW w:w="900" w:type="dxa"/>
            <w:vAlign w:val="bottom"/>
            <w:gridSpan w:val="5"/>
          </w:tcPr>
          <w:p>
            <w:pPr>
              <w:jc w:val="right"/>
              <w:ind w:right="40"/>
              <w:spacing w:after="0"/>
              <w:rPr>
                <w:sz w:val="20"/>
                <w:szCs w:val="20"/>
                <w:color w:val="auto"/>
              </w:rPr>
            </w:pPr>
            <w:r>
              <w:rPr>
                <w:rFonts w:ascii="Arial" w:cs="Arial" w:eastAsia="Arial" w:hAnsi="Arial"/>
                <w:sz w:val="18"/>
                <w:szCs w:val="18"/>
                <w:color w:val="auto"/>
              </w:rPr>
              <w:t>(972)</w:t>
            </w:r>
          </w:p>
        </w:tc>
        <w:tc>
          <w:tcPr>
            <w:tcW w:w="880" w:type="dxa"/>
            <w:vAlign w:val="bottom"/>
            <w:gridSpan w:val="5"/>
          </w:tcPr>
          <w:p>
            <w:pPr>
              <w:jc w:val="right"/>
              <w:ind w:right="12"/>
              <w:spacing w:after="0"/>
              <w:rPr>
                <w:sz w:val="20"/>
                <w:szCs w:val="20"/>
                <w:color w:val="auto"/>
              </w:rPr>
            </w:pPr>
            <w:r>
              <w:rPr>
                <w:rFonts w:ascii="Arial" w:cs="Arial" w:eastAsia="Arial" w:hAnsi="Arial"/>
                <w:sz w:val="18"/>
                <w:szCs w:val="18"/>
                <w:color w:val="auto"/>
              </w:rPr>
              <w:t>(228)</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(579)</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r>
      <w:tr>
        <w:trPr>
          <w:trHeight w:val="216"/>
        </w:trPr>
        <w:tc>
          <w:tcPr>
            <w:tcW w:w="2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0"/>
              </w:rPr>
              <w:t>(Gain)/loss on derivatives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8"/>
              </w:rPr>
              <w:t>(3,623)</w:t>
            </w: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2,336</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(7,915)</w:t>
            </w:r>
          </w:p>
        </w:tc>
      </w:tr>
      <w:tr>
        <w:trPr>
          <w:trHeight w:val="210"/>
        </w:trPr>
        <w:tc>
          <w:tcPr>
            <w:tcW w:w="2220" w:type="dxa"/>
            <w:vAlign w:val="bottom"/>
          </w:tcPr>
          <w:p>
            <w:pPr>
              <w:ind w:left="46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7"/>
              </w:rPr>
              <w:t>$ 122,786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84"/>
              </w:rPr>
              <w:t>$ 148,885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$ 196,133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$ 45,220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$ 53,260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$ 87,246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109,090</w:t>
            </w:r>
          </w:p>
        </w:tc>
        <w:tc>
          <w:tcPr>
            <w:tcW w:w="180" w:type="dxa"/>
            <w:vAlign w:val="bottom"/>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5" w:lineRule="exact"/>
        <w:rPr>
          <w:sz w:val="20"/>
          <w:szCs w:val="20"/>
          <w:color w:val="auto"/>
        </w:rPr>
      </w:pPr>
    </w:p>
    <w:p>
      <w:pPr>
        <w:ind w:left="1880"/>
        <w:spacing w:after="0"/>
        <w:rPr>
          <w:sz w:val="20"/>
          <w:szCs w:val="20"/>
          <w:color w:val="auto"/>
        </w:rPr>
      </w:pPr>
      <w:r>
        <w:rPr>
          <w:rFonts w:ascii="Arial" w:cs="Arial" w:eastAsia="Arial" w:hAnsi="Arial"/>
          <w:sz w:val="14"/>
          <w:szCs w:val="14"/>
          <w:b w:val="1"/>
          <w:bCs w:val="1"/>
          <w:i w:val="1"/>
          <w:iCs w:val="1"/>
          <w:color w:val="auto"/>
        </w:rPr>
        <w:t>Distributable Cash Flow</w:t>
      </w:r>
    </w:p>
    <w:p>
      <w:pPr>
        <w:spacing w:after="0" w:line="204" w:lineRule="exact"/>
        <w:rPr>
          <w:sz w:val="20"/>
          <w:szCs w:val="20"/>
          <w:color w:val="auto"/>
        </w:rPr>
      </w:pPr>
    </w:p>
    <w:p>
      <w:pPr>
        <w:ind w:left="1880" w:right="220"/>
        <w:spacing w:after="0" w:line="239" w:lineRule="auto"/>
        <w:rPr>
          <w:sz w:val="20"/>
          <w:szCs w:val="20"/>
          <w:color w:val="auto"/>
        </w:rPr>
      </w:pPr>
      <w:r>
        <w:rPr>
          <w:rFonts w:ascii="Arial" w:cs="Arial" w:eastAsia="Arial" w:hAnsi="Arial"/>
          <w:sz w:val="14"/>
          <w:szCs w:val="14"/>
          <w:color w:val="auto"/>
        </w:rPr>
        <w:t>Distributable cash flow means EBITDA, on the basis of the Partnership Performance Results, after considering financial costs for the period, including realized loss on derivatives and excluding amortization of loan fees, estimated dry-docking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7106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671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80" w:right="160"/>
        <w:spacing w:after="0" w:line="278" w:lineRule="auto"/>
        <w:rPr>
          <w:sz w:val="20"/>
          <w:szCs w:val="20"/>
          <w:color w:val="auto"/>
        </w:rPr>
      </w:pPr>
      <w:r>
        <w:rPr>
          <w:rFonts w:ascii="Arial" w:cs="Arial" w:eastAsia="Arial" w:hAnsi="Arial"/>
          <w:sz w:val="12"/>
          <w:szCs w:val="12"/>
          <w:color w:val="auto"/>
        </w:rPr>
        <w:t>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 generated by, our capital assets. Distributable cash flow, which is a non-GAAP financial measure, is a quantitative standard used by investors in publicly-traded partnerships to assess their ability to make quarterly cash distributions. Our calculation of Distributable cash flow may not be comparable to that reported by other companies.</w:t>
      </w:r>
    </w:p>
    <w:p>
      <w:pPr>
        <w:spacing w:after="0" w:line="171" w:lineRule="exact"/>
        <w:rPr>
          <w:sz w:val="20"/>
          <w:szCs w:val="20"/>
          <w:color w:val="auto"/>
        </w:rPr>
      </w:pPr>
    </w:p>
    <w:p>
      <w:pPr>
        <w:ind w:left="1880" w:right="260"/>
        <w:spacing w:after="0" w:line="239" w:lineRule="auto"/>
        <w:rPr>
          <w:sz w:val="20"/>
          <w:szCs w:val="20"/>
          <w:color w:val="auto"/>
        </w:rPr>
      </w:pPr>
      <w:r>
        <w:rPr>
          <w:rFonts w:ascii="Arial" w:cs="Arial" w:eastAsia="Arial" w:hAnsi="Arial"/>
          <w:sz w:val="14"/>
          <w:szCs w:val="14"/>
          <w:color w:val="auto"/>
        </w:rPr>
        <w:t>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w:t>
      </w:r>
    </w:p>
    <w:p>
      <w:pPr>
        <w:spacing w:after="0" w:line="193"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The table below reconciles Distributable cash flow and Cash distributions declared to EBITDA (Partnership Performance Results).</w:t>
      </w:r>
    </w:p>
    <w:p>
      <w:pPr>
        <w:spacing w:after="0" w:line="202"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Reconciliation of Distributable Cash Flow to EBITDA*:</w:t>
      </w:r>
    </w:p>
    <w:p>
      <w:pPr>
        <w:spacing w:after="0" w:line="25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w w:val="89"/>
              </w:rPr>
              <w:t>Partnership Performance Results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29"/>
        </w:trPr>
        <w:tc>
          <w:tcPr>
            <w:tcW w:w="5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5"/>
          </w:tcPr>
          <w:p>
            <w:pPr>
              <w:jc w:val="right"/>
              <w:ind w:right="480"/>
              <w:spacing w:after="0" w:line="129"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1"/>
                <w:szCs w:val="11"/>
                <w:color w:val="auto"/>
              </w:rPr>
            </w:pPr>
          </w:p>
        </w:tc>
        <w:tc>
          <w:tcPr>
            <w:tcW w:w="1400" w:type="dxa"/>
            <w:vAlign w:val="bottom"/>
            <w:gridSpan w:val="4"/>
          </w:tcPr>
          <w:p>
            <w:pPr>
              <w:jc w:val="right"/>
              <w:ind w:right="334"/>
              <w:spacing w:after="0" w:line="129" w:lineRule="exact"/>
              <w:rPr>
                <w:sz w:val="20"/>
                <w:szCs w:val="20"/>
                <w:color w:val="auto"/>
              </w:rPr>
            </w:pPr>
            <w:r>
              <w:rPr>
                <w:rFonts w:ascii="Arial" w:cs="Arial" w:eastAsia="Arial" w:hAnsi="Arial"/>
                <w:sz w:val="14"/>
                <w:szCs w:val="14"/>
                <w:b w:val="1"/>
                <w:bCs w:val="1"/>
                <w:color w:val="auto"/>
              </w:rPr>
              <w:t>Six Months</w:t>
            </w:r>
          </w:p>
        </w:tc>
        <w:tc>
          <w:tcPr>
            <w:tcW w:w="180" w:type="dxa"/>
            <w:vAlign w:val="bottom"/>
          </w:tcPr>
          <w:p>
            <w:pPr>
              <w:spacing w:after="0"/>
              <w:rPr>
                <w:sz w:val="11"/>
                <w:szCs w:val="11"/>
                <w:color w:val="auto"/>
              </w:rPr>
            </w:pPr>
          </w:p>
        </w:tc>
      </w:tr>
      <w:tr>
        <w:trPr>
          <w:trHeight w:val="161"/>
        </w:trPr>
        <w:tc>
          <w:tcPr>
            <w:tcW w:w="5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16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4"/>
                <w:szCs w:val="14"/>
                <w:color w:val="auto"/>
              </w:rPr>
            </w:pPr>
          </w:p>
        </w:tc>
        <w:tc>
          <w:tcPr>
            <w:tcW w:w="15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Ended June 30,</w:t>
            </w:r>
          </w:p>
        </w:tc>
      </w:tr>
      <w:tr>
        <w:trPr>
          <w:trHeight w:val="142"/>
        </w:trPr>
        <w:tc>
          <w:tcPr>
            <w:tcW w:w="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r>
      <w:tr>
        <w:trPr>
          <w:trHeight w:val="142"/>
        </w:trPr>
        <w:tc>
          <w:tcPr>
            <w:tcW w:w="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7"/>
          </w:tcPr>
          <w:p>
            <w:pPr>
              <w:jc w:val="right"/>
              <w:ind w:right="480"/>
              <w:spacing w:after="0" w:line="142" w:lineRule="exact"/>
              <w:rPr>
                <w:sz w:val="20"/>
                <w:szCs w:val="20"/>
                <w:color w:val="auto"/>
              </w:rPr>
            </w:pPr>
            <w:r>
              <w:rPr>
                <w:rFonts w:ascii="Arial" w:cs="Arial" w:eastAsia="Arial" w:hAnsi="Arial"/>
                <w:sz w:val="14"/>
                <w:szCs w:val="14"/>
                <w:b w:val="1"/>
                <w:bCs w:val="1"/>
                <w:color w:val="auto"/>
                <w:w w:val="95"/>
              </w:rPr>
              <w:t>(in thousands of U.S. dollars)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8"/>
        </w:trPr>
        <w:tc>
          <w:tcPr>
            <w:tcW w:w="30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EBITDA (Partnership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54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Performance Results)*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122,786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148,885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196,133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$ 45,220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53,260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87,246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109,090</w:t>
            </w:r>
          </w:p>
        </w:tc>
      </w:tr>
      <w:tr>
        <w:trPr>
          <w:trHeight w:val="208"/>
        </w:trPr>
        <w:tc>
          <w:tcPr>
            <w:tcW w:w="3020" w:type="dxa"/>
            <w:vAlign w:val="bottom"/>
            <w:gridSpan w:val="3"/>
          </w:tcPr>
          <w:p>
            <w:pPr>
              <w:ind w:left="460"/>
              <w:spacing w:after="0"/>
              <w:rPr>
                <w:sz w:val="20"/>
                <w:szCs w:val="20"/>
                <w:color w:val="auto"/>
              </w:rPr>
            </w:pPr>
            <w:r>
              <w:rPr>
                <w:rFonts w:ascii="Arial" w:cs="Arial" w:eastAsia="Arial" w:hAnsi="Arial"/>
                <w:sz w:val="18"/>
                <w:szCs w:val="18"/>
                <w:color w:val="auto"/>
              </w:rPr>
              <w:t>Financial costs (excluding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2480" w:type="dxa"/>
            <w:vAlign w:val="bottom"/>
            <w:gridSpan w:val="2"/>
          </w:tcPr>
          <w:p>
            <w:pPr>
              <w:ind w:left="60"/>
              <w:spacing w:after="0"/>
              <w:rPr>
                <w:sz w:val="20"/>
                <w:szCs w:val="20"/>
                <w:color w:val="auto"/>
              </w:rPr>
            </w:pPr>
            <w:r>
              <w:rPr>
                <w:rFonts w:ascii="Arial" w:cs="Arial" w:eastAsia="Arial" w:hAnsi="Arial"/>
                <w:sz w:val="18"/>
                <w:szCs w:val="18"/>
                <w:color w:val="auto"/>
              </w:rPr>
              <w:t>amortization of loan fees)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540" w:type="dxa"/>
            <w:vAlign w:val="bottom"/>
          </w:tcPr>
          <w:p>
            <w:pPr>
              <w:spacing w:after="0"/>
              <w:rPr>
                <w:sz w:val="19"/>
                <w:szCs w:val="19"/>
                <w:color w:val="auto"/>
              </w:rPr>
            </w:pPr>
          </w:p>
        </w:tc>
        <w:tc>
          <w:tcPr>
            <w:tcW w:w="2480" w:type="dxa"/>
            <w:vAlign w:val="bottom"/>
            <w:gridSpan w:val="2"/>
          </w:tcPr>
          <w:p>
            <w:pPr>
              <w:ind w:left="60"/>
              <w:spacing w:after="0"/>
              <w:rPr>
                <w:sz w:val="20"/>
                <w:szCs w:val="20"/>
                <w:color w:val="auto"/>
              </w:rPr>
            </w:pPr>
            <w:r>
              <w:rPr>
                <w:rFonts w:ascii="Arial" w:cs="Arial" w:eastAsia="Arial" w:hAnsi="Arial"/>
                <w:sz w:val="18"/>
                <w:szCs w:val="18"/>
                <w:color w:val="auto"/>
              </w:rPr>
              <w:t>realized loss on derivatives</w:t>
            </w:r>
          </w:p>
        </w:tc>
        <w:tc>
          <w:tcPr>
            <w:tcW w:w="10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(19,484)</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(26,929)</w:t>
            </w: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(41,722)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(9,591)</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(12,674)</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(18,010)</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(24,445)</w:t>
            </w:r>
          </w:p>
        </w:tc>
      </w:tr>
      <w:tr>
        <w:trPr>
          <w:trHeight w:val="217"/>
        </w:trPr>
        <w:tc>
          <w:tcPr>
            <w:tcW w:w="30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Dry-docking capital reserve</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(8,338)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(12,234)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(6,692)</w:t>
            </w:r>
          </w:p>
        </w:tc>
      </w:tr>
      <w:tr>
        <w:trPr>
          <w:trHeight w:val="216"/>
        </w:trPr>
        <w:tc>
          <w:tcPr>
            <w:tcW w:w="3020" w:type="dxa"/>
            <w:vAlign w:val="bottom"/>
            <w:gridSpan w:val="3"/>
          </w:tcPr>
          <w:p>
            <w:pPr>
              <w:ind w:left="460"/>
              <w:spacing w:after="0"/>
              <w:rPr>
                <w:sz w:val="20"/>
                <w:szCs w:val="20"/>
                <w:color w:val="auto"/>
              </w:rPr>
            </w:pPr>
            <w:r>
              <w:rPr>
                <w:rFonts w:ascii="Arial" w:cs="Arial" w:eastAsia="Arial" w:hAnsi="Arial"/>
                <w:sz w:val="18"/>
                <w:szCs w:val="18"/>
                <w:color w:val="auto"/>
              </w:rPr>
              <w:t>Replacement capital reserve</w:t>
            </w: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(22,710)</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(29,467)</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(33,877)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(7,955)</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(8,767)</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(15,384)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(17,081)</w:t>
            </w:r>
          </w:p>
        </w:tc>
      </w:tr>
      <w:tr>
        <w:trPr>
          <w:trHeight w:val="208"/>
        </w:trPr>
        <w:tc>
          <w:tcPr>
            <w:tcW w:w="30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Accrued preferred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54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distribution</w:t>
            </w: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(5,457)</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(10,495)</w:t>
            </w:r>
          </w:p>
        </w:tc>
      </w:tr>
      <w:tr>
        <w:trPr>
          <w:trHeight w:val="210"/>
        </w:trPr>
        <w:tc>
          <w:tcPr>
            <w:tcW w:w="3020" w:type="dxa"/>
            <w:vAlign w:val="bottom"/>
            <w:gridSpan w:val="3"/>
          </w:tcPr>
          <w:p>
            <w:pPr>
              <w:ind w:left="460"/>
              <w:spacing w:after="0"/>
              <w:rPr>
                <w:sz w:val="20"/>
                <w:szCs w:val="20"/>
                <w:color w:val="auto"/>
              </w:rPr>
            </w:pPr>
            <w:r>
              <w:rPr>
                <w:rFonts w:ascii="Arial" w:cs="Arial" w:eastAsia="Arial" w:hAnsi="Arial"/>
                <w:sz w:val="18"/>
                <w:szCs w:val="18"/>
                <w:b w:val="1"/>
                <w:bCs w:val="1"/>
                <w:color w:val="auto"/>
              </w:rPr>
              <w:t>Distributable cash flow</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3"/>
              </w:rPr>
              <w:t>72,254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83,660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100,551</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23,254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22,915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46,750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50,377</w:t>
            </w:r>
          </w:p>
        </w:tc>
        <w:tc>
          <w:tcPr>
            <w:tcW w:w="180" w:type="dxa"/>
            <w:vAlign w:val="bottom"/>
          </w:tcPr>
          <w:p>
            <w:pPr>
              <w:spacing w:after="0"/>
              <w:rPr>
                <w:sz w:val="18"/>
                <w:szCs w:val="18"/>
                <w:color w:val="auto"/>
              </w:rPr>
            </w:pPr>
          </w:p>
        </w:tc>
      </w:tr>
      <w:tr>
        <w:trPr>
          <w:trHeight w:val="210"/>
        </w:trPr>
        <w:tc>
          <w:tcPr>
            <w:tcW w:w="30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Other reserves**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(16,067)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(14,244)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(14,207)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w:t>
            </w:r>
          </w:p>
        </w:tc>
      </w:tr>
      <w:tr>
        <w:trPr>
          <w:trHeight w:val="210"/>
        </w:trPr>
        <w:tc>
          <w:tcPr>
            <w:tcW w:w="3020" w:type="dxa"/>
            <w:vAlign w:val="bottom"/>
            <w:gridSpan w:val="3"/>
          </w:tcPr>
          <w:p>
            <w:pPr>
              <w:ind w:left="460"/>
              <w:spacing w:after="0"/>
              <w:rPr>
                <w:sz w:val="20"/>
                <w:szCs w:val="20"/>
                <w:color w:val="auto"/>
              </w:rPr>
            </w:pPr>
            <w:r>
              <w:rPr>
                <w:rFonts w:ascii="Arial" w:cs="Arial" w:eastAsia="Arial" w:hAnsi="Arial"/>
                <w:sz w:val="18"/>
                <w:szCs w:val="18"/>
                <w:b w:val="1"/>
                <w:bCs w:val="1"/>
                <w:color w:val="auto"/>
              </w:rPr>
              <w:t>Cash distributions***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3"/>
              </w:rPr>
              <w:t>56,187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69,416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86,344</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$ 21,001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24,272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41,122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48,544</w:t>
            </w:r>
          </w:p>
        </w:tc>
        <w:tc>
          <w:tcPr>
            <w:tcW w:w="180" w:type="dxa"/>
            <w:vAlign w:val="bottom"/>
          </w:tcPr>
          <w:p>
            <w:pPr>
              <w:spacing w:after="0"/>
              <w:rPr>
                <w:sz w:val="18"/>
                <w:szCs w:val="18"/>
                <w:color w:val="auto"/>
              </w:rPr>
            </w:pPr>
          </w:p>
        </w:tc>
      </w:tr>
      <w:tr>
        <w:trPr>
          <w:trHeight w:val="20"/>
        </w:trPr>
        <w:tc>
          <w:tcPr>
            <w:tcW w:w="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192" w:lineRule="exact"/>
        <w:rPr>
          <w:sz w:val="20"/>
          <w:szCs w:val="20"/>
          <w:color w:val="auto"/>
        </w:rPr>
      </w:pPr>
    </w:p>
    <w:p>
      <w:pPr>
        <w:ind w:left="2420" w:hanging="543"/>
        <w:spacing w:after="0"/>
        <w:tabs>
          <w:tab w:leader="none" w:pos="2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reconciliation of profit to EBITDA on the basis of Partnership Performance Results is presented in Note 5 above.</w:t>
      </w:r>
    </w:p>
    <w:p>
      <w:pPr>
        <w:spacing w:after="0" w:line="123" w:lineRule="exact"/>
        <w:rPr>
          <w:sz w:val="20"/>
          <w:szCs w:val="20"/>
          <w:color w:val="auto"/>
        </w:rPr>
      </w:pPr>
    </w:p>
    <w:p>
      <w:pPr>
        <w:ind w:left="2420" w:hanging="543"/>
        <w:spacing w:after="0" w:line="233" w:lineRule="auto"/>
        <w:tabs>
          <w:tab w:leader="none" w:pos="24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Refers to movements in reserves (other than the dry-docking and replacement capital reserves) which have been established for the proper conduct of the business of the Partnership and its subsidiaries (including reserves for future capital expenditures and for anticipated future credit needs of the Partnership and its subsidiaries).</w:t>
      </w:r>
    </w:p>
    <w:p>
      <w:pPr>
        <w:spacing w:after="0" w:line="111" w:lineRule="exact"/>
        <w:rPr>
          <w:rFonts w:ascii="Arial" w:cs="Arial" w:eastAsia="Arial" w:hAnsi="Arial"/>
          <w:sz w:val="14"/>
          <w:szCs w:val="14"/>
          <w:color w:val="auto"/>
        </w:rPr>
      </w:pPr>
    </w:p>
    <w:p>
      <w:pPr>
        <w:ind w:left="2420" w:hanging="543"/>
        <w:spacing w:after="0"/>
        <w:tabs>
          <w:tab w:leader="none" w:pos="2420" w:val="left"/>
        </w:tabs>
        <w:numPr>
          <w:ilvl w:val="1"/>
          <w:numId w:val="12"/>
        </w:numPr>
        <w:rPr>
          <w:rFonts w:ascii="Arial" w:cs="Arial" w:eastAsia="Arial" w:hAnsi="Arial"/>
          <w:sz w:val="12"/>
          <w:szCs w:val="12"/>
          <w:color w:val="auto"/>
        </w:rPr>
      </w:pPr>
      <w:r>
        <w:rPr>
          <w:rFonts w:ascii="Arial" w:cs="Arial" w:eastAsia="Arial" w:hAnsi="Arial"/>
          <w:sz w:val="12"/>
          <w:szCs w:val="12"/>
          <w:color w:val="auto"/>
        </w:rPr>
        <w:t>Refers to cash distributions made since the Partnership's IPO. It excludes payments of dividends due to GasLog before vessels were acquired by the Partnership.</w:t>
      </w:r>
    </w:p>
    <w:p>
      <w:pPr>
        <w:spacing w:after="0" w:line="213" w:lineRule="exact"/>
        <w:rPr>
          <w:rFonts w:ascii="Arial" w:cs="Arial" w:eastAsia="Arial" w:hAnsi="Arial"/>
          <w:sz w:val="12"/>
          <w:szCs w:val="12"/>
          <w:color w:val="auto"/>
        </w:rPr>
      </w:pPr>
    </w:p>
    <w:p>
      <w:pPr>
        <w:jc w:val="both"/>
        <w:ind w:left="1880" w:right="20" w:hanging="544"/>
        <w:spacing w:after="0" w:line="233" w:lineRule="auto"/>
        <w:tabs>
          <w:tab w:leader="none" w:pos="18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Does not reflect a distribution of $15.7 million declared in January 2016 and paid in February 2016, in respect of the fourth quarter of 2015. Cash distribution paid includes $8.8 million dividend due to GasLog which was declared in 2014 and excludes $7.8 million dividend due to GasLog which was declared in 2015, in both cases prior to the contribution of the relevant vessels to the Partnership.</w:t>
      </w:r>
    </w:p>
    <w:p>
      <w:pPr>
        <w:spacing w:after="0" w:line="111" w:lineRule="exact"/>
        <w:rPr>
          <w:rFonts w:ascii="Arial" w:cs="Arial" w:eastAsia="Arial" w:hAnsi="Arial"/>
          <w:sz w:val="11"/>
          <w:szCs w:val="11"/>
          <w:color w:val="auto"/>
        </w:rPr>
      </w:pPr>
    </w:p>
    <w:p>
      <w:pPr>
        <w:ind w:left="1880" w:hanging="544"/>
        <w:spacing w:after="0"/>
        <w:tabs>
          <w:tab w:leader="none" w:pos="18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Does not reflect a distribution of $19.6 million declared in January 2017 and paid in February 2017, in respect of the fourth quarter of 2016.</w:t>
      </w:r>
    </w:p>
    <w:p>
      <w:pPr>
        <w:spacing w:after="0" w:line="122" w:lineRule="exact"/>
        <w:rPr>
          <w:rFonts w:ascii="Arial" w:cs="Arial" w:eastAsia="Arial" w:hAnsi="Arial"/>
          <w:sz w:val="11"/>
          <w:szCs w:val="11"/>
          <w:color w:val="auto"/>
        </w:rPr>
      </w:pPr>
    </w:p>
    <w:p>
      <w:pPr>
        <w:ind w:left="1880" w:right="120" w:hanging="544"/>
        <w:spacing w:after="0" w:line="239" w:lineRule="auto"/>
        <w:tabs>
          <w:tab w:leader="none" w:pos="18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 xml:space="preserve">Cash distribution paid includes $7.8 million and $3.0 million of dividends due to GasLog which were declared in 2015 prior to the contribution of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Solaris</w:t>
      </w:r>
      <w:r>
        <w:rPr>
          <w:rFonts w:ascii="Arial" w:cs="Arial" w:eastAsia="Arial" w:hAnsi="Arial"/>
          <w:sz w:val="14"/>
          <w:szCs w:val="14"/>
          <w:color w:val="auto"/>
        </w:rPr>
        <w:t>, respectively to the Partnership.</w:t>
      </w:r>
    </w:p>
    <w:p>
      <w:pPr>
        <w:spacing w:after="0" w:line="111" w:lineRule="exact"/>
        <w:rPr>
          <w:rFonts w:ascii="Arial" w:cs="Arial" w:eastAsia="Arial" w:hAnsi="Arial"/>
          <w:sz w:val="11"/>
          <w:szCs w:val="11"/>
          <w:color w:val="auto"/>
        </w:rPr>
      </w:pPr>
    </w:p>
    <w:p>
      <w:pPr>
        <w:ind w:left="1880" w:hanging="544"/>
        <w:spacing w:after="0"/>
        <w:tabs>
          <w:tab w:leader="none" w:pos="18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Does not reflect a distribution of $22.8 million declared in January 2018 and paid in February 2018, in respect of the fourth quarter of 2017.</w:t>
      </w:r>
    </w:p>
    <w:p>
      <w:pPr>
        <w:spacing w:after="0" w:line="122" w:lineRule="exact"/>
        <w:rPr>
          <w:rFonts w:ascii="Arial" w:cs="Arial" w:eastAsia="Arial" w:hAnsi="Arial"/>
          <w:sz w:val="11"/>
          <w:szCs w:val="11"/>
          <w:color w:val="auto"/>
        </w:rPr>
      </w:pPr>
    </w:p>
    <w:p>
      <w:pPr>
        <w:ind w:left="1880" w:hanging="544"/>
        <w:spacing w:after="0"/>
        <w:tabs>
          <w:tab w:leader="none" w:pos="18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Does not reflect a distribution of $21.0 million declared in July 2017 and paid in August 2017, in respect of the second quarter of 2017.</w:t>
      </w:r>
    </w:p>
    <w:p>
      <w:pPr>
        <w:spacing w:after="0" w:line="122" w:lineRule="exact"/>
        <w:rPr>
          <w:rFonts w:ascii="Arial" w:cs="Arial" w:eastAsia="Arial" w:hAnsi="Arial"/>
          <w:sz w:val="11"/>
          <w:szCs w:val="11"/>
          <w:color w:val="auto"/>
        </w:rPr>
      </w:pPr>
    </w:p>
    <w:p>
      <w:pPr>
        <w:ind w:left="1880" w:right="20" w:hanging="544"/>
        <w:spacing w:after="0" w:line="239" w:lineRule="auto"/>
        <w:tabs>
          <w:tab w:leader="none" w:pos="18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Does not reflect a distribution of $24.3 million declared in July 2018, in respect of the second quarter of 2018. The aggregate amount of the declared distribution was based on the number of units issued and outstanding as of June 30, 2018.</w:t>
      </w:r>
    </w:p>
    <w:p>
      <w:pPr>
        <w:spacing w:after="0" w:line="111" w:lineRule="exact"/>
        <w:rPr>
          <w:rFonts w:ascii="Arial" w:cs="Arial" w:eastAsia="Arial" w:hAnsi="Arial"/>
          <w:sz w:val="11"/>
          <w:szCs w:val="11"/>
          <w:color w:val="auto"/>
        </w:rPr>
      </w:pPr>
    </w:p>
    <w:p>
      <w:pPr>
        <w:ind w:left="1880" w:hanging="544"/>
        <w:spacing w:after="0"/>
        <w:tabs>
          <w:tab w:leader="none" w:pos="18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Does not reflect a distribution of $15.7 million declared in January 2016 and paid in February 2016, in respect of the fourth quarter of 2015.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Any investment in our common units involves a high degree of risk. Before investing in our common units, you should carefully consider the important factors set forth under the heading "Risk Factors" starting on page 7 of our Annual Report on Form 20-F, which was filed with the SEC on February 12, 2018 and incorporated herein by reference. For further details, see the sections entitled "Where You Can Find Additional Information" and "Incorporation of Certain Information by Reference".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any of these risks were to materialize, our business, results of operations, cash flows and financial condition could be materially adversely affected. In that case, our ability to make distributions to our unitholders may be reduced, the trading price of our common units could decline and you could lose all or part of your investment. The risks referred to above are not the only ones that may exist. Additional risks not currently known by us or that we deem immaterial may also impair our business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supplement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prospectus supplement,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12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38"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expand our fleet by acquiring vessels through our drop-down pipeline with GasLog;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acquire assets in the future, including vessels from GasLog;</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275"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52" w:lineRule="exact"/>
        <w:rPr>
          <w:rFonts w:ascii="Arial" w:cs="Arial" w:eastAsia="Arial" w:hAnsi="Arial"/>
          <w:sz w:val="18"/>
          <w:szCs w:val="18"/>
          <w:color w:val="auto"/>
        </w:rPr>
      </w:pPr>
    </w:p>
    <w:p>
      <w:pPr>
        <w:ind w:left="1080" w:right="9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12, 2018, available at http://www.sec.gov.</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undertake no obligation to update or revise any forward-looking statements contained in this prospectus,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intend to use the net proceeds from this offering, after deducting the sales agents' commissions and estimated expenses payable by us, for general partnership purposes, which may include future acquisitions, debt repayment, capital expenditures and additions to working capital. We currently expect that this will include future acquisitions from GasLog.</w:t>
      </w:r>
    </w:p>
    <w:p>
      <w:pPr>
        <w:spacing w:after="0" w:line="194"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are not obligated to purchase any of the vessels from GasLog that we have the option to purchase under the omnibus agreement and, accordingly, we may not complete the purchase of any such vessels. Furthermore, our ability to purchase any additional vessels, including under the omnibus agreement, is dependent on our ability to obtain financing to fund all or a portion of the acquisition costs of these vessels. See "Item 3. Key Information—D. Risk Factors— 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AND 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(a) cash and cash equivalents and (b) consolidated capitalization as of June 30, 2018 on an:</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adjusted basis, giving effect to:</w:t>
      </w:r>
    </w:p>
    <w:p>
      <w:pPr>
        <w:spacing w:after="0" w:line="200" w:lineRule="exact"/>
        <w:rPr>
          <w:sz w:val="20"/>
          <w:szCs w:val="20"/>
          <w:color w:val="auto"/>
        </w:rPr>
      </w:pPr>
    </w:p>
    <w:p>
      <w:pPr>
        <w:spacing w:after="0" w:line="255" w:lineRule="exact"/>
        <w:rPr>
          <w:sz w:val="20"/>
          <w:szCs w:val="20"/>
          <w:color w:val="auto"/>
        </w:rPr>
      </w:pPr>
    </w:p>
    <w:p>
      <w:pPr>
        <w:ind w:left="1620" w:hanging="532"/>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principal payments on our bank indebtedness totaling $12.1 million during the period from July 1, 2018 to July 26, 2018</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Other than these adjustments, there has been no material change in our capitalization from debt or equity issuances, re-capitalizations or special dividends between June 30, 2018, and the date of this prospectus supplement.</w:t>
      </w:r>
    </w:p>
    <w:p>
      <w:pPr>
        <w:spacing w:after="0" w:line="186" w:lineRule="exact"/>
        <w:rPr>
          <w:sz w:val="20"/>
          <w:szCs w:val="20"/>
          <w:color w:val="auto"/>
        </w:rPr>
      </w:pPr>
    </w:p>
    <w:p>
      <w:pPr>
        <w:jc w:val="both"/>
        <w:ind w:right="200" w:firstLine="348"/>
        <w:spacing w:after="0" w:line="335" w:lineRule="auto"/>
        <w:rPr>
          <w:sz w:val="20"/>
          <w:szCs w:val="20"/>
          <w:color w:val="auto"/>
        </w:rPr>
      </w:pPr>
      <w:r>
        <w:rPr>
          <w:rFonts w:ascii="Arial" w:cs="Arial" w:eastAsia="Arial" w:hAnsi="Arial"/>
          <w:sz w:val="15"/>
          <w:szCs w:val="15"/>
          <w:color w:val="auto"/>
        </w:rPr>
        <w:t>This table is derived from and should be read together with the condensed consolidated financial statements of GasLog Partners LP and the accompanying notes incorporated herein by reference. You should also read this table in conjunction with "Management's Discussion and Analysis of Financial Condition and Results of Operations" in Exhibit 99.2 of the Report on Form 6-K as furnished to the SEC on July 26, 2018 and incorporated herein by reference.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gridSpan w:val="6"/>
          </w:tcPr>
          <w:p>
            <w:pPr>
              <w:jc w:val="center"/>
              <w:ind w:right="1440"/>
              <w:spacing w:after="0"/>
              <w:rPr>
                <w:sz w:val="20"/>
                <w:szCs w:val="20"/>
                <w:color w:val="auto"/>
              </w:rPr>
            </w:pPr>
            <w:r>
              <w:rPr>
                <w:rFonts w:ascii="Arial" w:cs="Arial" w:eastAsia="Arial" w:hAnsi="Arial"/>
                <w:sz w:val="14"/>
                <w:szCs w:val="14"/>
                <w:b w:val="1"/>
                <w:bCs w:val="1"/>
                <w:color w:val="auto"/>
                <w:w w:val="86"/>
              </w:rPr>
              <w:t>As of June 30, 2018</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Actual</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3"/>
              </w:rPr>
              <w:t>Adjusted</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60" w:type="dxa"/>
            <w:vAlign w:val="bottom"/>
            <w:gridSpan w:val="6"/>
          </w:tcPr>
          <w:p>
            <w:pPr>
              <w:jc w:val="center"/>
              <w:ind w:right="1440"/>
              <w:spacing w:after="0" w:line="142" w:lineRule="exact"/>
              <w:rPr>
                <w:sz w:val="20"/>
                <w:szCs w:val="20"/>
                <w:color w:val="auto"/>
              </w:rPr>
            </w:pPr>
            <w:r>
              <w:rPr>
                <w:rFonts w:ascii="Arial" w:cs="Arial" w:eastAsia="Arial" w:hAnsi="Arial"/>
                <w:sz w:val="14"/>
                <w:szCs w:val="14"/>
                <w:b w:val="1"/>
                <w:bCs w:val="1"/>
                <w:color w:val="auto"/>
                <w:w w:val="84"/>
              </w:rPr>
              <w:t>(dollars in thousands)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134,686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122,602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CAPITALIZATION</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Borrowings—current portion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Borrowings—non-current portion</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1,099,482</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1,099,482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1,184,443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1,172,359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1140"/>
              <w:spacing w:after="0"/>
              <w:rPr>
                <w:sz w:val="20"/>
                <w:szCs w:val="20"/>
                <w:color w:val="auto"/>
              </w:rPr>
            </w:pPr>
            <w:r>
              <w:rPr>
                <w:rFonts w:ascii="Arial" w:cs="Arial" w:eastAsia="Arial" w:hAnsi="Arial"/>
                <w:sz w:val="18"/>
                <w:szCs w:val="18"/>
                <w:color w:val="auto"/>
              </w:rPr>
              <w:t>Partners' Capital:</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Common unitholders: 42,896,114 units issued and outstanding as of June 30, 2018, and as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788,087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788,087</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89"/>
              </w:rPr>
              <w:t>General partner: 875,432 units issued and outstanding as of June 30, 2018 and as adjusted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12,183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Incentive Distribution Rights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6"/>
              </w:rPr>
              <w:t>Preference unitholders: 5,750,000 Series A Preference Units and 4,600,000 Series B</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Preference Units issued and outstanding as of June 30, 2018 and as adjusted</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250,934</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250,934</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Partners' Capital</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1,058,272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1,058,272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gridSpan w:val="2"/>
          </w:tcPr>
          <w:p>
            <w:pPr>
              <w:ind w:left="1140"/>
              <w:spacing w:after="0"/>
              <w:rPr>
                <w:sz w:val="20"/>
                <w:szCs w:val="20"/>
                <w:color w:val="auto"/>
              </w:rPr>
            </w:pPr>
            <w:r>
              <w:rPr>
                <w:rFonts w:ascii="Arial" w:cs="Arial" w:eastAsia="Arial" w:hAnsi="Arial"/>
                <w:sz w:val="18"/>
                <w:szCs w:val="18"/>
                <w:color w:val="auto"/>
              </w:rPr>
              <w:t>Total capitalization</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2,242,715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1,180,874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20" w:type="dxa"/>
            <w:vAlign w:val="bottom"/>
            <w:vMerge w:val="restart"/>
          </w:tcPr>
          <w:p>
            <w:pPr>
              <w:ind w:left="4380"/>
              <w:spacing w:after="0"/>
              <w:rPr>
                <w:sz w:val="20"/>
                <w:szCs w:val="20"/>
                <w:color w:val="auto"/>
              </w:rPr>
            </w:pPr>
            <w:r>
              <w:rPr>
                <w:rFonts w:ascii="Arial" w:cs="Arial" w:eastAsia="Arial" w:hAnsi="Arial"/>
                <w:sz w:val="18"/>
                <w:szCs w:val="18"/>
                <w:color w:val="auto"/>
              </w:rPr>
              <w:t>S-24</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6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7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PRICE RANGE OF OUR COMMON UNITS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common units started trading on the New York Stock Exchange under the symbol "GLOP" on May 7, 2014. The last reported sales price of our common units on July 25, 2018 was $24.45. The following table sets forth the high and low closing sales prices for the common units since the date of listing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Price Range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Cash Distribution</w:t>
            </w:r>
          </w:p>
        </w:tc>
      </w:tr>
      <w:tr>
        <w:trPr>
          <w:trHeight w:val="169"/>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Low</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15"/>
              <w:spacing w:after="0" w:line="169" w:lineRule="exact"/>
              <w:rPr>
                <w:sz w:val="20"/>
                <w:szCs w:val="20"/>
                <w:color w:val="auto"/>
              </w:rPr>
            </w:pPr>
            <w:r>
              <w:rPr>
                <w:rFonts w:ascii="Arial" w:cs="Arial" w:eastAsia="Arial" w:hAnsi="Arial"/>
                <w:sz w:val="12"/>
                <w:szCs w:val="12"/>
                <w:b w:val="1"/>
                <w:bCs w:val="1"/>
                <w:color w:val="auto"/>
              </w:rPr>
              <w:t>Per Unit</w:t>
            </w:r>
            <w:r>
              <w:rPr>
                <w:rFonts w:ascii="Arial" w:cs="Arial" w:eastAsia="Arial" w:hAnsi="Arial"/>
                <w:sz w:val="19"/>
                <w:szCs w:val="19"/>
                <w:b w:val="1"/>
                <w:bCs w:val="1"/>
                <w:color w:val="auto"/>
                <w:vertAlign w:val="superscript"/>
              </w:rPr>
              <w:t>(1)</w:t>
            </w:r>
          </w:p>
        </w:tc>
        <w:tc>
          <w:tcPr>
            <w:tcW w:w="1300" w:type="dxa"/>
            <w:vAlign w:val="bottom"/>
            <w:gridSpan w:val="2"/>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Year ended December 31, 2017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25.20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 2016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Second Quarter 2016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20.97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0.478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2016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Fourth Quarter 2016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21.90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 2017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Second Quarter 2017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25.20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2017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0.5175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Fourth Quarter 2017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24.75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0.5235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 2018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Second Quarter 2018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24.65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to July 25, 2018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r>
      <w:tr>
        <w:trPr>
          <w:trHeight w:val="108"/>
        </w:trPr>
        <w:tc>
          <w:tcPr>
            <w:tcW w:w="11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3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358"/>
        </w:trPr>
        <w:tc>
          <w:tcPr>
            <w:tcW w:w="1480" w:type="dxa"/>
            <w:vAlign w:val="bottom"/>
            <w:gridSpan w:val="2"/>
          </w:tcPr>
          <w:p>
            <w:pPr>
              <w:ind w:left="1140"/>
              <w:spacing w:after="0"/>
              <w:rPr>
                <w:sz w:val="20"/>
                <w:szCs w:val="20"/>
                <w:color w:val="auto"/>
              </w:rPr>
            </w:pPr>
            <w:r>
              <w:rPr>
                <w:rFonts w:ascii="Arial" w:cs="Arial" w:eastAsia="Arial" w:hAnsi="Arial"/>
                <w:sz w:val="11"/>
                <w:szCs w:val="11"/>
                <w:color w:val="auto"/>
              </w:rPr>
              <w:t>(1)</w:t>
            </w:r>
          </w:p>
        </w:tc>
        <w:tc>
          <w:tcPr>
            <w:tcW w:w="5160" w:type="dxa"/>
            <w:vAlign w:val="bottom"/>
            <w:gridSpan w:val="2"/>
          </w:tcPr>
          <w:p>
            <w:pPr>
              <w:ind w:left="200"/>
              <w:spacing w:after="0"/>
              <w:rPr>
                <w:sz w:val="20"/>
                <w:szCs w:val="20"/>
                <w:color w:val="auto"/>
              </w:rPr>
            </w:pPr>
            <w:r>
              <w:rPr>
                <w:rFonts w:ascii="Arial" w:cs="Arial" w:eastAsia="Arial" w:hAnsi="Arial"/>
                <w:sz w:val="14"/>
                <w:szCs w:val="14"/>
                <w:color w:val="auto"/>
              </w:rPr>
              <w:t>Distributions are shown for the quarter with respect to which they are declared.</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7"/>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100" w:type="dxa"/>
            <w:vAlign w:val="bottom"/>
          </w:tcPr>
          <w:p>
            <w:pPr>
              <w:ind w:left="2000"/>
              <w:spacing w:after="0"/>
              <w:rPr>
                <w:sz w:val="20"/>
                <w:szCs w:val="20"/>
                <w:color w:val="auto"/>
              </w:rPr>
            </w:pPr>
            <w:r>
              <w:rPr>
                <w:rFonts w:ascii="Arial" w:cs="Arial" w:eastAsia="Arial" w:hAnsi="Arial"/>
                <w:sz w:val="18"/>
                <w:szCs w:val="18"/>
                <w:color w:val="auto"/>
              </w:rPr>
              <w:t>S-25</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COMMON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Units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common units represent limited partner interests in us. The holders of units are entitled to participate in partnership distributions and exercise the rights and privileges available to limited partners under our Partnership Agreement. No certificates will be issued to the unitholders in respect of the common units. For a description of the rights and privileges of limited partners under our Partnership Agreement, including voting rights, see "Summary of our Partnership Agreement" found elsewhere in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American Stock Transfer &amp; Trust, LLC serves as registrar and transfer agent for the common units. We pay all fees charged by the transfer agent for transfers of common units, except the following, which must be paid by unitholders:</w:t>
      </w:r>
    </w:p>
    <w:p>
      <w:pPr>
        <w:spacing w:after="0" w:line="19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common unit;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There is no charge to unitholders for disbursements of our cash distributions. We will indemnify the transfer agent, its agents and each of their stockholders, directors, officers and employees against all claims and losses that may arise out of acts performed or omitted for their activities in that capacity, except for any liability due to any gross negligence or intentional misconduct of the indemnified person or entity.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transfer agent may resign, by notice to us, or be removed by us. The resignation or removal of the transfer agent will become effective upon our appointment of a successor transfer agent and registrar and its acceptance of the appointment. If a successor has not been appointed or has not accepted its appointment within 30 days after notice of the resignation or removal, our general partner may, at the direction of our board of directors, act as the transfer agent and registrar until a successor is appointed.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w:t>
      </w:r>
    </w:p>
    <w:p>
      <w:pPr>
        <w:spacing w:after="0" w:line="231"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By transfer of common units in accordance with our Partnership Agreement, each transferee of common units will be admitted as a limited partner with respect to the common units transferred when such transfer and admission is reflected in our books and records. Each transferee:</w:t>
      </w:r>
    </w:p>
    <w:p>
      <w:pPr>
        <w:spacing w:after="0" w:line="15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automatically agrees to be bound by the terms and conditions of, and is deemed to have executed, our Partnership Agreement; and</w:t>
      </w:r>
    </w:p>
    <w:p>
      <w:pPr>
        <w:spacing w:after="0" w:line="261"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 such as the approval of all transactions and agreements we entered into in connection with our formation and the IPO.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 transferee will become a substituted limited partner of our partnership for the transferred common units automatically upon the recording of the transfer on our books and records. Our general partner will cause any transfers to be recorded on our books and records no less frequently than quarterly.</w:t>
      </w:r>
    </w:p>
    <w:p>
      <w:pPr>
        <w:spacing w:after="0" w:line="139"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may, at our discretion, treat the nominee holder of a common unit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Common units are securities and are transferable according to the laws governing transfer of securities. In addition to other rights acquired upon transfer, the transferor gives the transferee the right to become a limited partner in our partnership for the transferred common units.</w:t>
      </w:r>
    </w:p>
    <w:p>
      <w:pPr>
        <w:spacing w:after="0" w:line="139"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Until a common unit has been transferred on our books, we and the transfer agent may treat the record holder of the unit as the absolute owner for all purposes, except as otherwise required by law or stock exchange regulations.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See "Item 8. Financial Information—Our Cash Distribution Policy" beginning on page 121 of our Annual Report on Form 20-F for descriptions of the general partner interest and the incentive distribution rights and "—Summary of Our Partnership Agreement" found elsewhere in this prospectus for a description of the Series A Preference Units and Series B Preference Units.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OF OUR PARTNERSHIP AGREEMENT</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following is a summary of the material provisions of the Partnership Agreement, which is qualified in its entirety by the terms and conditions of the Partnership Agreement, which is incorporated herein by reference. We will provide prospective investors with a copy of the Partnership Agreement upon written request at no charge.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organized on January 23, 2014 and have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Marshall Islands Act.</w:t>
      </w:r>
    </w:p>
    <w:p>
      <w:pPr>
        <w:spacing w:after="0" w:line="186"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Partnership Agreement specifies the manner in which we will make cash distributions to holders of our common units and other partnership interests, including to the holders of Series A Preference Units and Series B Preference Units, our incentive distribution rights, as well as to our general partner in respect of its general partner interest. Please see "Our Cash Distribution Policy and Restrictions on Distributions" on page 36 of the accompanying base prospectus for further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No holder of common units, Series A Preference Units or Series B Preference Units is obligated to make additional capital contributions, except as described below under "—Limited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following is a summary of the unitholder vote required for approval of the matters specified below. Matters that require the approval of a "Unit Majority" require the approval of a majority of the common units voting as a single class. In voting their common units, our general partner and its affiliates will have no fiduciary duty or obligation whatsoever to us or the limited partners, including any duty to act in good faith or in the best interests of us or the limited partners.</w:t>
      </w:r>
    </w:p>
    <w:p>
      <w:pPr>
        <w:spacing w:after="0" w:line="197"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our ability to claim an exemption from U.S. federal income tax under Section 883 of the U.S. Internal Revenue Code of 1986, as amended, or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 or Series B Preference Units.</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Code.</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Action</w:t>
      </w:r>
    </w:p>
    <w:p>
      <w:pPr>
        <w:spacing w:after="0" w:line="13" w:lineRule="exact"/>
        <w:rPr>
          <w:sz w:val="20"/>
          <w:szCs w:val="20"/>
          <w:color w:val="auto"/>
        </w:rPr>
      </w:pPr>
    </w:p>
    <w:p>
      <w:pPr>
        <w:ind w:left="180" w:right="160" w:hanging="179"/>
        <w:spacing w:after="0" w:line="301" w:lineRule="auto"/>
        <w:rPr>
          <w:sz w:val="20"/>
          <w:szCs w:val="20"/>
          <w:color w:val="auto"/>
        </w:rPr>
      </w:pPr>
      <w:r>
        <w:rPr>
          <w:rFonts w:ascii="Arial" w:cs="Arial" w:eastAsia="Arial" w:hAnsi="Arial"/>
          <w:sz w:val="16"/>
          <w:szCs w:val="16"/>
          <w:color w:val="auto"/>
        </w:rPr>
        <w:t>Issuance of additional common units or other limited partner interests</w:t>
      </w:r>
    </w:p>
    <w:p>
      <w:pPr>
        <w:spacing w:after="0" w:line="164" w:lineRule="exact"/>
        <w:rPr>
          <w:sz w:val="20"/>
          <w:szCs w:val="20"/>
          <w:color w:val="auto"/>
        </w:rPr>
      </w:pPr>
    </w:p>
    <w:p>
      <w:pPr>
        <w:ind w:left="180" w:right="200" w:hanging="179"/>
        <w:spacing w:after="0" w:line="370" w:lineRule="auto"/>
        <w:rPr>
          <w:sz w:val="20"/>
          <w:szCs w:val="20"/>
          <w:color w:val="auto"/>
        </w:rPr>
      </w:pPr>
      <w:r>
        <w:rPr>
          <w:rFonts w:ascii="Arial" w:cs="Arial" w:eastAsia="Arial" w:hAnsi="Arial"/>
          <w:sz w:val="15"/>
          <w:szCs w:val="15"/>
          <w:color w:val="auto"/>
        </w:rPr>
        <w:t>Amendment of the Partnership Agreement</w:t>
      </w:r>
    </w:p>
    <w:p>
      <w:pPr>
        <w:spacing w:after="0" w:line="116" w:lineRule="exact"/>
        <w:rPr>
          <w:sz w:val="20"/>
          <w:szCs w:val="20"/>
          <w:color w:val="auto"/>
        </w:rPr>
      </w:pPr>
    </w:p>
    <w:p>
      <w:pPr>
        <w:ind w:left="180" w:hanging="179"/>
        <w:spacing w:after="0" w:line="256" w:lineRule="auto"/>
        <w:rPr>
          <w:sz w:val="20"/>
          <w:szCs w:val="20"/>
          <w:color w:val="auto"/>
        </w:rPr>
      </w:pPr>
      <w:r>
        <w:rPr>
          <w:rFonts w:ascii="Arial" w:cs="Arial" w:eastAsia="Arial" w:hAnsi="Arial"/>
          <w:sz w:val="18"/>
          <w:szCs w:val="18"/>
          <w:color w:val="auto"/>
        </w:rPr>
        <w:t>Merger of our partnership or the sale of all or substantially all of our assets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58661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ind w:right="500"/>
        <w:spacing w:after="0" w:line="254" w:lineRule="auto"/>
        <w:rPr>
          <w:sz w:val="20"/>
          <w:szCs w:val="20"/>
          <w:color w:val="auto"/>
        </w:rPr>
      </w:pPr>
      <w:r>
        <w:rPr>
          <w:rFonts w:ascii="Arial" w:cs="Arial" w:eastAsia="Arial" w:hAnsi="Arial"/>
          <w:sz w:val="18"/>
          <w:szCs w:val="18"/>
          <w:color w:val="auto"/>
        </w:rPr>
        <w:t>No approval rights; general partner approval required for all issuances not reasonably expected to be accretive within twelve months of issuance or which would otherwise have a material adverse impact on the general partner or its interest in our partnership.</w:t>
      </w:r>
    </w:p>
    <w:p>
      <w:pPr>
        <w:spacing w:after="0" w:line="1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Certain amendments may be made by our board of directors without the approval of the unitholders. Other amendments generally require the approval of a Unit Majority. See "—Amendment of the Partnership Agreement".</w:t>
      </w:r>
    </w:p>
    <w:p>
      <w:pPr>
        <w:spacing w:after="0" w:line="18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Unit Majority and approval of our general partner and our board of directors. See "—Merger, Sale, Conversion or Other Disposition of Assets".</w:t>
      </w:r>
    </w:p>
    <w:p>
      <w:pPr>
        <w:spacing w:after="0" w:line="617" w:lineRule="exact"/>
        <w:rPr>
          <w:sz w:val="20"/>
          <w:szCs w:val="20"/>
          <w:color w:val="auto"/>
        </w:rPr>
      </w:pPr>
    </w:p>
    <w:p>
      <w:pPr>
        <w:sectPr>
          <w:pgSz w:w="11900" w:h="16838" w:orient="portrait"/>
          <w:cols w:equalWidth="0" w:num="2">
            <w:col w:w="2020" w:space="160"/>
            <w:col w:w="9240"/>
          </w:cols>
          <w:pgMar w:left="240" w:top="131" w:right="239" w:bottom="1440" w:gutter="0" w:footer="0" w:header="0"/>
          <w:type w:val="continuous"/>
        </w:sectPr>
      </w:pPr>
    </w:p>
    <w:p>
      <w:pPr>
        <w:spacing w:after="0"/>
        <w:tabs>
          <w:tab w:leader="none" w:pos="2160" w:val="left"/>
        </w:tabs>
        <w:rPr>
          <w:sz w:val="20"/>
          <w:szCs w:val="20"/>
          <w:color w:val="auto"/>
        </w:rPr>
      </w:pPr>
      <w:r>
        <w:rPr>
          <w:rFonts w:ascii="Arial" w:cs="Arial" w:eastAsia="Arial" w:hAnsi="Arial"/>
          <w:sz w:val="18"/>
          <w:szCs w:val="18"/>
          <w:color w:val="auto"/>
        </w:rPr>
        <w:t>Dissolution of our</w:t>
      </w:r>
      <w:r>
        <w:rPr>
          <w:sz w:val="20"/>
          <w:szCs w:val="20"/>
          <w:color w:val="auto"/>
        </w:rPr>
        <w:tab/>
      </w:r>
      <w:r>
        <w:rPr>
          <w:rFonts w:ascii="Arial" w:cs="Arial" w:eastAsia="Arial" w:hAnsi="Arial"/>
          <w:sz w:val="16"/>
          <w:szCs w:val="16"/>
          <w:color w:val="auto"/>
        </w:rPr>
        <w:t>Unit Majority and approval of our general partner and our board of directors. See "—Termination and Dissolution".</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partnership</w:t>
      </w:r>
    </w:p>
    <w:p>
      <w:pPr>
        <w:spacing w:after="0" w:line="219"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Reconstitution of our</w:t>
      </w:r>
      <w:r>
        <w:rPr>
          <w:sz w:val="20"/>
          <w:szCs w:val="20"/>
          <w:color w:val="auto"/>
        </w:rPr>
        <w:tab/>
      </w:r>
      <w:r>
        <w:rPr>
          <w:rFonts w:ascii="Arial" w:cs="Arial" w:eastAsia="Arial" w:hAnsi="Arial"/>
          <w:sz w:val="16"/>
          <w:szCs w:val="16"/>
          <w:color w:val="auto"/>
        </w:rPr>
        <w:t>Unit Majority. See "—Termination and Dissolution".</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partnership upon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dissolution</w:t>
      </w:r>
    </w:p>
    <w:p>
      <w:pPr>
        <w:sectPr>
          <w:pgSz w:w="11900" w:h="16838" w:orient="portrait"/>
          <w:cols w:equalWidth="0" w:num="1">
            <w:col w:w="11420"/>
          </w:cols>
          <w:pgMar w:left="240" w:top="131" w:right="239" w:bottom="1440" w:gutter="0" w:footer="0" w:header="0"/>
          <w:type w:val="continuous"/>
        </w:sectPr>
      </w:pPr>
    </w:p>
    <w:p>
      <w:pPr>
        <w:spacing w:after="0" w:line="219" w:lineRule="exact"/>
        <w:rPr>
          <w:sz w:val="20"/>
          <w:szCs w:val="20"/>
          <w:color w:val="auto"/>
        </w:rPr>
      </w:pPr>
    </w:p>
    <w:p>
      <w:pPr>
        <w:ind w:left="180" w:hanging="179"/>
        <w:spacing w:after="0" w:line="268" w:lineRule="auto"/>
        <w:rPr>
          <w:sz w:val="20"/>
          <w:szCs w:val="20"/>
          <w:color w:val="auto"/>
        </w:rPr>
      </w:pPr>
      <w:r>
        <w:rPr>
          <w:rFonts w:ascii="Arial" w:cs="Arial" w:eastAsia="Arial" w:hAnsi="Arial"/>
          <w:sz w:val="18"/>
          <w:szCs w:val="18"/>
          <w:color w:val="auto"/>
        </w:rPr>
        <w:t>Withdrawal of our general partner</w:t>
      </w:r>
    </w:p>
    <w:p>
      <w:pPr>
        <w:spacing w:after="0" w:line="200" w:lineRule="exact"/>
        <w:rPr>
          <w:sz w:val="20"/>
          <w:szCs w:val="20"/>
          <w:color w:val="auto"/>
        </w:rPr>
      </w:pPr>
    </w:p>
    <w:p>
      <w:pPr>
        <w:spacing w:after="0" w:line="202" w:lineRule="exact"/>
        <w:rPr>
          <w:sz w:val="20"/>
          <w:szCs w:val="20"/>
          <w:color w:val="auto"/>
        </w:rPr>
      </w:pPr>
    </w:p>
    <w:p>
      <w:pPr>
        <w:ind w:left="180" w:right="180" w:hanging="179"/>
        <w:spacing w:after="0" w:line="268" w:lineRule="auto"/>
        <w:rPr>
          <w:sz w:val="20"/>
          <w:szCs w:val="20"/>
          <w:color w:val="auto"/>
        </w:rPr>
      </w:pPr>
      <w:r>
        <w:rPr>
          <w:rFonts w:ascii="Arial" w:cs="Arial" w:eastAsia="Arial" w:hAnsi="Arial"/>
          <w:sz w:val="18"/>
          <w:szCs w:val="18"/>
          <w:color w:val="auto"/>
        </w:rPr>
        <w:t>Removal of our general partner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Under most circumstances, the approval of a majority of the common units, excluding common units held by our general partner and its affiliates, is required for the withdrawal of our general partner prior to March 31, 2024 in a manner that would cause a dissolution of our partnership. See "—Withdrawal or Removal of our General Partner".</w:t>
      </w:r>
    </w:p>
    <w:p>
      <w:pPr>
        <w:spacing w:after="0" w:line="162" w:lineRule="exact"/>
        <w:rPr>
          <w:sz w:val="20"/>
          <w:szCs w:val="20"/>
          <w:color w:val="auto"/>
        </w:rPr>
      </w:pPr>
    </w:p>
    <w:p>
      <w:pPr>
        <w:ind w:right="460"/>
        <w:spacing w:after="0" w:line="212" w:lineRule="auto"/>
        <w:rPr>
          <w:sz w:val="20"/>
          <w:szCs w:val="20"/>
          <w:color w:val="auto"/>
        </w:rPr>
      </w:pPr>
      <w:r>
        <w:rPr>
          <w:rFonts w:ascii="Arial" w:cs="Arial" w:eastAsia="Arial" w:hAnsi="Arial"/>
          <w:sz w:val="18"/>
          <w:szCs w:val="18"/>
          <w:color w:val="auto"/>
        </w:rPr>
        <w:t>Not less than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common units, including common units held by our general partner and its affiliates, voting together as a single class. See "—Withdrawal or Removal of our General Partner".</w:t>
      </w:r>
    </w:p>
    <w:p>
      <w:pPr>
        <w:spacing w:after="0" w:line="210"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-1380490</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860" w:space="320"/>
            <w:col w:w="9240"/>
          </w:cols>
          <w:pgMar w:left="240" w:top="131"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Action</w:t>
            </w:r>
          </w:p>
        </w:tc>
        <w:tc>
          <w:tcPr>
            <w:tcW w:w="80" w:type="dxa"/>
            <w:vAlign w:val="bottom"/>
          </w:tcPr>
          <w:p>
            <w:pPr>
              <w:spacing w:after="0"/>
              <w:rPr>
                <w:sz w:val="14"/>
                <w:szCs w:val="14"/>
                <w:color w:val="auto"/>
              </w:rPr>
            </w:pPr>
          </w:p>
        </w:tc>
        <w:tc>
          <w:tcPr>
            <w:tcW w:w="10260" w:type="dxa"/>
            <w:vAlign w:val="bottom"/>
          </w:tcPr>
          <w:p>
            <w:pPr>
              <w:ind w:left="3700"/>
              <w:spacing w:after="0"/>
              <w:rPr>
                <w:sz w:val="20"/>
                <w:szCs w:val="20"/>
                <w:color w:val="auto"/>
              </w:rPr>
            </w:pPr>
            <w:r>
              <w:rPr>
                <w:rFonts w:ascii="Arial" w:cs="Arial" w:eastAsia="Arial" w:hAnsi="Arial"/>
                <w:sz w:val="14"/>
                <w:szCs w:val="14"/>
                <w:b w:val="1"/>
                <w:bCs w:val="1"/>
                <w:color w:val="auto"/>
              </w:rPr>
              <w:t>Unitholder Approval Required and Voting Rights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060" w:type="dxa"/>
            <w:vAlign w:val="bottom"/>
            <w:gridSpan w:val="2"/>
          </w:tcPr>
          <w:p>
            <w:pPr>
              <w:spacing w:after="0" w:line="201" w:lineRule="exact"/>
              <w:rPr>
                <w:sz w:val="20"/>
                <w:szCs w:val="20"/>
                <w:color w:val="auto"/>
              </w:rPr>
            </w:pPr>
            <w:r>
              <w:rPr>
                <w:rFonts w:ascii="Arial" w:cs="Arial" w:eastAsia="Arial" w:hAnsi="Arial"/>
                <w:sz w:val="18"/>
                <w:szCs w:val="18"/>
                <w:color w:val="auto"/>
              </w:rPr>
              <w:t>Transfer of</w:t>
            </w:r>
          </w:p>
        </w:tc>
        <w:tc>
          <w:tcPr>
            <w:tcW w:w="80" w:type="dxa"/>
            <w:vAlign w:val="bottom"/>
            <w:vMerge w:val="continue"/>
          </w:tcPr>
          <w:p>
            <w:pPr>
              <w:spacing w:after="0"/>
              <w:rPr>
                <w:sz w:val="17"/>
                <w:szCs w:val="17"/>
                <w:color w:val="auto"/>
              </w:rPr>
            </w:pPr>
          </w:p>
        </w:tc>
        <w:tc>
          <w:tcPr>
            <w:tcW w:w="10260" w:type="dxa"/>
            <w:vAlign w:val="bottom"/>
          </w:tcPr>
          <w:p>
            <w:pPr>
              <w:spacing w:after="0" w:line="201" w:lineRule="exact"/>
              <w:rPr>
                <w:sz w:val="20"/>
                <w:szCs w:val="20"/>
                <w:color w:val="auto"/>
              </w:rPr>
            </w:pPr>
            <w:r>
              <w:rPr>
                <w:rFonts w:ascii="Arial" w:cs="Arial" w:eastAsia="Arial" w:hAnsi="Arial"/>
                <w:sz w:val="18"/>
                <w:szCs w:val="18"/>
                <w:color w:val="auto"/>
                <w:w w:val="90"/>
              </w:rPr>
              <w:t>Our general partner may transfer all, but not less than all, of its general partner interest in us without a vote of our common unitholders or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6"/>
              </w:rPr>
              <w:t>our general</w:t>
            </w:r>
          </w:p>
        </w:tc>
        <w:tc>
          <w:tcPr>
            <w:tcW w:w="10340" w:type="dxa"/>
            <w:vAlign w:val="bottom"/>
            <w:gridSpan w:val="2"/>
          </w:tcPr>
          <w:p>
            <w:pPr>
              <w:ind w:left="80"/>
              <w:spacing w:after="0"/>
              <w:rPr>
                <w:sz w:val="20"/>
                <w:szCs w:val="20"/>
                <w:color w:val="auto"/>
              </w:rPr>
            </w:pPr>
            <w:r>
              <w:rPr>
                <w:rFonts w:ascii="Arial" w:cs="Arial" w:eastAsia="Arial" w:hAnsi="Arial"/>
                <w:sz w:val="18"/>
                <w:szCs w:val="18"/>
                <w:color w:val="auto"/>
                <w:w w:val="90"/>
              </w:rPr>
              <w:t>limited partners to an affiliate or another person in connection with its merger or consolidation with or into, or sale of all or substantially all of 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partner</w:t>
            </w:r>
          </w:p>
        </w:tc>
        <w:tc>
          <w:tcPr>
            <w:tcW w:w="10340" w:type="dxa"/>
            <w:vAlign w:val="bottom"/>
            <w:gridSpan w:val="2"/>
          </w:tcPr>
          <w:p>
            <w:pPr>
              <w:ind w:left="80"/>
              <w:spacing w:after="0"/>
              <w:rPr>
                <w:sz w:val="20"/>
                <w:szCs w:val="20"/>
                <w:color w:val="auto"/>
              </w:rPr>
            </w:pPr>
            <w:r>
              <w:rPr>
                <w:rFonts w:ascii="Arial" w:cs="Arial" w:eastAsia="Arial" w:hAnsi="Arial"/>
                <w:sz w:val="18"/>
                <w:szCs w:val="18"/>
                <w:color w:val="auto"/>
                <w:w w:val="89"/>
              </w:rPr>
              <w:t>assets to, such person. The approval of a majority of the common units, excluding common units held by our general partner and its affiliates, 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interest in</w:t>
            </w:r>
          </w:p>
        </w:tc>
        <w:tc>
          <w:tcPr>
            <w:tcW w:w="10340" w:type="dxa"/>
            <w:vAlign w:val="bottom"/>
            <w:gridSpan w:val="2"/>
          </w:tcPr>
          <w:p>
            <w:pPr>
              <w:ind w:left="80"/>
              <w:spacing w:after="0"/>
              <w:rPr>
                <w:sz w:val="20"/>
                <w:szCs w:val="20"/>
                <w:color w:val="auto"/>
              </w:rPr>
            </w:pPr>
            <w:r>
              <w:rPr>
                <w:rFonts w:ascii="Arial" w:cs="Arial" w:eastAsia="Arial" w:hAnsi="Arial"/>
                <w:sz w:val="18"/>
                <w:szCs w:val="18"/>
                <w:color w:val="auto"/>
                <w:w w:val="89"/>
              </w:rPr>
              <w:t>required in other circumstances for a transfer of the general partner interest to a third party prior to March 31, 2024. See "—Transfer of General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us</w:t>
            </w:r>
          </w:p>
        </w:tc>
        <w:tc>
          <w:tcPr>
            <w:tcW w:w="10340" w:type="dxa"/>
            <w:vAlign w:val="bottom"/>
            <w:gridSpan w:val="2"/>
          </w:tcPr>
          <w:p>
            <w:pPr>
              <w:ind w:left="80"/>
              <w:spacing w:after="0"/>
              <w:rPr>
                <w:sz w:val="20"/>
                <w:szCs w:val="20"/>
                <w:color w:val="auto"/>
              </w:rPr>
            </w:pPr>
            <w:r>
              <w:rPr>
                <w:rFonts w:ascii="Arial" w:cs="Arial" w:eastAsia="Arial" w:hAnsi="Arial"/>
                <w:sz w:val="18"/>
                <w:szCs w:val="18"/>
                <w:color w:val="auto"/>
              </w:rPr>
              <w:t>Partner Interest".</w:t>
            </w:r>
          </w:p>
        </w:tc>
        <w:tc>
          <w:tcPr>
            <w:tcW w:w="0" w:type="dxa"/>
            <w:vAlign w:val="bottom"/>
          </w:tcPr>
          <w:p>
            <w:pPr>
              <w:spacing w:after="0"/>
              <w:rPr>
                <w:sz w:val="1"/>
                <w:szCs w:val="1"/>
                <w:color w:val="auto"/>
              </w:rPr>
            </w:pPr>
          </w:p>
        </w:tc>
      </w:tr>
      <w:tr>
        <w:trPr>
          <w:trHeight w:val="426"/>
        </w:trPr>
        <w:tc>
          <w:tcPr>
            <w:tcW w:w="1080" w:type="dxa"/>
            <w:vAlign w:val="bottom"/>
            <w:gridSpan w:val="3"/>
          </w:tcPr>
          <w:p>
            <w:pPr>
              <w:spacing w:after="0"/>
              <w:rPr>
                <w:sz w:val="20"/>
                <w:szCs w:val="20"/>
                <w:color w:val="auto"/>
              </w:rPr>
            </w:pPr>
            <w:r>
              <w:rPr>
                <w:rFonts w:ascii="Arial" w:cs="Arial" w:eastAsia="Arial" w:hAnsi="Arial"/>
                <w:sz w:val="18"/>
                <w:szCs w:val="18"/>
                <w:color w:val="auto"/>
              </w:rPr>
              <w:t>Transfer of</w:t>
            </w:r>
          </w:p>
        </w:tc>
        <w:tc>
          <w:tcPr>
            <w:tcW w:w="10340" w:type="dxa"/>
            <w:vAlign w:val="bottom"/>
            <w:gridSpan w:val="2"/>
          </w:tcPr>
          <w:p>
            <w:pPr>
              <w:ind w:left="80"/>
              <w:spacing w:after="0"/>
              <w:rPr>
                <w:sz w:val="20"/>
                <w:szCs w:val="20"/>
                <w:color w:val="auto"/>
              </w:rPr>
            </w:pPr>
            <w:r>
              <w:rPr>
                <w:rFonts w:ascii="Arial" w:cs="Arial" w:eastAsia="Arial" w:hAnsi="Arial"/>
                <w:sz w:val="18"/>
                <w:szCs w:val="18"/>
                <w:color w:val="auto"/>
                <w:w w:val="88"/>
              </w:rPr>
              <w:t>Except for transfers to an affiliate or another person as part of a merger or consolidation with or into, or sale of all or substantially all of the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incentive</w:t>
            </w:r>
          </w:p>
        </w:tc>
        <w:tc>
          <w:tcPr>
            <w:tcW w:w="10340" w:type="dxa"/>
            <w:vAlign w:val="bottom"/>
            <w:gridSpan w:val="2"/>
          </w:tcPr>
          <w:p>
            <w:pPr>
              <w:ind w:left="80"/>
              <w:spacing w:after="0"/>
              <w:rPr>
                <w:sz w:val="20"/>
                <w:szCs w:val="20"/>
                <w:color w:val="auto"/>
              </w:rPr>
            </w:pPr>
            <w:r>
              <w:rPr>
                <w:rFonts w:ascii="Arial" w:cs="Arial" w:eastAsia="Arial" w:hAnsi="Arial"/>
                <w:sz w:val="18"/>
                <w:szCs w:val="18"/>
                <w:color w:val="auto"/>
                <w:w w:val="91"/>
              </w:rPr>
              <w:t>to, such person, the approval of a majority of the common units, excluding common units held by our general partner and its affiliates, voting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distribution</w:t>
            </w:r>
          </w:p>
        </w:tc>
        <w:tc>
          <w:tcPr>
            <w:tcW w:w="10340" w:type="dxa"/>
            <w:vAlign w:val="bottom"/>
            <w:gridSpan w:val="2"/>
          </w:tcPr>
          <w:p>
            <w:pPr>
              <w:ind w:left="80"/>
              <w:spacing w:after="0"/>
              <w:rPr>
                <w:sz w:val="20"/>
                <w:szCs w:val="20"/>
                <w:color w:val="auto"/>
              </w:rPr>
            </w:pPr>
            <w:r>
              <w:rPr>
                <w:rFonts w:ascii="Arial" w:cs="Arial" w:eastAsia="Arial" w:hAnsi="Arial"/>
                <w:sz w:val="18"/>
                <w:szCs w:val="18"/>
                <w:color w:val="auto"/>
                <w:w w:val="90"/>
              </w:rPr>
              <w:t>separately as a class, is required in most circumstances for a transfer of the incentive distribution rights to a third party prior to March 31, 2019.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rights</w:t>
            </w:r>
          </w:p>
        </w:tc>
        <w:tc>
          <w:tcPr>
            <w:tcW w:w="10340" w:type="dxa"/>
            <w:vAlign w:val="bottom"/>
            <w:gridSpan w:val="2"/>
          </w:tcPr>
          <w:p>
            <w:pPr>
              <w:ind w:left="80"/>
              <w:spacing w:after="0"/>
              <w:rPr>
                <w:sz w:val="20"/>
                <w:szCs w:val="20"/>
                <w:color w:val="auto"/>
              </w:rPr>
            </w:pPr>
            <w:r>
              <w:rPr>
                <w:rFonts w:ascii="Arial" w:cs="Arial" w:eastAsia="Arial" w:hAnsi="Arial"/>
                <w:sz w:val="18"/>
                <w:szCs w:val="18"/>
                <w:color w:val="auto"/>
              </w:rPr>
              <w:t>See "—Transfer of Incentive Distribution Rights".</w:t>
            </w:r>
          </w:p>
        </w:tc>
        <w:tc>
          <w:tcPr>
            <w:tcW w:w="0" w:type="dxa"/>
            <w:vAlign w:val="bottom"/>
          </w:tcPr>
          <w:p>
            <w:pPr>
              <w:spacing w:after="0"/>
              <w:rPr>
                <w:sz w:val="1"/>
                <w:szCs w:val="1"/>
                <w:color w:val="auto"/>
              </w:rPr>
            </w:pPr>
          </w:p>
        </w:tc>
      </w:tr>
      <w:tr>
        <w:trPr>
          <w:trHeight w:val="426"/>
        </w:trPr>
        <w:tc>
          <w:tcPr>
            <w:tcW w:w="1080" w:type="dxa"/>
            <w:vAlign w:val="bottom"/>
            <w:gridSpan w:val="3"/>
          </w:tcPr>
          <w:p>
            <w:pPr>
              <w:spacing w:after="0"/>
              <w:rPr>
                <w:sz w:val="20"/>
                <w:szCs w:val="20"/>
                <w:color w:val="auto"/>
              </w:rPr>
            </w:pPr>
            <w:r>
              <w:rPr>
                <w:rFonts w:ascii="Arial" w:cs="Arial" w:eastAsia="Arial" w:hAnsi="Arial"/>
                <w:sz w:val="18"/>
                <w:szCs w:val="18"/>
                <w:color w:val="auto"/>
              </w:rPr>
              <w:t>Transfer of</w:t>
            </w:r>
          </w:p>
        </w:tc>
        <w:tc>
          <w:tcPr>
            <w:tcW w:w="10340" w:type="dxa"/>
            <w:vAlign w:val="bottom"/>
            <w:gridSpan w:val="2"/>
          </w:tcPr>
          <w:p>
            <w:pPr>
              <w:ind w:left="80"/>
              <w:spacing w:after="0"/>
              <w:rPr>
                <w:sz w:val="20"/>
                <w:szCs w:val="20"/>
                <w:color w:val="auto"/>
              </w:rPr>
            </w:pPr>
            <w:r>
              <w:rPr>
                <w:rFonts w:ascii="Arial" w:cs="Arial" w:eastAsia="Arial" w:hAnsi="Arial"/>
                <w:sz w:val="18"/>
                <w:szCs w:val="18"/>
                <w:color w:val="auto"/>
              </w:rPr>
              <w:t>No approval required at any time. See "—Transfer of Ownership Interests in General Partner".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ownership</w:t>
            </w:r>
          </w:p>
        </w:tc>
        <w:tc>
          <w:tcPr>
            <w:tcW w:w="8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interests in</w:t>
            </w:r>
          </w:p>
        </w:tc>
        <w:tc>
          <w:tcPr>
            <w:tcW w:w="8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6"/>
              </w:rPr>
              <w:t>our general</w:t>
            </w:r>
          </w:p>
        </w:tc>
        <w:tc>
          <w:tcPr>
            <w:tcW w:w="8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partner</w:t>
            </w:r>
          </w:p>
        </w:tc>
        <w:tc>
          <w:tcPr>
            <w:tcW w:w="80" w:type="dxa"/>
            <w:vAlign w:val="bottom"/>
          </w:tcPr>
          <w:p>
            <w:pPr>
              <w:spacing w:after="0"/>
              <w:rPr>
                <w:sz w:val="19"/>
                <w:szCs w:val="19"/>
                <w:color w:val="auto"/>
              </w:rPr>
            </w:pPr>
          </w:p>
        </w:tc>
        <w:tc>
          <w:tcPr>
            <w:tcW w:w="10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Holders of the Series A Preference Units and Series B Preference Units generally have no voting rights. However, the consent of the holders of at least two-thirds of the outstanding Series A Preference Units or Series B Preference Units, as applicable, voting as a single class, is required prior to any amendment to the Partnership Agreement that would have a material adverse effect on the existing terms of the Series A Preference Units or Series B Preference Units, as applicable. In addition, unless we receive the affirmative vote or consent of the holders of at least two-thirds of the outstanding Series A Preference Units and Series B Preference Units, voting together as a class with holders of any other Parity Securities (if applicable), we may not (i) issue any Parity Securities if the cumulative distributions on the Series A Preference Units or Series B Preference Units are in arrears or (ii) create or issue any Senior Securities. Distributions payable on the Series A Preference Units and Series B Preference Units will be considered to be in arrears for any quarterly period for which full cumulative distributions through the most recent distribution payment date have not been paid on all outstanding Series A Preference Units and Series B Preference Units. In addition, in certain limited instances, the holders of Series A Preference Units and Series B Preference Units (voting together as a class with any other Parity Securities) will be entitled to elect one director to our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Marshall Islands law. Our Partnership Agreement requires that any claims, suits, actions or proceedings:</w:t>
      </w:r>
    </w:p>
    <w:p>
      <w:pPr>
        <w:spacing w:after="0" w:line="262" w:lineRule="exact"/>
        <w:rPr>
          <w:sz w:val="20"/>
          <w:szCs w:val="20"/>
          <w:color w:val="auto"/>
        </w:rPr>
      </w:pPr>
    </w:p>
    <w:p>
      <w:pPr>
        <w:ind w:left="1080" w:right="10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limited partners;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Marshall Islands 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common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common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common units plus his share of any undistributed profits and assets. If it were determined, however, that the right, or exercise of the right, by the limited partners as a group:</w:t>
      </w:r>
    </w:p>
    <w:p>
      <w:pPr>
        <w:spacing w:after="0" w:line="21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elect three (or, following the general partner's exercise of its right to transfer the power to elect a majority of our directors to the common unitholders, four) of our seven directors;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7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violation of the Marshall Islands Act shall be liable to the limited partnership for the amount of the 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97"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Interests</w:t>
      </w:r>
    </w:p>
    <w:p>
      <w:pPr>
        <w:spacing w:after="0" w:line="231"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Series A Preference Units and Series B Preference Units.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intend to fund acquisitions through borrowings and the issuance of additional common units or other equity securities and the issuance of debt securities. Holders of any additional Series A Preference Units we issue will be entitled to share equally with the then-existing holders of Series A Preference Units in our distributions, holders of any additional Series B Preference Units we issue will be entitled to share equally with the then existing holders of Series B Preference Units in our distributions and holders of any additional common units we issue will be entitled to share equally with the then-existing holders of common units in our distributions. Additionally, we may issue other equity securities that may dilute the value of the interests of the then-existing holders of common units, Series A Preference Units or Series B Preference Units in our net assets and such securities may have priority over common units, Series A Preference Units or Series B Preference Units for receipt of distributions.</w:t>
      </w:r>
    </w:p>
    <w:p>
      <w:pPr>
        <w:spacing w:after="0" w:line="172"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accordance with Marshall Islands law and the provisions of our Partnership Agreement, we may also issue additional partnership interests that, as determined by our board of directors, have special voting or other rights to which the common units, the Series A Preference Units and the Series B Preference Units are not entitled.</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 in us does not entitle it to receive any portion of the distributions made in respect of the issuance of the Series A Preference Units and Series B Preference Units. Our general partner and its affiliates will have the right, which it may from time to time assign in whole or in part to any of its affiliates, to purchase common units, Series A Preference Units, Series B Preference Units or other equity securities whenever, and on the same terms that, we issue those securities to persons other than our general partner and its affiliates, to the extent necessary to maintain its and its affiliates' percentage interest, including its interest represented by common units, that existed immediately prior to each issuance. Other holders of common units will not have similar pre-emptive rights to acquire additional common units or other partnership interests.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units required to approve the amendment or call a meeting of the limited partners to consider and vote upon the proposed amendment. In addition, holders of Series A Preference Units and Series B Preference Units must approve certain amendments as described under "—Voting Rights". Except as we describe below, an amendment must be approved by a Unit Majority.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3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approved by at least a majority of the type or class of limited partner interests so affected;</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21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(5) above can be amended upon the approval of the holders of at least 90% of the outstanding units voting together as a single class (including units owned by our general partner and its affiliates).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generally make amendments to our Partnership Agreement without the approval of any limited partner to reflect:</w:t>
      </w:r>
    </w:p>
    <w:p>
      <w:pPr>
        <w:spacing w:after="0" w:line="26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38"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52" w:lineRule="exact"/>
        <w:rPr>
          <w:rFonts w:ascii="Arial" w:cs="Arial" w:eastAsia="Arial" w:hAnsi="Arial"/>
          <w:sz w:val="16"/>
          <w:szCs w:val="16"/>
          <w:color w:val="auto"/>
        </w:rPr>
      </w:pPr>
    </w:p>
    <w:p>
      <w:pPr>
        <w:ind w:left="1080" w:right="380" w:hanging="532"/>
        <w:spacing w:after="0" w:line="298"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193"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right="220" w:hanging="532"/>
        <w:spacing w:after="0" w:line="268"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adjustments of the minimum quarterly distribution, first target distribution, second target distribution and third target distribution in connection with the reset of our incentive distribution rights;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implementation of the provisions relating to GasLog's right to reset the incentive distribution rights in exchange for common units;</w:t>
      </w:r>
    </w:p>
    <w:p>
      <w:pPr>
        <w:spacing w:after="0" w:line="275" w:lineRule="exact"/>
        <w:rPr>
          <w:rFonts w:ascii="Arial" w:cs="Arial" w:eastAsia="Arial" w:hAnsi="Arial"/>
          <w:sz w:val="16"/>
          <w:szCs w:val="16"/>
          <w:color w:val="auto"/>
        </w:rPr>
      </w:pPr>
    </w:p>
    <w:p>
      <w:pPr>
        <w:ind w:left="1620" w:hanging="532"/>
        <w:spacing w:after="0" w:line="259"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amendment expressly permitted in the Partnership Agreement to be made by our board of directors acting alone;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the Partnership Agreement;</w:t>
      </w:r>
    </w:p>
    <w:p>
      <w:pPr>
        <w:spacing w:after="0" w:line="21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amendment to cure any ambiguity, defect or inconsistency;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or our general partner (subject to the limited approval rights of the holders of the Series A Preference Units, the Series B Preference Units and the holders of other Parity Securities (if applicable)) if our board of directors determines that those amendments:</w:t>
      </w:r>
    </w:p>
    <w:p>
      <w:pPr>
        <w:spacing w:after="0" w:line="208"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do not adversely affect the rights of our limited partners (or any particular class of limited partners) or our general partner in any material respect;</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authority or statute;</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199"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the Partnership Agreement or are otherwise contemplated by the Partnership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Limited Partner Approval</w:t>
      </w:r>
    </w:p>
    <w:p>
      <w:pPr>
        <w:spacing w:after="0" w:line="225"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152"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privileges of any type or class or series of outstanding limited partner interests (other than Series A Preference Units or Series B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Series A Preference Units or Series B Preference Units will require the approval of at least two-thirds of the outstanding Series A Preference Units or Series B Preference Units, as applicable.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Conversion or Other Disposition of Assets</w:t>
      </w:r>
    </w:p>
    <w:p>
      <w:pPr>
        <w:spacing w:after="0" w:line="23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and a Unit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198"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election of our general partner and our board of directors to dissolve us, if approved by the holders of units representing a Unit Majority;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any time there are no limited partners, unless we continue without dissolution in accordance with the Marshall Islands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w:t>
      </w:r>
    </w:p>
    <w:p>
      <w:pPr>
        <w:spacing w:after="0" w:line="194"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liquidator may defer liquidation or distribution of our assets for a reasonable period or distribute assets to partners in kind if it determines that a sale would be impractical or would cause undue loss to our partners. In the event of any liquidation, dissolution or winding up of our affairs, whether voluntary or involuntary, holders of the Series A Preference Units and Series B Preference Units will generally have the right to receive the liquidation preference of $25.00 per unit plus an amount equal to all accumulated and unpaid distributions thereon to the date of payment, whether or not declared, before any payments are made to holders of our common units or general partner units. A consolidation or merger of us with or into any other entity, individually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 series of transactions, will not be deemed to be a liquidation, dissolution or winding up of our affairs.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 some instances to sell or otherwise transfer all of its general partner interest in us without the approval of the unitholders. See "—Transfer of General Partner Interest" and "—Transfer of Incentive Distribution Rights".</w:t>
      </w:r>
    </w:p>
    <w:p>
      <w:pPr>
        <w:spacing w:after="0" w:line="17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majority of the outstanding common units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w:t>
      </w:r>
    </w:p>
    <w:p>
      <w:pPr>
        <w:spacing w:after="0" w:line="19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general partner may not be removed unless that removal is approved by the vote of the holders of not less than 66 2/3% of the outstanding common units, including units held by our general partner and its affiliates, voting together as a single class, and we receive an opinion of counsel regarding limited liability. The ownership of more than 33 1/3%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 voting as a single class.</w:t>
      </w:r>
    </w:p>
    <w:p>
      <w:pPr>
        <w:spacing w:after="0" w:line="170"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97"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142"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for the transfer by our general partner of all, but not less than all, of its general partner interest in us to:</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affiliate of our general partner (other than an individual); or</w:t>
      </w:r>
    </w:p>
    <w:p>
      <w:pPr>
        <w:spacing w:after="0" w:line="252"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another entity, 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23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At any time, the members of our general partner may sell or transfer all or part of their respective membership interests in our general partner to an affiliate or a third party without the approval of our unitholders.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 Series A Preference Units or Series B Preference Units</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By transfer of common units, Series A Preference Units or Series B Preference Units in accordance with the Partnership Agreement, each transferee of common units, Series A Preference Units or Series B Preference Units automatically is admitted as a limited partner with respect to the common units, Series A Preference Units or Series B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180"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 that the transferee has the capacity, power and authority to become bound by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agree to be bound by the terms and conditions of, and to have executed, the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grant power of attorney to officers of our general partner and any liquidator of us as specified in the Partnership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give the consents and approvals contained in the Partnership Agreement.</w:t>
      </w:r>
    </w:p>
    <w:p>
      <w:pPr>
        <w:spacing w:after="0" w:line="225"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are entitled to treat the nominee holder of a common unit, Series A Preference Unit or Series B Preference Unit as the absolute owner. In that case, the beneficial holder's rights are limited solely to those that it has against the nominee holder as a result of any agreement between the beneficial owner and the nominee holder.</w:t>
      </w:r>
    </w:p>
    <w:p>
      <w:pPr>
        <w:spacing w:after="0" w:line="194"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Common units, Series A Preference Units and Series B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194"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Until a common unit, Series A Preference Unit or a Series B Preference Unit has been transferred on our books, we and our transfer agent may treat the record holder of the unit as the absolute owner of such unit for all purposes, except as otherwise required by law or stock exchange regulations.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Partnership Agreement contains specific provisions that are intended to discourage a person or group from attempting to remove GasLog</w:t>
      </w:r>
    </w:p>
    <w:p>
      <w:pPr>
        <w:spacing w:after="0" w:line="38"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Partners GP LLC as our general partner or otherwise change management. If any person or group acquires beneficial ownership of more than 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 or Series B Preference Units.</w:t>
      </w:r>
    </w:p>
    <w:p>
      <w:pPr>
        <w:spacing w:after="0" w:line="169"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213"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38" w:lineRule="exact"/>
        <w:rPr>
          <w:rFonts w:ascii="Arial" w:cs="Arial" w:eastAsia="Arial" w:hAnsi="Arial"/>
          <w:sz w:val="18"/>
          <w:szCs w:val="18"/>
          <w:color w:val="auto"/>
        </w:rPr>
      </w:pPr>
    </w:p>
    <w:p>
      <w:pPr>
        <w:ind w:left="5540" w:right="360" w:hanging="4992"/>
        <w:spacing w:after="0" w:line="51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general partner will have the right to convert its general partner interest into common units or to receive cash in exchange for that interest. 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If at any time our general partner and its affiliates hold more than 80% of the then-issued and outstanding partnership interests of any class or series, except for the Series A Preference Units and Series B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w:t>
      </w:r>
    </w:p>
    <w:p>
      <w:pPr>
        <w:spacing w:after="0" w:line="2" w:lineRule="exact"/>
        <w:rPr>
          <w:sz w:val="20"/>
          <w:szCs w:val="20"/>
          <w:color w:val="auto"/>
        </w:rPr>
      </w:pPr>
    </w:p>
    <w:p>
      <w:pPr>
        <w:ind w:right="240" w:firstLine="8"/>
        <w:spacing w:after="0" w:line="302" w:lineRule="auto"/>
        <w:tabs>
          <w:tab w:leader="none" w:pos="2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highest price paid by our general partner or any of its affiliates for partnership interests of such class during the 90-day period preceding the date such notice is first mailed. Our general partner is not obligated to obtain a fairness opinion regarding the value of the common units to be repurchased by it upon the exercise of this limited call right and has no fiduciary duty in determining whether to exercise this limited call right.</w:t>
      </w:r>
    </w:p>
    <w:p>
      <w:pPr>
        <w:spacing w:after="0" w:line="163"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a result of the general partner's right to purchase outstanding partnership interests, a holder of partnership interests may have the holder's partnership interests (except for the Series A Preference Units and Series B Preference Units) purchased at an undesirable time or price. The tax consequences to a unitholder of the exercise of this call right are the same as a sale by that unitholder of common units in the market. See "Material U.S. Federal Income Tax Considerations— U.S. Federal Income Taxation of U.S. Holders—Sale, Exchange or Other Disposition of Common Units" and "Material U.S. Federal Income Tax Considerations —U.S. Federal Income Taxation of Non-U.S. Holders-Disposition of Units".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As of July 26, 2018, our board of directors is comprised of seven persons.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certain limited circumstances, holders of our Series A Preference Units and Series B Preference Units (voting together as a class with any other Parity Securities) may elect one additional director to serve on our board of directors, at which point our general partner would similarly be entitled, at its election, to appoint one additional director to serve for only as long a period of time as the director elected by the holders of Series A Preference Units and Series B Preference Units (and any other Parity Securities).</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directors not later than ten days following the public announcement of the meeting date. The notice must set forth:</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 and address of the limited partner or limited partners making the nomination or nominations;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common units beneficially owned by the limited partner or limited partners;</w:t>
      </w:r>
    </w:p>
    <w:p>
      <w:pPr>
        <w:spacing w:after="0" w:line="238"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written consent of the nominee(s) to serve as a member of our board of directors if so elected;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certification that the nominee(s) qualify as elected board members.</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jc w:val="both"/>
        <w:ind w:right="60" w:firstLine="351"/>
        <w:spacing w:after="0" w:line="294" w:lineRule="auto"/>
        <w:rPr>
          <w:sz w:val="20"/>
          <w:szCs w:val="20"/>
          <w:color w:val="auto"/>
        </w:rPr>
      </w:pPr>
      <w:r>
        <w:rPr>
          <w:rFonts w:ascii="Arial" w:cs="Arial" w:eastAsia="Arial" w:hAnsi="Arial"/>
          <w:sz w:val="16"/>
          <w:szCs w:val="16"/>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holders entitled to vote on such matter, although additional limited partner interests having special voting rights could be issued. Holders of the Series A Preference Units and Series B Preference Units generally have no voting rights. However, holders of the Series A Preference Units and Series B Preference Units have limited voting rights as described under "—Voting Rights".</w:t>
      </w:r>
    </w:p>
    <w:p>
      <w:pPr>
        <w:spacing w:after="0" w:line="17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hold a meeting of the limited partners every year to elect one or more members of our board of directors and to vote on any other matters that are properly brought before the meeting. Any action that is required or permitted to be taken by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 person or by proxy at meetings. The holders of 33 1/3% of the outstanding limited partner interests of the class,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13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record holder of a unit may vote according to the holder's percentage interest in us, although additional limited partner interests having special voting rights could be issued. See "—Issuance of Additional Interests". However, if at any time, any person or group owns beneficially more than 4.9% of any class of units then outstanding, except for Series A Preference Units and Series B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w:t>
      </w:r>
    </w:p>
    <w:p>
      <w:pPr>
        <w:spacing w:after="0" w:line="175" w:lineRule="exact"/>
        <w:rPr>
          <w:sz w:val="20"/>
          <w:szCs w:val="20"/>
          <w:color w:val="auto"/>
        </w:rPr>
      </w:pPr>
    </w:p>
    <w:p>
      <w:pPr>
        <w:ind w:right="280" w:firstLine="341"/>
        <w:spacing w:after="0" w:line="332" w:lineRule="auto"/>
        <w:rPr>
          <w:sz w:val="20"/>
          <w:szCs w:val="20"/>
          <w:color w:val="auto"/>
        </w:rPr>
      </w:pPr>
      <w:r>
        <w:rPr>
          <w:rFonts w:ascii="Arial" w:cs="Arial" w:eastAsia="Arial" w:hAnsi="Arial"/>
          <w:sz w:val="16"/>
          <w:szCs w:val="16"/>
          <w:color w:val="auto"/>
        </w:rPr>
        <w:t>Any notice, demand, request, report or proxy material required or permitted to be given or made to record holders of common units, Series A Preference Units or Series B Preference Units under the Partnership Agreement will be delivered to the record holder by us or by the transfer agent.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Except as described above under "—Limited Liability", the common units, Series A Preference Units and Series B Preference Units will be fully paid, and unitholders will not be required to make additional contributions. By transfer of common units, Series A Preference Units or Series B Preference Units in accordance with our Partnership Agreement, each transferee of units will be admitted as a limited partner with respect to the units transferred when such transfer and admission is reflected in our books and records.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person who is or was an officer, director, member, fiduciary or trustee of any entity described in (1), (2) or (3) above;</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fiduciary or trustee of another person at the request of our board of directors, our general partner or any departing general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officers;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153"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and related amendments;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 See "Units Eligible for Future Sale".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CASH DISTRIBUTION POLICY AND RESTRICTIONS ON DISTRIBUTIONS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Our cash distribution policy and restrictions on distributions are described in page 36 of the accompanying base prospectus. We hereby supplement that disclosure with the below.</w:t>
      </w:r>
    </w:p>
    <w:p>
      <w:pPr>
        <w:spacing w:after="0" w:line="186" w:lineRule="exact"/>
        <w:rPr>
          <w:sz w:val="20"/>
          <w:szCs w:val="20"/>
          <w:color w:val="auto"/>
        </w:rPr>
      </w:pPr>
    </w:p>
    <w:p>
      <w:pPr>
        <w:ind w:right="120" w:firstLine="348"/>
        <w:spacing w:after="0" w:line="286" w:lineRule="auto"/>
        <w:rPr>
          <w:sz w:val="20"/>
          <w:szCs w:val="20"/>
          <w:color w:val="auto"/>
        </w:rPr>
      </w:pPr>
      <w:r>
        <w:rPr>
          <w:rFonts w:ascii="Arial" w:cs="Arial" w:eastAsia="Arial" w:hAnsi="Arial"/>
          <w:sz w:val="16"/>
          <w:szCs w:val="16"/>
          <w:color w:val="auto"/>
        </w:rPr>
        <w:t>We issued 4,600,000 of our Series B Preference Units on January 17, 2018. The Series B Preference Units are senior to all classes of our common units and general partner units. From and including January 17, 2018 to, but excluding, March 15, 2023, the distribution rate for the Series B Preference Units will be</w:t>
      </w:r>
    </w:p>
    <w:p>
      <w:pPr>
        <w:spacing w:after="0" w:line="288" w:lineRule="auto"/>
        <w:rPr>
          <w:sz w:val="20"/>
          <w:szCs w:val="20"/>
          <w:color w:val="auto"/>
        </w:rPr>
      </w:pPr>
      <w:r>
        <w:rPr>
          <w:rFonts w:ascii="Arial" w:cs="Arial" w:eastAsia="Arial" w:hAnsi="Arial"/>
          <w:sz w:val="16"/>
          <w:szCs w:val="16"/>
          <w:color w:val="auto"/>
        </w:rPr>
        <w:t>8.200% per annum per $25.00 of liquidation preference per unit (equal to $2.05 per annum per unit). From and including March 15, 2023, the distribution rate will be a floating rate equal to three-month LIBOR plus a spread of 5.839% per annum per $25.00 of liquidation preference per unit. Distributions on Series B Preference Units are cumulative from January 17, 2018 and are payable on the 15th of March, June, September and December of each year (the initial distribution having been paid on March 15, 2018), when, as and if declared by our board of directors out of legally available funds for such purpose. No distribution may be declared or paid or set apart for payment on any common units or general partner units unless full cumulative distributions have been or contemporaneously are being paid or provided for on all outstanding Series B Preference Units through the most recent distribution payment date. Holders of the Series B Preference Units will not be entitled to any distribution, whether payable in cash, property or units, in excess of full cumulative distributions.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following is a discussion of the material U.S. federal income tax considerations that may be relevant to prospective unitholders and, unless otherwise noted in the following discussion, is the opinion of Cravath, Swaine &amp; Moore LLP, our U.S. counsel, insofar as it contains legal conclusions with respect to matters of U.S. federal income tax law. The opinion of our counsel is dependent on the accuracy of factual representations made by us to them, including descriptions of our operations contained herein.</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This discussion is based upon provisions of the Code, the Treasury Regulations promulgated thereunder and current administrative rulings and court decisions, all as in effect or existence on the date of this prospectus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discussion applies only to beneficial owners of common units that own the common units as "capital assets" within the meaning of</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Section 1221 of the Code (</w:t>
      </w:r>
      <w:r>
        <w:rPr>
          <w:rFonts w:ascii="Arial" w:cs="Arial" w:eastAsia="Arial" w:hAnsi="Arial"/>
          <w:sz w:val="16"/>
          <w:szCs w:val="16"/>
          <w:i w:val="1"/>
          <w:iCs w:val="1"/>
          <w:color w:val="auto"/>
        </w:rPr>
        <w:t>i.e.</w:t>
      </w:r>
      <w:r>
        <w:rPr>
          <w:rFonts w:ascii="Arial" w:cs="Arial" w:eastAsia="Arial" w:hAnsi="Arial"/>
          <w:sz w:val="16"/>
          <w:szCs w:val="16"/>
          <w:color w:val="auto"/>
        </w:rPr>
        <w:t>, generally, for investment purposes) and is not intended to be applicable to all categories of investors, such as unitholders subject to special tax rules (</w:t>
      </w:r>
      <w:r>
        <w:rPr>
          <w:rFonts w:ascii="Arial" w:cs="Arial" w:eastAsia="Arial" w:hAnsi="Arial"/>
          <w:sz w:val="16"/>
          <w:szCs w:val="16"/>
          <w:i w:val="1"/>
          <w:iCs w:val="1"/>
          <w:color w:val="auto"/>
        </w:rPr>
        <w:t>e.g.</w:t>
      </w:r>
      <w:r>
        <w:rPr>
          <w:rFonts w:ascii="Arial" w:cs="Arial" w:eastAsia="Arial" w:hAnsi="Arial"/>
          <w:sz w:val="16"/>
          <w:szCs w:val="16"/>
          <w:color w:val="auto"/>
        </w:rPr>
        <w:t>,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persons subject to special tax accounting rules as a result of any item of gross income with respect to our common units being taken into account in an applicable financial statement or persons that have a functional currency other than the U.S. dollar, each of whom may be subject to tax rules that differ significantly from those summarized below. If a partnership or other entity classified as a partnership for U.S. federal income tax purposes holds our common units, the tax treatment of its partners generally will depend upon the status of the partner and the activities of the partnership. If you are a partner in a partnership holding our common units, you are encouraged to consult your own tax advisor regarding the tax consequences to you of the partnership's ownership of our common units.</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No ruling has been or will be requested from the IRS regarding any matter affecting us or prospective unitholders. The opinions and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common units. This discussion does not comment on all aspects of U.S. federal income taxation that may be important to particular unitholders in light of their individual circumstances, and each prospective unitholder is encouraged to consult its own tax advisor regarding the U.S. federal, state, local and other tax consequences of the ownership or disposition of common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Corporation</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have elected to be treated as a corporation for U.S. federal income tax purposes. As a result, except as provided below, we will be subject to U.S. federal income tax on our income to the extent such income is from U.S. sources or is otherwise effectively connected with the conduct of a trade or business in the United States. In addition, U.S. Holders (as defined below) will not be directly subject to U.S. federal income tax on our income, but rather will be subject to U.S. federal income tax on distributions received from us and dispositions of units as described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Our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Our Subsidiaries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subsidiaries have elected to be treated as disregarded entities for U.S. federal income tax purposes. As a result, for purposes of the discussion below, our subsidiaries are treated as branches rather than as separate corporations.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Shipping Income</w:t>
      </w:r>
    </w:p>
    <w:p>
      <w:pPr>
        <w:spacing w:after="0" w:line="225"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198"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imposes on us a 4% U.S. income tax in respect of our U.S. Source International Transportation Income (without the allowance for deductions) unless we are exempt from U.S. federal income tax on such income under a tax treaty or the rules contained in Section 883 of the Code. The other 50% of the income described in the first sentence of this paragraph would not be subject to U.S. income tax.</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5"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We do not expect to qualify for an exemption from such U.S. federal income tax under a tax treaty nor do we expect to qualify for the exemption under Section 883 of the Code during the 2018 tax year, unless our general partner exercises the "GasLog option" (defined below).</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were exercised, we might qualify for an exemption from U.S. federal income tax on U.S. Source International Transportation Income under Section 883 of the Code. There is no assurance, however, that GasLog will exercise the GasLog option, which is necessary for us to qualify for such exemption, nor can we assure you that GasLog's exercise of the GasLog option would be sufficient for us to qualify for the exemption for our current or any future tax year.</w:t>
      </w:r>
    </w:p>
    <w:p>
      <w:pPr>
        <w:spacing w:after="0" w:line="170"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2017, our U.S. source gross transportation tax was $0.3 million and for the first six months of 2018, the gross U.S. source gross transportation tax was $0.5 million.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our U.S. Source International Transportation Income that is considered to be "effectively connected" with the conduct of a U.S. trade or business is subject to the 21% U.S. corporate income tax rate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U.S. Source International Transportation Income would be considered effectively connected with the conduct of a U.S. trade or business only if:</w:t>
      </w:r>
    </w:p>
    <w:p>
      <w:pPr>
        <w:spacing w:after="0" w:line="262" w:lineRule="exact"/>
        <w:rPr>
          <w:sz w:val="20"/>
          <w:szCs w:val="20"/>
          <w:color w:val="auto"/>
        </w:rPr>
      </w:pPr>
    </w:p>
    <w:p>
      <w:pPr>
        <w:ind w:left="1080" w:right="4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21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9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Gain on Sale of Shipping Assets</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231"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used herein, the term "U.S. Holder" means a beneficial owner of our common units that owns (actually or constructively) less than 10.0% of our equity and that is:</w:t>
      </w:r>
    </w:p>
    <w:p>
      <w:pPr>
        <w:spacing w:after="0" w:line="19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individual U.S. citizen or resident (as determined for U.S. federal income tax purposes),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corporation (or other entity that is classified as a corporation for U.S. federal income tax purposes) organized under the laws of the United States, any state thereof or the District of Columbia,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Subject to the discussion below of the rules applicable to PFICs, any distributions to a U.S. Holder made by us with respect to our common units generally will constitute dividends to the extent of our current or accumulated earnings and profits, as determined under U.S. federal income tax principles.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Distributions in excess of our earnings and profits will be treated first as a nontaxable return of capital to the extent of the U.S. Holder's tax basis in its common units and thereafter as capital gain. U.S. Holders that are corporations generally will not be entitled to claim a dividends received deduction with respect to distributions they receive from us because we are not a U.S. corporation. Dividends received with respect to our common units generally will be treated as foreign source "passive category income" for purposes of computing allowable foreign tax credits for U.S. federal income tax purposes.</w:t>
      </w:r>
    </w:p>
    <w:p>
      <w:pPr>
        <w:spacing w:after="0" w:line="167" w:lineRule="exact"/>
        <w:rPr>
          <w:sz w:val="20"/>
          <w:szCs w:val="20"/>
          <w:color w:val="auto"/>
        </w:rPr>
      </w:pPr>
    </w:p>
    <w:p>
      <w:pPr>
        <w:ind w:right="160" w:firstLine="351"/>
        <w:spacing w:after="0" w:line="284" w:lineRule="auto"/>
        <w:rPr>
          <w:sz w:val="20"/>
          <w:szCs w:val="20"/>
          <w:color w:val="auto"/>
        </w:rPr>
      </w:pPr>
      <w:r>
        <w:rPr>
          <w:rFonts w:ascii="Arial" w:cs="Arial" w:eastAsia="Arial" w:hAnsi="Arial"/>
          <w:sz w:val="16"/>
          <w:szCs w:val="16"/>
          <w:color w:val="auto"/>
        </w:rPr>
        <w:t>Dividends received with respect to our common units by a U.S. Holder that is an individual, trust or estate, or a "U.S. Individual Holder", generally will be treated as "qualified dividend income", which is taxable to such U.S. Individual Holder at preferential tax rates provided that: (i) our common units are readily tradable on an established securities market in the United States (such as the New York Stock Exchange on which we expect our common units to be traded);</w:t>
      </w:r>
    </w:p>
    <w:p>
      <w:pPr>
        <w:spacing w:after="0" w:line="1" w:lineRule="exact"/>
        <w:rPr>
          <w:sz w:val="20"/>
          <w:szCs w:val="20"/>
          <w:color w:val="auto"/>
        </w:rPr>
      </w:pPr>
    </w:p>
    <w:p>
      <w:pPr>
        <w:ind w:right="40" w:firstLine="8"/>
        <w:spacing w:after="0" w:line="288" w:lineRule="auto"/>
        <w:tabs>
          <w:tab w:leader="none" w:pos="2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are not a PFIC for the taxable year during which the dividend is paid or the immediately preceding taxable year (which we do not believe we are, have been or will be, as discussed below under "—PFIC Status and Significant Tax Consequences"); (iii) the U.S. Individual Holder has owned the common units for more than 60 days during the 121-day period beginning 60 days before the date on which the common units become ex-dividend (and has not entered into certain risk limiting transactions with respect to such common units);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at ordinary income rates to a U.S. Individual Holder.</w:t>
      </w:r>
    </w:p>
    <w:p>
      <w:pPr>
        <w:spacing w:after="0" w:line="17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Special rules may apply to any amounts received in respect of our common units that are treated as "extraordinary dividends". In general, an extraordinary dividend is a dividend with respect to a common unit that is equal to or in excess of 10.0% of a unitholder's adjusted tax basis (or fair market value upon the unitholder's election) in such common unit. In addition, extraordinary dividends include dividends received within a one-year period that, in the aggregate, equal or exceed 20.0% of a unitholder's adjusted tax basis (or fair market value). If we pay an "extraordinary dividend" on our common units that is treated as "qualified dividend income", then any loss recognized by a U.S. Individual Holder from the sale or exchange of such common units will be treated as long-term capital loss to the extent of the amount of such dividend.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Common Units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 Distributions"). Such gain or loss will be treated as long-term capital gain or loss if the U.S. Holder's holding period is greater than one year at the time of the sale, exchange or other disposition. Certain U.S. Holders (including individuals) may be eligible for preferential rates of U.S. federal income 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 on Net Investment Income</w:t>
      </w:r>
    </w:p>
    <w:p>
      <w:pPr>
        <w:spacing w:after="0" w:line="225"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Unitholders are encouraged to consult their tax advisors regarding the implications of the additional Medicare tax resulting from their ownership and disposition of our common units.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225" w:lineRule="exact"/>
        <w:rPr>
          <w:sz w:val="20"/>
          <w:szCs w:val="20"/>
          <w:color w:val="auto"/>
        </w:rPr>
      </w:pPr>
    </w:p>
    <w:p>
      <w:pPr>
        <w:jc w:val="both"/>
        <w:ind w:right="400" w:firstLine="341"/>
        <w:spacing w:after="0" w:line="259" w:lineRule="auto"/>
        <w:rPr>
          <w:sz w:val="20"/>
          <w:szCs w:val="20"/>
          <w:color w:val="auto"/>
        </w:rPr>
      </w:pPr>
      <w:r>
        <w:rPr>
          <w:rFonts w:ascii="Arial" w:cs="Arial" w:eastAsia="Arial" w:hAnsi="Arial"/>
          <w:sz w:val="18"/>
          <w:szCs w:val="18"/>
          <w:color w:val="auto"/>
        </w:rPr>
        <w:t>Adverse U.S. federal income tax rules apply to a U.S. Holder that owns an equity interest in a non-U.S. corporation that is classified as a PFIC for U.S. federal income tax purposes. In general, we will be treated as a PFIC with respect to a U.S. Holder if, for any taxable year in which the holder held our units, either:</w:t>
      </w:r>
    </w:p>
    <w:p>
      <w:pPr>
        <w:spacing w:after="0" w:line="208" w:lineRule="exact"/>
        <w:rPr>
          <w:sz w:val="20"/>
          <w:szCs w:val="20"/>
          <w:color w:val="auto"/>
        </w:rPr>
      </w:pPr>
    </w:p>
    <w:p>
      <w:pPr>
        <w:ind w:left="1080" w:right="2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least 75.0% of our gross income (including the gross income of our vessel-owning subsidiaries) for such taxable year consists of passive income (</w:t>
      </w:r>
      <w:r>
        <w:rPr>
          <w:rFonts w:ascii="Arial" w:cs="Arial" w:eastAsia="Arial" w:hAnsi="Arial"/>
          <w:sz w:val="18"/>
          <w:szCs w:val="18"/>
          <w:i w:val="1"/>
          <w:iCs w:val="1"/>
          <w:color w:val="auto"/>
        </w:rPr>
        <w:t>e.g.</w:t>
      </w:r>
      <w:r>
        <w:rPr>
          <w:rFonts w:ascii="Arial" w:cs="Arial" w:eastAsia="Arial" w:hAnsi="Arial"/>
          <w:sz w:val="18"/>
          <w:szCs w:val="18"/>
          <w:color w:val="auto"/>
        </w:rPr>
        <w:t>, dividends, interest, capital gains from the sale or exchange of investment property and rents derived other than in the active conduct of a rental business); or</w:t>
      </w:r>
    </w:p>
    <w:p>
      <w:pPr>
        <w:spacing w:after="0" w:line="221"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least 50.0% of the average value of the assets held by us (including the assets of our vessel-owning subsidiaries) during such taxable year produce, or are held for the production of, passive income.</w:t>
      </w:r>
    </w:p>
    <w:p>
      <w:pPr>
        <w:spacing w:after="0" w:line="186" w:lineRule="exact"/>
        <w:rPr>
          <w:sz w:val="20"/>
          <w:szCs w:val="20"/>
          <w:color w:val="auto"/>
        </w:rPr>
      </w:pPr>
    </w:p>
    <w:p>
      <w:pPr>
        <w:jc w:val="both"/>
        <w:ind w:right="540" w:firstLine="351"/>
        <w:spacing w:after="0" w:line="259" w:lineRule="auto"/>
        <w:rPr>
          <w:sz w:val="20"/>
          <w:szCs w:val="20"/>
          <w:color w:val="auto"/>
        </w:rPr>
      </w:pPr>
      <w:r>
        <w:rPr>
          <w:rFonts w:ascii="Arial" w:cs="Arial" w:eastAsia="Arial" w:hAnsi="Arial"/>
          <w:sz w:val="18"/>
          <w:szCs w:val="18"/>
          <w:color w:val="auto"/>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spacing w:after="0" w:line="19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Based on our past, current and projected methods of operation, and an opinion of counsel, we do not believe that we were, are or will be a PFIC for any of our previous taxable years or for our current or any future taxable year. We have received opinions of our U.S. counsel, Cravath, Swaine &amp; Moore LLP,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taxable years arose and that we expect that more than 25.0% of our gross income for our current and each future taxable year will arise from such time-chartering activities, and more than 50.0% of the average value of our assets for each such year was or will be held for the production of such nonpassive income. Assuming the composition of our income and assets is consistent with these representations, and assuming the accuracy of other representations we have made to our U.S. counsel for purposes of their opinion, our U.S. counsel is of the opinion that we should not be a PFIC for any of our previous taxable years or for our current or any future taxable year.</w:t>
      </w:r>
    </w:p>
    <w:p>
      <w:pPr>
        <w:spacing w:after="0" w:line="174"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 xml:space="preserve">Our counsel has indicated to us that the conclusions described above are not free from doubt. While there is legal authority supporting our conclusions, including IRS pronouncements concerning the characterization of income derived from time charters as services income, the United States Court of Appeals for the Fifth Circuit (or the Fifth Circuit) held in </w:t>
      </w:r>
      <w:r>
        <w:rPr>
          <w:rFonts w:ascii="Arial" w:cs="Arial" w:eastAsia="Arial" w:hAnsi="Arial"/>
          <w:sz w:val="16"/>
          <w:szCs w:val="16"/>
          <w:i w:val="1"/>
          <w:iCs w:val="1"/>
          <w:color w:val="auto"/>
        </w:rPr>
        <w:t>Tidewater Inc. v. United States,</w:t>
      </w:r>
      <w:r>
        <w:rPr>
          <w:rFonts w:ascii="Arial" w:cs="Arial" w:eastAsia="Arial" w:hAnsi="Arial"/>
          <w:sz w:val="16"/>
          <w:szCs w:val="16"/>
          <w:color w:val="auto"/>
        </w:rPr>
        <w:t xml:space="preserve"> 565 F.3d 299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Tidewater case and, at the same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announced the position of the IRS that the marine time charter agreements at issue in that case should be treated as service contracts.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taxable year, we cannot assure unitholders that the nature of our operations will not change in the future and that we will not become a PFIC in any future taxable year.</w:t>
      </w:r>
    </w:p>
    <w:p>
      <w:pPr>
        <w:spacing w:after="0" w:line="172"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As discussed more fully below, if we were to be treated as a PFIC for any taxable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common units, as discussed below. In addition, if a U.S. Holder owns our common units during any taxable year that we are a PFIC, such units owned by such holder will be treated as PFIC units even if we are not a PFIC in a subsequent year and, if the total value of all PFIC stock that such holder directly or indirectly owns exceeds certain thresholds, such holder must file an annual report with the IRS.</w:t>
      </w:r>
    </w:p>
    <w:p>
      <w:pPr>
        <w:spacing w:after="0" w:line="198"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PFIC rules are complex, and you are encouraged to consult your own tax advisor regarding the PFIC rules, including the annual PFIC reporting requirement.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225"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If we were to be treated as a PFIC for any taxable year, and a U.S. Holder makes a timely QEF election, such holder hereinafter an "Electing Holder", then, for U.S. federal income tax purposes, that holder must report as income for its taxable year its pro rata share of our ordinary earnings and net capital gain, if any, for our taxable years that end with or within the taxable year for which that holder is reporting, regardless of whether or not the Electing Holder received distributions from us in that year. The Electing Holder's adjusted tax basis in the common units will be increased to reflect taxed but undistributed earnings and profits. Distributions of earnings and profits that were previously taxed will result in a corresponding reduction in the Electing Holder's adjusted tax basis in common units and will not be taxed again once distributed. An Electing Holder generally will recognize capital gain or loss on the sale, exchange or other disposition of our common units. A U.S. Holder makes a QEF election with respect to any year that we are a PFIC by filing IRS Form 8621 with its U.S. federal income tax return. If, contrary to our expectations, we determine that we are treated as a PFIC for any taxable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If we were to be treated as a PFIC for any taxable year and, as we anticipate, our units were treated as "marketable stock", then, as an alternative to making a QEF election, a U.S. Holder would be allowed to make a "mark-to-market" election with respect to our common units, provided the U.S.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Holder completes and files IRS Form 8621 in accordance with the relevant instructions and related Treasury Regulations. If that election is made, the U.S. Holder generally would include as ordinary income in each taxable year the excess, if any, of the fair market value of the U.S. Holder's common units at the end of the taxable year over the holder's adjusted tax basis in the common units. The U.S. Holder also would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its common units would be adjusted to reflect any such income or loss recognized. Gain recognized on the sale, exchange or other disposition of our common units would be treated as ordinary income, and any loss recognized on the sale, exchange or other disposition of the common units would be treated as ordinary loss to the extent that such loss does not exceed the net mark-to-market gains previously included in income by the U.S. Holder. The mark-to-market election generally will not be available with respect to subsidiaries. Accordingly, in the event we acquire or own a subsidiary in the future that is treated as a PFIC, the mark-to-market election generally will not be available with respect to such subsidiary.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225"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If we were to be treated as a PFIC for any taxable year, a U.S. Holder that does not make either a QEF election or a "mark-to-market" election for that year, such holder hereinafter a "Non- Electing Holder", would be subject to special rules resulting in increased tax liability with respect to (1) any excess distribution (</w:t>
      </w:r>
      <w:r>
        <w:rPr>
          <w:rFonts w:ascii="Arial" w:cs="Arial" w:eastAsia="Arial" w:hAnsi="Arial"/>
          <w:sz w:val="15"/>
          <w:szCs w:val="15"/>
          <w:i w:val="1"/>
          <w:iCs w:val="1"/>
          <w:color w:val="auto"/>
        </w:rPr>
        <w:t>i.e.</w:t>
      </w:r>
      <w:r>
        <w:rPr>
          <w:rFonts w:ascii="Arial" w:cs="Arial" w:eastAsia="Arial" w:hAnsi="Arial"/>
          <w:sz w:val="15"/>
          <w:szCs w:val="15"/>
          <w:color w:val="auto"/>
        </w:rPr>
        <w:t>, the portion of any distributions received by the Non-Electing Holder on our common units in a taxable year in excess of 125.0% of the average annual distributions received by the Non-Electing Holder in the three preceding taxable years, or, if shorter, the portion of the Non-Electing Holder's holding period for the common units before the taxable year) and (2) any gain realized on the sale, exchange or other disposition of the units. Under these special rules:</w:t>
      </w:r>
    </w:p>
    <w:p>
      <w:pPr>
        <w:spacing w:after="0" w:line="167"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excess distribution or gain would be allocated ratably over the Non-Electing Holder's aggregate holding period for the common units;</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taxable year we were first treated as a PFIC with respect to the Non-Electing Holder would be taxed as ordinary income; and</w:t>
      </w:r>
    </w:p>
    <w:p>
      <w:pPr>
        <w:spacing w:after="0" w:line="199"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taxpayers for that year, and an interest charge for the deemed deferral benefit would be imposed with respect to the resulting tax attributable to each such other taxable year.</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These penalties would not apply to a qualified pension, profit sharing or other retirement trust or other tax-exempt organization that did not borrow money or otherwise utilize leverage in connection with its acquisition of our common units. If we were treated as a PFIC for any taxable year and a Non-Electing Holder who is an individual dies while owning our common units, such holder's successor generally would not receive a step-up in tax basis with respect to such units. A Non-Electing Holder may be required to report its ownership of our units by filing IRS Form 8621 with its U.S. federal income tax return.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 beneficial owner of our common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common units, you are encouraged to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consult your own tax advisor regarding the tax consequences to you of the partnership's ownership of our common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if the income arising from the distribution is not attributable to a U.S. permanent establishment maintained by the Non- U.S. Holder.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general, a Non-U.S. Holder is not subject to U.S. federal income tax or withholding tax on any gain resulting from the disposition of our common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However, even if not engaged in a U.S. trade or business, individual Non-U.S. Holders may be subject to tax on gain resulting from the disposition of our common units if they are present in the United States for 183 days or more during the taxable year in which those units are disposed and meet certain other requirements.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general, payments to a U.S. Individual Holder of distributions or the proceeds of a disposition of common units will be subject to information reporting.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payments to a U.S. Individual Holder also may be subject to backup withholding if the U.S. Individual Holder:</w:t>
      </w:r>
    </w:p>
    <w:p>
      <w:pPr>
        <w:spacing w:after="0" w:line="232"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notified by the IRS that it has failed to report all interest or corporate distributions required to be reported on its U.S. federal income tax returns;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by certifying their status on IRS Form W-8BEN, W-8BEN-E, W-8ECI or W-8IMY, as applicable.</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Backup withholding is not an additional tax. Rather, a unitholder generally may obtain a credit for any amount withheld against its liability for U.S. federal income tax (and obtain a refund of any amounts withheld in excess of such liability) by timely filing a U.S. federal income tax return with the IRS.</w:t>
      </w:r>
    </w:p>
    <w:p>
      <w:pPr>
        <w:spacing w:after="0" w:line="139"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U.S. Holders purchasing more than $100,000 of our common units in this offering may be required to file IRS Form 926 reporting such payment. For purposes of determining the total dollar value of common units purchased by a U.S. Holder in this offering, units purchased by certain related parties (including family members) are included. Substantial penalties may be imposed upon a U.S. Holder that fails to comply with this reporting obligation. Each U.S. Holder is encouraged to consult its own tax advisor as to the possible obligation to file IRS Form 926.</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Unitholders are encouraged to consult their tax advisors regarding their reporting obligations, if any, that would result from their purchase, ownership or disposition of our units.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the context otherwise requires, references in this section to "we", "our" or "us" are references to GasLog Partners 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 Consequences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discussion is based upon the opinion of Cozen O'Connor, our counsel as to matters of the laws of the Republic of the Marshall Islands, and the current laws of the Republic of the Marshall Islands applicable to persons who do not reside in, maintain offices in or engage in business in the Republic of the Marshall Islands.</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Because we and our subsidiaries do not and do not expect to conduct business or operations in the Republic of the Marshall Islands, and because all documentation related to this offering will be executed outside of the Republic of the Marshall Islands, under current Marshall Islands law you will not be subject to Marshall Islands taxation or withholding on distributions, including upon distribution treated as a return of capital, we make to you as a unitholder (so long as you are not a citizen or resident of the Marshall Islands). In addition, you will not be subject to Marshall Islands stamp, capital gains or other taxes on the purchase, ownership or disposition of common units, and you will not be required by the Republic of the Marshall Islands to file a tax return relating to your ownership of common units (so long as you are not a citizen or resident of the Marshall Islands).</w:t>
      </w:r>
    </w:p>
    <w:p>
      <w:pPr>
        <w:spacing w:after="0" w:line="17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EACH PROSPECTIVE UNITHOLDER IS ENCOURAGED TO CONSULT ITS OWN TAX COUNSEL OR OTHER ADVISOR WITH REGARD TO THE LEGAL AND TAX CONSEQUENCES OF UNIT OWNERSHIP UNDER ITS PARTICULAR CIRCUMSTANCES.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the Second Amended and Restated Equity Distribution Agreement with Citigroup Global Markets Inc., Merrill Lynch, Pierce,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Fenner &amp; Smith Incorporated, Credit Suisse Securities (USA) LLC, Morgan Stanley &amp; Co. LLC and UBS Securities LLC, or the "Agents", under which we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 and sell common units representing limited partner interests in GasLog Partners LP having an aggregate offering price of up to $144.04 million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time through the Agents, as our sales agents. As of the date of this prospectus supplement, we have issued and sold common units having an aggregate offering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price of $62,897,595 which means that we may sell common units having an aggregate offering price of up to $81,142,405. We have filed the Second Amended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Restated Equity Distribution Agreement as an exhibit to a Report on Form 6-K, which is incorporated by reference in this prospectus supplement. The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any, of common units made under the Second Amended and Restated Equity Distribution Agreement will be made by means of ordinary brokers'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New York Stock Exchange at market prices, in block transactions, or as otherwise agreed upon by the Agents and us. As sales agents, the Agents will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engage in any transactions that stabilize the price of our common units.</w:t>
      </w:r>
    </w:p>
    <w:p>
      <w:pPr>
        <w:spacing w:after="0" w:line="219"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Under the terms of the Second Amended and Restated Equity Distribution Agreement, we also may sell common units to the Agents as principals for their own account at a price agreed upon at the time of sale. If we sell common units to the Agents as principals, we will enter into a separate agreement with the Agents, and we will describe this agreement in a separate prospectus supplement or pricing supplement.</w:t>
      </w:r>
    </w:p>
    <w:p>
      <w:pPr>
        <w:spacing w:after="0" w:line="194"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will designate the maximum amount of common units to be sold through the Agents on a daily basis or otherwise as we and the Agents agree and the minimum price per unit at which such common units may be sold. Subject to the terms and conditions of the Second Amended and Restated Equity Distribution Agreement, the Agents will use their reasonable efforts to sell on our behalf all of the designated common units. We may instruct the Agents not to sell any common units if the sales cannot be effected at or above the price designated by us in any such instruction. We or the Agents may suspend the offering of common units at any time and from time to time by notifying the other party.</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Agents will provide to us written confirmation following the close of trading on the NYSE each day on which common units are sold under the Second Amended and Restated Equity Distribution Agreement. Each confirmation will include the number of common units sold on that day, the gross sales proceeds, the net proceeds to us (after regulatory transaction fees, if any, but before other expenses) and the compensation payable by us to the Agents. We will report at least quarterly the number of common units sold through the Agents under the Second Amended and Restated Equity Distribution Agreement, the net proceeds to us (before expenses) and the compensation paid by us to the Agents in connection with the sales of common units.</w:t>
      </w:r>
    </w:p>
    <w:p>
      <w:pPr>
        <w:spacing w:after="0" w:line="170"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will pay the Agents a commission of up to 2.0% of the gross sales price per common units sold through it as our agents under the Second Amended and Restated Equity Distribution Agreement. We have agreed to reimburse the Agents for certain of their expenses in an amount up to $225,000.</w:t>
      </w:r>
    </w:p>
    <w:p>
      <w:pPr>
        <w:spacing w:after="0" w:line="13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Settlement for sales of common units will occur on the second business day following the date on which such sales are made in return for payment of the net proceeds to us. There is no arrangement for funds to be received in an escrow, trust or similar arrangement.</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If we or the Agents have reason to believe that our common units are no longer an "actively-traded security" as defined under Rule 101(c)(l) of Regulation M under the U.S. Securities Exchange Act of 1934, as amended, such party will promptly notify the other and sales of common units pursuant to the Second Amended and Restated Equity Distribution Agreement or any terms agreement will be suspended until, in our collective judgment, Rule 101(c)(1) or another exemptive provision has been satisfied.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offering of common units pursuant to the Second Amended and Restated Equity Distribution Agreement will terminate upon the earlier of (1) the sale of all common units subject to the Second Amended and Restated Equity Distribution Agreement and (2) the termination of the Second Amended and Restated Equity Distribution Agreement by us or by the Agents.</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connection with the sale of the common units on our behalf, each of the Agents may be deemed to be an "underwriter" within the meaning of the Securities Act of 1933, as amended (the "Securities Act"), and the compensation paid to the Agents may be deemed to be underwriting commissions or discounts. We have agreed to provide indemnification and contribution to the Agents against certain liabilities, including liabilities under the Securities Act.</w:t>
      </w:r>
    </w:p>
    <w:p>
      <w:pPr>
        <w:spacing w:after="0" w:line="16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Agents and their affiliates have, from time to time, performed, and may in the future perform, various financial advisory and commercial and investment banking services for us and our affiliates, for which they have received and in the future will receive customary compensation and expense reimbursement. Affiliates of the Agents are lenders under certain of our and our affiliates' credit facilities. To the extent we use proceeds from this offering to repay indebtedness under our credit facilities, affiliates of the Agents may receive a portion of the proceeds from this offering. In addition, in the ordinary course of their various business activities, the Agents and their affiliates may make or hold a broad array of investments and actively trade debt and equity securities (or related derivative securities) and financial instruments for their own account and for the accounts of their customers and may at any time hold long and short positions in such securities and instruments. Such investment and securities activities may involve our securities and instruments. The Agents and their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4" w:lineRule="exact"/>
        <w:rPr>
          <w:sz w:val="20"/>
          <w:szCs w:val="20"/>
          <w:color w:val="auto"/>
        </w:rPr>
      </w:pPr>
    </w:p>
    <w:p>
      <w:pPr>
        <w:ind w:right="380" w:firstLine="348"/>
        <w:spacing w:after="0" w:line="256" w:lineRule="auto"/>
        <w:rPr>
          <w:sz w:val="20"/>
          <w:szCs w:val="20"/>
          <w:color w:val="auto"/>
        </w:rPr>
      </w:pPr>
      <w:r>
        <w:rPr>
          <w:rFonts w:ascii="Arial" w:cs="Arial" w:eastAsia="Arial" w:hAnsi="Arial"/>
          <w:sz w:val="18"/>
          <w:szCs w:val="18"/>
          <w:color w:val="auto"/>
        </w:rPr>
        <w:t>The current business of Merrill Lynch, Pierce, Fenner &amp; Smith Incorporated ("MLPF&amp;S") is being reorganized into two affiliated broker-dealers (i.e., MLPF&amp;S and BofAML Securities, Inc.) in which BofAML Securities, Inc. will be the new legal entity for the institutional services that are now provided by MLPF&amp;S. This transfer is expected to occur in 2018 (the "Transfer Date"). MLPF&amp;S will be assigning its rights and obligations as sales agent to BofAML Securities, Inc. on the Transfer Date.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validity of the common units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 Certain matters with respect to this offering will be passed upon for the underwriter by Latham &amp; Watkins LLP.</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40" w:firstLine="348"/>
        <w:spacing w:after="0" w:line="323" w:lineRule="auto"/>
        <w:rPr>
          <w:sz w:val="20"/>
          <w:szCs w:val="20"/>
          <w:color w:val="auto"/>
        </w:rPr>
      </w:pPr>
      <w:r>
        <w:rPr>
          <w:rFonts w:ascii="Arial" w:cs="Arial" w:eastAsia="Arial" w:hAnsi="Arial"/>
          <w:sz w:val="15"/>
          <w:szCs w:val="15"/>
          <w:color w:val="auto"/>
        </w:rPr>
        <w:t>The consolidated financial statements of GasLog Partners LP as of December 31, 2016 and 2017 and for each of the three years in the period ended December 31, 2017 incorporated in this prospectus supplement by reference from the Company's Annual Report on Form 20-F for the year ended December 31, 2017, have been audited by Deloitte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2 New Street Square, London, EC4A 3BZ, United Kingdom.</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EXPENSES RELATED TO THIS OFFERING</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sets forth the main costs and expenses, other than the underwriting discounts and commissions, in connection with this offering, which we will be required to pay.</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The New York Stock Exchange listing fee</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200,000.00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13,000.00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costs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Transfer agent fees and other</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5,267.20</w:t>
            </w:r>
          </w:p>
        </w:tc>
        <w:tc>
          <w:tcPr>
            <w:tcW w:w="160" w:type="dxa"/>
            <w:vAlign w:val="bottom"/>
            <w:shd w:val="clear" w:color="auto" w:fill="CCEEFF"/>
          </w:tcPr>
          <w:p>
            <w:pPr>
              <w:spacing w:after="0"/>
              <w:rPr>
                <w:sz w:val="18"/>
                <w:szCs w:val="18"/>
                <w:color w:val="auto"/>
              </w:rPr>
            </w:pPr>
          </w:p>
        </w:tc>
      </w:tr>
      <w:tr>
        <w:trPr>
          <w:trHeight w:val="210"/>
        </w:trPr>
        <w:tc>
          <w:tcPr>
            <w:tcW w:w="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265,000.00</w:t>
            </w:r>
          </w:p>
        </w:tc>
        <w:tc>
          <w:tcPr>
            <w:tcW w:w="160" w:type="dxa"/>
            <w:vAlign w:val="bottom"/>
          </w:tcPr>
          <w:p>
            <w:pPr>
              <w:spacing w:after="0"/>
              <w:rPr>
                <w:sz w:val="18"/>
                <w:szCs w:val="18"/>
                <w:color w:val="auto"/>
              </w:rPr>
            </w:pPr>
          </w:p>
        </w:tc>
      </w:tr>
      <w:tr>
        <w:trPr>
          <w:trHeight w:val="20"/>
        </w:trPr>
        <w:tc>
          <w:tcPr>
            <w:tcW w:w="4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437"/>
        </w:trPr>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Previously paid.</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filed with the SEC a registration statement on Form F-3 under the Securities Act with respect to the offer and sale of securities pursuant to this prospectus supplement. For purposes of this section, the term "registration statement" means the original registration statement and any and all amendments, including the schedules and exhibits to the original registration statement and any amendments. This prospectus supplement,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supplement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and copies may be obtained at prescribed rates, at the public reference facility maintained by the SEC at its principal office at 100 F Street, N.E., Washington, D.C. 20549. You may obtain information on the operation of the public reference facility by calling 1-800-SEC- 0330. The SEC also maintains a website at http://www.sec.gov that contains reports, proxy and information statements and other information regarding registrants that file electronically with the SEC. For further information pertaining to the securities offered by this prospectus supplement and GasLog Partners, reference is made to the registration statement.</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supplement, and information that we file later with the SEC will also be considered to be part of this prospectus supplement and will automatically update and supersede previously filed information, including information contained in this document.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supplement incorporates by reference certain documents, to the extent noted therein, including the following:</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Annual Report on Form 20-F for the year ended December 31, 2017, filed with the SEC on February 12, 2018; and</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Reports on Form 6-K, filed with the SEC on October 20, 2017, October 26, 2017, January 10, 2018, January 17, 2018, March 21, 2018, March 23, 2018, April 27, 2018 and June 19, 2018.</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until we file a post-effective amendment indicating that the offering of our common units made by this prospectus supplement has been terminated. In all cases, you should rely on the later information over different information included in this prospectus supplement.</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will provide, free of charge upon written or oral request, to each person to whom this prospectus supplement is delivered, including any beneficial owner of our common units, a copy of any or all of the information that has been incorporated by reference into this prospectus supplement, but which has not been delivered with the prospectus supplement. Copies of these documents also may be obtained on the "Investor Relations" section of our website at www.gaslogmlp.com. Requests for such information should be made to us at the following address: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Partners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+377 97 97 51 15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Nicola Lloyd, General Counsel</w:t>
      </w:r>
    </w:p>
    <w:p>
      <w:pPr>
        <w:spacing w:after="0" w:line="219" w:lineRule="exact"/>
        <w:rPr>
          <w:sz w:val="20"/>
          <w:szCs w:val="20"/>
          <w:color w:val="auto"/>
        </w:rPr>
      </w:pPr>
    </w:p>
    <w:p>
      <w:pPr>
        <w:ind w:right="180" w:firstLine="345"/>
        <w:spacing w:after="0" w:line="259" w:lineRule="auto"/>
        <w:rPr>
          <w:sz w:val="20"/>
          <w:szCs w:val="20"/>
          <w:color w:val="auto"/>
        </w:rPr>
      </w:pPr>
      <w:r>
        <w:rPr>
          <w:rFonts w:ascii="Arial" w:cs="Arial" w:eastAsia="Arial" w:hAnsi="Arial"/>
          <w:sz w:val="18"/>
          <w:szCs w:val="18"/>
          <w:color w:val="auto"/>
        </w:rPr>
        <w:t>You should assume that the information appearing in this prospectus supplement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$750,000,000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Units Representing Limited Partner Interests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8.625% Series A Cumulative Redeemable Perpetual Fixed to Floating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Rate Preference Units Representing Limited Partner Interests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Other Classes of Units Representing Limited Partner Interests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Rights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Combination Units</w:t>
      </w:r>
    </w:p>
    <w:p>
      <w:pPr>
        <w:spacing w:after="0" w:line="21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Through this prospectus, we may offer common units representing limited partner interests (the "Common Units"), 8.625% Series A Cumulative Redeemable Perpetual Fixed to Floating Rate Preference Units representing limited partner interests (the "Series A Preference Units") and other classes of units representing limited partner interests (the "Other Units"), debt securities, warrants to purchase Common Units, Series A Preference Units, Other Units or other rights (the "Warrants"), rights to purchase Common Units, Series A Preference Units and Other Units (the "Rights"), and units consisting of any combination of the Common Units, Series A Preference Units, Other Units, debt securities, Warrants and Rights (the "Combination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172"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194"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Units are traded on the New York Stock Exchange under the symbol "GLOP".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A Preference Units are traded on the New York Stock Exchange under the symbol "GLOP PR A".</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principal executive offices are located at Gildo Pastor Center, 7 Rue du Gabian, MC 98000, Monaco. Our telephone number at such address is +377 97 97 51 15.</w:t>
      </w:r>
    </w:p>
    <w:p>
      <w:pPr>
        <w:spacing w:after="0" w:line="167" w:lineRule="exact"/>
        <w:rPr>
          <w:sz w:val="20"/>
          <w:szCs w:val="20"/>
          <w:color w:val="auto"/>
        </w:rPr>
      </w:pPr>
    </w:p>
    <w:p>
      <w:pPr>
        <w:ind w:right="500" w:firstLine="351"/>
        <w:spacing w:after="0" w:line="256" w:lineRule="auto"/>
        <w:rPr>
          <w:sz w:val="20"/>
          <w:szCs w:val="20"/>
          <w:color w:val="auto"/>
        </w:rPr>
      </w:pPr>
      <w:r>
        <w:rPr>
          <w:rFonts w:ascii="Arial" w:cs="Arial" w:eastAsia="Arial" w:hAnsi="Arial"/>
          <w:sz w:val="22"/>
          <w:szCs w:val="22"/>
          <w:b w:val="1"/>
          <w:bCs w:val="1"/>
          <w:color w:val="auto"/>
        </w:rPr>
        <w:t>Investing in our securities involves risks. Before buying any securities you should carefully read the section entitled "Risk Factors" on page 5 of this prospectus.</w:t>
      </w:r>
    </w:p>
    <w:p>
      <w:pPr>
        <w:spacing w:after="0" w:line="176" w:lineRule="exact"/>
        <w:rPr>
          <w:sz w:val="20"/>
          <w:szCs w:val="20"/>
          <w:color w:val="auto"/>
        </w:rPr>
      </w:pPr>
    </w:p>
    <w:p>
      <w:pPr>
        <w:ind w:right="24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The date of this prospectus is 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7960" w:type="dxa"/>
            <w:vAlign w:val="bottom"/>
            <w:gridSpan w:val="2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11"/>
          </w:tcPr>
          <w:p>
            <w:pPr>
              <w:jc w:val="center"/>
              <w:ind w:right="900"/>
              <w:spacing w:after="0"/>
              <w:rPr>
                <w:sz w:val="20"/>
                <w:szCs w:val="20"/>
                <w:color w:val="auto"/>
              </w:rPr>
            </w:pPr>
            <w:r>
              <w:rPr>
                <w:rFonts w:ascii="Arial" w:cs="Arial" w:eastAsia="Arial" w:hAnsi="Arial"/>
                <w:sz w:val="18"/>
                <w:szCs w:val="18"/>
                <w:b w:val="1"/>
                <w:bCs w:val="1"/>
                <w:color w:val="auto"/>
                <w:w w:val="96"/>
              </w:rPr>
              <w:t>TABLE OF CONTENTS</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FORWARD-LOOKING STATEMENTS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66">
              <w:r>
                <w:rPr>
                  <w:rFonts w:ascii="Arial" w:cs="Arial" w:eastAsia="Arial" w:hAnsi="Arial"/>
                  <w:sz w:val="18"/>
                  <w:szCs w:val="18"/>
                  <w:color w:val="0000EE"/>
                </w:rPr>
                <w:t>1</w:t>
              </w:r>
            </w:hyperlink>
          </w:p>
        </w:tc>
      </w:tr>
      <w:tr>
        <w:trPr>
          <w:trHeight w:val="412"/>
        </w:trPr>
        <w:tc>
          <w:tcPr>
            <w:tcW w:w="1140" w:type="dxa"/>
            <w:vAlign w:val="bottom"/>
          </w:tcPr>
          <w:p>
            <w:pPr>
              <w:spacing w:after="0"/>
              <w:rPr>
                <w:sz w:val="24"/>
                <w:szCs w:val="24"/>
                <w:color w:val="auto"/>
              </w:rPr>
            </w:pPr>
          </w:p>
        </w:tc>
        <w:tc>
          <w:tcPr>
            <w:tcW w:w="1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68">
              <w:r>
                <w:rPr>
                  <w:rFonts w:ascii="Arial" w:cs="Arial" w:eastAsia="Arial" w:hAnsi="Arial"/>
                  <w:sz w:val="18"/>
                  <w:szCs w:val="18"/>
                  <w:color w:val="0000EE"/>
                  <w:w w:val="93"/>
                </w:rPr>
                <w:t>THE COMPANY</w:t>
              </w:r>
            </w:hyperlink>
          </w:p>
        </w:tc>
        <w:tc>
          <w:tcPr>
            <w:tcW w:w="1600" w:type="dxa"/>
            <w:vAlign w:val="bottom"/>
            <w:tcBorders>
              <w:top w:val="single" w:sz="8" w:color="0000EE"/>
            </w:tcBorders>
            <w:gridSpan w:val="8"/>
          </w:tcPr>
          <w:p>
            <w:pPr>
              <w:spacing w:after="0"/>
              <w:rPr>
                <w:sz w:val="24"/>
                <w:szCs w:val="24"/>
                <w:color w:val="auto"/>
              </w:rPr>
            </w:pPr>
          </w:p>
        </w:tc>
        <w:tc>
          <w:tcPr>
            <w:tcW w:w="3960" w:type="dxa"/>
            <w:vAlign w:val="bottom"/>
            <w:gridSpan w:val="13"/>
          </w:tcPr>
          <w:p>
            <w:pPr>
              <w:spacing w:after="0"/>
              <w:rPr>
                <w:sz w:val="24"/>
                <w:szCs w:val="24"/>
                <w:color w:val="auto"/>
              </w:rPr>
            </w:pPr>
          </w:p>
        </w:tc>
        <w:tc>
          <w:tcPr>
            <w:tcW w:w="20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RISK FACTORS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70">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SERVICE OF PROCESS AND ENFORCEMENT OF LIABILITIES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71">
              <w:r>
                <w:rPr>
                  <w:rFonts w:ascii="Arial" w:cs="Arial" w:eastAsia="Arial" w:hAnsi="Arial"/>
                  <w:sz w:val="18"/>
                  <w:szCs w:val="18"/>
                  <w:color w:val="0000EE"/>
                </w:rPr>
                <w:t>6</w:t>
              </w:r>
            </w:hyperlink>
          </w:p>
        </w:tc>
      </w:tr>
      <w:tr>
        <w:trPr>
          <w:trHeight w:val="412"/>
        </w:trPr>
        <w:tc>
          <w:tcPr>
            <w:tcW w:w="1140" w:type="dxa"/>
            <w:vAlign w:val="bottom"/>
          </w:tcPr>
          <w:p>
            <w:pPr>
              <w:spacing w:after="0"/>
              <w:rPr>
                <w:sz w:val="24"/>
                <w:szCs w:val="24"/>
                <w:color w:val="auto"/>
              </w:rPr>
            </w:pPr>
          </w:p>
        </w:tc>
        <w:tc>
          <w:tcPr>
            <w:tcW w:w="4880" w:type="dxa"/>
            <w:vAlign w:val="bottom"/>
            <w:tcBorders>
              <w:top w:val="single" w:sz="8" w:color="0000EE"/>
            </w:tcBorders>
            <w:gridSpan w:val="2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ABOUT THIS PROSPECTUS</w:t>
              </w:r>
            </w:hyperlink>
          </w:p>
        </w:tc>
        <w:tc>
          <w:tcPr>
            <w:tcW w:w="1940" w:type="dxa"/>
            <w:vAlign w:val="bottom"/>
            <w:gridSpan w:val="3"/>
          </w:tcPr>
          <w:p>
            <w:pPr>
              <w:spacing w:after="0"/>
              <w:rPr>
                <w:sz w:val="24"/>
                <w:szCs w:val="24"/>
                <w:color w:val="auto"/>
              </w:rPr>
            </w:pPr>
          </w:p>
        </w:tc>
        <w:tc>
          <w:tcPr>
            <w:tcW w:w="20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20" w:type="dxa"/>
            <w:vAlign w:val="bottom"/>
            <w:tcBorders>
              <w:bottom w:val="single" w:sz="8" w:color="0000EE"/>
            </w:tcBorders>
            <w:gridSpan w:val="21"/>
          </w:tcPr>
          <w:p>
            <w:pPr>
              <w:spacing w:after="0"/>
              <w:rPr>
                <w:rFonts w:ascii="Arial" w:cs="Arial" w:eastAsia="Arial" w:hAnsi="Arial"/>
                <w:sz w:val="18"/>
                <w:szCs w:val="18"/>
                <w:color w:val="0000EE"/>
                <w:w w:val="96"/>
              </w:rPr>
            </w:pPr>
            <w:hyperlink w:anchor="page72">
              <w:r>
                <w:rPr>
                  <w:rFonts w:ascii="Arial" w:cs="Arial" w:eastAsia="Arial" w:hAnsi="Arial"/>
                  <w:sz w:val="18"/>
                  <w:szCs w:val="18"/>
                  <w:color w:val="0000EE"/>
                  <w:w w:val="96"/>
                </w:rPr>
                <w:t>WHERE YOU CAN FIND ADDITIONAL INFORMATION</w:t>
              </w:r>
            </w:hyperlink>
          </w:p>
        </w:tc>
        <w:tc>
          <w:tcPr>
            <w:tcW w:w="2500" w:type="dxa"/>
            <w:vAlign w:val="bottom"/>
            <w:gridSpan w:val="5"/>
          </w:tcPr>
          <w:p>
            <w:pPr>
              <w:spacing w:after="0"/>
              <w:rPr>
                <w:sz w:val="24"/>
                <w:szCs w:val="24"/>
                <w:color w:val="auto"/>
              </w:rPr>
            </w:pPr>
          </w:p>
        </w:tc>
        <w:tc>
          <w:tcPr>
            <w:tcW w:w="20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INCORPORATION OF CERTAIN INFORMATION BY REFERENCE</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73">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820" w:type="dxa"/>
            <w:vAlign w:val="bottom"/>
            <w:tcBorders>
              <w:bottom w:val="single" w:sz="8" w:color="0000EE"/>
            </w:tcBorders>
            <w:gridSpan w:val="26"/>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RATIO OF EARNINGS TO FIXED CHARGES AND PREFERENCE UNIT DISTRIBUTIONS</w:t>
              </w:r>
            </w:hyperlink>
          </w:p>
        </w:tc>
        <w:tc>
          <w:tcPr>
            <w:tcW w:w="20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9</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5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USE OF PROCEEDS</w:t>
              </w:r>
            </w:hyperlink>
          </w:p>
        </w:tc>
        <w:tc>
          <w:tcPr>
            <w:tcW w:w="5260" w:type="dxa"/>
            <w:vAlign w:val="bottom"/>
            <w:gridSpan w:val="19"/>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CAPITALIZATION AND INDEBTEDNESS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75">
              <w:r>
                <w:rPr>
                  <w:rFonts w:ascii="Arial" w:cs="Arial" w:eastAsia="Arial" w:hAnsi="Arial"/>
                  <w:sz w:val="18"/>
                  <w:szCs w:val="18"/>
                  <w:color w:val="0000EE"/>
                </w:rPr>
                <w:t>10</w:t>
              </w:r>
            </w:hyperlink>
          </w:p>
        </w:tc>
      </w:tr>
      <w:tr>
        <w:trPr>
          <w:trHeight w:val="412"/>
        </w:trPr>
        <w:tc>
          <w:tcPr>
            <w:tcW w:w="1140" w:type="dxa"/>
            <w:vAlign w:val="bottom"/>
          </w:tcPr>
          <w:p>
            <w:pPr>
              <w:spacing w:after="0"/>
              <w:rPr>
                <w:sz w:val="24"/>
                <w:szCs w:val="24"/>
                <w:color w:val="auto"/>
              </w:rPr>
            </w:pPr>
          </w:p>
        </w:tc>
        <w:tc>
          <w:tcPr>
            <w:tcW w:w="28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3"/>
              </w:rPr>
            </w:pPr>
            <w:hyperlink w:anchor="page75">
              <w:r>
                <w:rPr>
                  <w:rFonts w:ascii="Arial" w:cs="Arial" w:eastAsia="Arial" w:hAnsi="Arial"/>
                  <w:sz w:val="18"/>
                  <w:szCs w:val="18"/>
                  <w:color w:val="0000EE"/>
                  <w:w w:val="93"/>
                </w:rPr>
                <w:t>DESCRIPTION OF COMMON UNITS</w:t>
              </w:r>
            </w:hyperlink>
          </w:p>
        </w:tc>
        <w:tc>
          <w:tcPr>
            <w:tcW w:w="360" w:type="dxa"/>
            <w:vAlign w:val="bottom"/>
            <w:tcBorders>
              <w:top w:val="single" w:sz="8" w:color="0000EE"/>
            </w:tcBorders>
            <w:gridSpan w:val="3"/>
          </w:tcPr>
          <w:p>
            <w:pPr>
              <w:spacing w:after="0"/>
              <w:rPr>
                <w:sz w:val="24"/>
                <w:szCs w:val="24"/>
                <w:color w:val="auto"/>
              </w:rPr>
            </w:pPr>
          </w:p>
        </w:tc>
        <w:tc>
          <w:tcPr>
            <w:tcW w:w="3620" w:type="dxa"/>
            <w:vAlign w:val="bottom"/>
            <w:gridSpan w:val="11"/>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94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DESCRIPTION OF SERIES A PREFERENCE UNITS</w:t>
              </w:r>
            </w:hyperlink>
          </w:p>
        </w:tc>
        <w:tc>
          <w:tcPr>
            <w:tcW w:w="2880" w:type="dxa"/>
            <w:vAlign w:val="bottom"/>
            <w:gridSpan w:val="7"/>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0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DESCRIPTION OF THE OTHER CLASSES OF UNITS</w:t>
              </w:r>
            </w:hyperlink>
          </w:p>
        </w:tc>
        <w:tc>
          <w:tcPr>
            <w:tcW w:w="2760" w:type="dxa"/>
            <w:vAlign w:val="bottom"/>
            <w:gridSpan w:val="6"/>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29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DESCRIPTION OF DEBT SECURITIES</w:t>
              </w:r>
            </w:hyperlink>
          </w:p>
        </w:tc>
        <w:tc>
          <w:tcPr>
            <w:tcW w:w="3860" w:type="dxa"/>
            <w:vAlign w:val="bottom"/>
            <w:gridSpan w:val="12"/>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12</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DESCRIPTION OF WARRANTS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84">
              <w:r>
                <w:rPr>
                  <w:rFonts w:ascii="Arial" w:cs="Arial" w:eastAsia="Arial" w:hAnsi="Arial"/>
                  <w:sz w:val="18"/>
                  <w:szCs w:val="18"/>
                  <w:color w:val="0000EE"/>
                </w:rPr>
                <w:t>19</w:t>
              </w:r>
            </w:hyperlink>
          </w:p>
        </w:tc>
      </w:tr>
      <w:tr>
        <w:trPr>
          <w:trHeight w:val="412"/>
        </w:trPr>
        <w:tc>
          <w:tcPr>
            <w:tcW w:w="114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DESCRIPTION OF RIGHTS</w:t>
              </w:r>
            </w:hyperlink>
          </w:p>
        </w:tc>
        <w:tc>
          <w:tcPr>
            <w:tcW w:w="320" w:type="dxa"/>
            <w:vAlign w:val="bottom"/>
            <w:tcBorders>
              <w:top w:val="single" w:sz="8" w:color="0000EE"/>
            </w:tcBorders>
            <w:gridSpan w:val="2"/>
          </w:tcPr>
          <w:p>
            <w:pPr>
              <w:spacing w:after="0"/>
              <w:rPr>
                <w:sz w:val="24"/>
                <w:szCs w:val="24"/>
                <w:color w:val="auto"/>
              </w:rPr>
            </w:pPr>
          </w:p>
        </w:tc>
        <w:tc>
          <w:tcPr>
            <w:tcW w:w="4400" w:type="dxa"/>
            <w:vAlign w:val="bottom"/>
            <w:gridSpan w:val="15"/>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20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64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85">
              <w:r>
                <w:rPr>
                  <w:rFonts w:ascii="Arial" w:cs="Arial" w:eastAsia="Arial" w:hAnsi="Arial"/>
                  <w:sz w:val="18"/>
                  <w:szCs w:val="18"/>
                  <w:color w:val="0000EE"/>
                  <w:w w:val="94"/>
                </w:rPr>
                <w:t>DESCRIPTION OF THE COMBINATION UNITS</w:t>
              </w:r>
            </w:hyperlink>
          </w:p>
        </w:tc>
        <w:tc>
          <w:tcPr>
            <w:tcW w:w="3180" w:type="dxa"/>
            <w:vAlign w:val="bottom"/>
            <w:gridSpan w:val="10"/>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20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92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86">
              <w:r>
                <w:rPr>
                  <w:rFonts w:ascii="Arial" w:cs="Arial" w:eastAsia="Arial" w:hAnsi="Arial"/>
                  <w:sz w:val="18"/>
                  <w:szCs w:val="18"/>
                  <w:color w:val="0000EE"/>
                  <w:w w:val="93"/>
                </w:rPr>
                <w:t>SUMMARY OF OUR PARTNERSHIP AGREEMENT</w:t>
              </w:r>
            </w:hyperlink>
          </w:p>
        </w:tc>
        <w:tc>
          <w:tcPr>
            <w:tcW w:w="2900" w:type="dxa"/>
            <w:vAlign w:val="bottom"/>
            <w:gridSpan w:val="8"/>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21</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22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101">
              <w:r>
                <w:rPr>
                  <w:rFonts w:ascii="Arial" w:cs="Arial" w:eastAsia="Arial" w:hAnsi="Arial"/>
                  <w:sz w:val="18"/>
                  <w:szCs w:val="18"/>
                  <w:color w:val="0000EE"/>
                  <w:w w:val="94"/>
                </w:rPr>
                <w:t>OUR CASH DISTRIBUTION POLICY AND RESTRICTIONS ON DISTRIBUTIONS</w:t>
              </w:r>
            </w:hyperlink>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1">
              <w:r>
                <w:rPr>
                  <w:rFonts w:ascii="Arial" w:cs="Arial" w:eastAsia="Arial" w:hAnsi="Arial"/>
                  <w:sz w:val="18"/>
                  <w:szCs w:val="18"/>
                  <w:color w:val="0000EE"/>
                  <w:w w:val="79"/>
                </w:rPr>
                <w:t>36</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760" w:type="dxa"/>
            <w:vAlign w:val="bottom"/>
            <w:tcBorders>
              <w:bottom w:val="single" w:sz="8" w:color="0000EE"/>
            </w:tcBorders>
            <w:gridSpan w:val="22"/>
          </w:tcPr>
          <w:p>
            <w:pPr>
              <w:spacing w:after="0"/>
              <w:rPr>
                <w:rFonts w:ascii="Arial" w:cs="Arial" w:eastAsia="Arial" w:hAnsi="Arial"/>
                <w:sz w:val="18"/>
                <w:szCs w:val="18"/>
                <w:color w:val="0000EE"/>
                <w:w w:val="94"/>
              </w:rPr>
            </w:pPr>
            <w:hyperlink w:anchor="page113">
              <w:r>
                <w:rPr>
                  <w:rFonts w:ascii="Arial" w:cs="Arial" w:eastAsia="Arial" w:hAnsi="Arial"/>
                  <w:sz w:val="18"/>
                  <w:szCs w:val="18"/>
                  <w:color w:val="0000EE"/>
                  <w:w w:val="94"/>
                </w:rPr>
                <w:t>MATERIAL U.S. FEDERAL INCOME TAX CONSIDERATIONS</w:t>
              </w:r>
            </w:hyperlink>
          </w:p>
        </w:tc>
        <w:tc>
          <w:tcPr>
            <w:tcW w:w="2060" w:type="dxa"/>
            <w:vAlign w:val="bottom"/>
            <w:gridSpan w:val="4"/>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13">
              <w:r>
                <w:rPr>
                  <w:rFonts w:ascii="Arial" w:cs="Arial" w:eastAsia="Arial" w:hAnsi="Arial"/>
                  <w:sz w:val="18"/>
                  <w:szCs w:val="18"/>
                  <w:color w:val="0000EE"/>
                  <w:w w:val="79"/>
                </w:rPr>
                <w:t>48</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70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113">
              <w:r>
                <w:rPr>
                  <w:rFonts w:ascii="Arial" w:cs="Arial" w:eastAsia="Arial" w:hAnsi="Arial"/>
                  <w:sz w:val="18"/>
                  <w:szCs w:val="18"/>
                  <w:color w:val="0000EE"/>
                  <w:w w:val="93"/>
                </w:rPr>
                <w:t>NON-UNITED STATES TAX CONSIDERATIONS</w:t>
              </w:r>
            </w:hyperlink>
          </w:p>
        </w:tc>
        <w:tc>
          <w:tcPr>
            <w:tcW w:w="3120" w:type="dxa"/>
            <w:vAlign w:val="bottom"/>
            <w:gridSpan w:val="9"/>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13">
              <w:r>
                <w:rPr>
                  <w:rFonts w:ascii="Arial" w:cs="Arial" w:eastAsia="Arial" w:hAnsi="Arial"/>
                  <w:sz w:val="18"/>
                  <w:szCs w:val="18"/>
                  <w:color w:val="0000EE"/>
                  <w:w w:val="79"/>
                </w:rPr>
                <w:t>48</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PLAN OF DISTRIBUTION</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13">
              <w:r>
                <w:rPr>
                  <w:rFonts w:ascii="Arial" w:cs="Arial" w:eastAsia="Arial" w:hAnsi="Arial"/>
                  <w:sz w:val="18"/>
                  <w:szCs w:val="18"/>
                  <w:color w:val="0000EE"/>
                </w:rPr>
                <w:t>48</w:t>
              </w:r>
            </w:hyperlink>
          </w:p>
        </w:tc>
      </w:tr>
      <w:tr>
        <w:trPr>
          <w:trHeight w:val="412"/>
        </w:trPr>
        <w:tc>
          <w:tcPr>
            <w:tcW w:w="114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115">
              <w:r>
                <w:rPr>
                  <w:rFonts w:ascii="Arial" w:cs="Arial" w:eastAsia="Arial" w:hAnsi="Arial"/>
                  <w:sz w:val="18"/>
                  <w:szCs w:val="18"/>
                  <w:color w:val="0000EE"/>
                  <w:w w:val="88"/>
                </w:rPr>
                <w:t>EXPENSES</w:t>
              </w:r>
            </w:hyperlink>
          </w:p>
        </w:tc>
        <w:tc>
          <w:tcPr>
            <w:tcW w:w="1120" w:type="dxa"/>
            <w:vAlign w:val="bottom"/>
            <w:tcBorders>
              <w:top w:val="single" w:sz="8" w:color="0000EE"/>
            </w:tcBorders>
            <w:gridSpan w:val="5"/>
          </w:tcPr>
          <w:p>
            <w:pPr>
              <w:spacing w:after="0"/>
              <w:rPr>
                <w:sz w:val="24"/>
                <w:szCs w:val="24"/>
                <w:color w:val="auto"/>
              </w:rPr>
            </w:pPr>
          </w:p>
        </w:tc>
        <w:tc>
          <w:tcPr>
            <w:tcW w:w="4820" w:type="dxa"/>
            <w:vAlign w:val="bottom"/>
            <w:gridSpan w:val="18"/>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15">
              <w:r>
                <w:rPr>
                  <w:rFonts w:ascii="Arial" w:cs="Arial" w:eastAsia="Arial" w:hAnsi="Arial"/>
                  <w:sz w:val="18"/>
                  <w:szCs w:val="18"/>
                  <w:color w:val="0000EE"/>
                  <w:w w:val="79"/>
                </w:rPr>
                <w:t>50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LEGAL MATTERS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15">
              <w:r>
                <w:rPr>
                  <w:rFonts w:ascii="Arial" w:cs="Arial" w:eastAsia="Arial" w:hAnsi="Arial"/>
                  <w:sz w:val="18"/>
                  <w:szCs w:val="18"/>
                  <w:color w:val="0000EE"/>
                </w:rPr>
                <w:t>50</w:t>
              </w:r>
            </w:hyperlink>
          </w:p>
        </w:tc>
      </w:tr>
      <w:tr>
        <w:trPr>
          <w:trHeight w:val="412"/>
        </w:trPr>
        <w:tc>
          <w:tcPr>
            <w:tcW w:w="1140" w:type="dxa"/>
            <w:vAlign w:val="bottom"/>
          </w:tcPr>
          <w:p>
            <w:pPr>
              <w:spacing w:after="0"/>
              <w:rPr>
                <w:sz w:val="24"/>
                <w:szCs w:val="24"/>
                <w:color w:val="auto"/>
              </w:rPr>
            </w:pPr>
          </w:p>
        </w:tc>
        <w:tc>
          <w:tcPr>
            <w:tcW w:w="1420" w:type="dxa"/>
            <w:vAlign w:val="bottom"/>
            <w:tcBorders>
              <w:top w:val="single" w:sz="8" w:color="0000EE"/>
            </w:tcBorders>
            <w:gridSpan w:val="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EXPERTS</w:t>
              </w:r>
            </w:hyperlink>
          </w:p>
        </w:tc>
        <w:tc>
          <w:tcPr>
            <w:tcW w:w="5400" w:type="dxa"/>
            <w:vAlign w:val="bottom"/>
            <w:gridSpan w:val="20"/>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15">
              <w:r>
                <w:rPr>
                  <w:rFonts w:ascii="Arial" w:cs="Arial" w:eastAsia="Arial" w:hAnsi="Arial"/>
                  <w:sz w:val="18"/>
                  <w:szCs w:val="18"/>
                  <w:color w:val="0000EE"/>
                  <w:w w:val="79"/>
                </w:rPr>
                <w:t>50</w:t>
              </w:r>
            </w:hyperlink>
          </w:p>
        </w:tc>
        <w:tc>
          <w:tcPr>
            <w:tcW w:w="1300" w:type="dxa"/>
            <w:vAlign w:val="bottom"/>
          </w:tcPr>
          <w:p>
            <w:pPr>
              <w:spacing w:after="0"/>
              <w:rPr>
                <w:sz w:val="24"/>
                <w:szCs w:val="24"/>
                <w:color w:val="auto"/>
              </w:rPr>
            </w:pPr>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5"/>
          </w:tcPr>
          <w:p>
            <w:pPr>
              <w:jc w:val="center"/>
              <w:ind w:right="2000"/>
              <w:spacing w:after="0"/>
              <w:rPr>
                <w:sz w:val="20"/>
                <w:szCs w:val="20"/>
                <w:color w:val="auto"/>
              </w:rPr>
            </w:pPr>
            <w:r>
              <w:rPr>
                <w:rFonts w:ascii="Arial" w:cs="Arial" w:eastAsia="Arial" w:hAnsi="Arial"/>
                <w:sz w:val="18"/>
                <w:szCs w:val="18"/>
                <w:color w:val="auto"/>
              </w:rPr>
              <w:t>i</w:t>
            </w:r>
          </w:p>
        </w:tc>
        <w:tc>
          <w:tcPr>
            <w:tcW w:w="19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that are not statements of historical fact are "forward-looking statements" within the meaning of the United States Private Securities Litigation Reform Act of 1995. The disclosure and analysis set forth in this prospectus includes assumptions, expectations, projections, intentions and beliefs about future events in a number of places, particularly in relation to our operations, cash flows, financial position, liquidity and cash available for dividends or distributions, plans, strategies, business prospects and changes and trends in our business and the markets in which we operate. These statements are intended as "forward-looking statements". In some cases, predictive, future-tense or forward-looking words such as "believe", "intend", "anticipate", "estimate", "project", "forecast", "plan", "potential", "may", "should", "could" and "expect" and similar expressions are intended to identify forward- 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34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leverage GasLog Ltd.'s relationships and reputation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purchase vessels from GasLog Ltd. in the future;</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Ltd. of the revolving credit facility with GasLog Ltd. entered into on April 3, 2017 and our ability to meet our restrictive covenants and other obligations under our credit facilities;</w:t>
      </w:r>
    </w:p>
    <w:p>
      <w:pPr>
        <w:spacing w:after="0" w:line="207"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25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GasLog Ltd.'s ability to retain key employees and provide services to us, and the availability of skilled labor, ship crews and management;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52"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February 13, 2017, available at http://www.sec.gov.</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caution that these and other forward-looking statements included in this prospectus represent our estimates and assumptions only as of the date of this prospectus and are not intended to give any assurance as to future results. Many of the forward-looking statements included in this prospectus are based on our assumptions about factors that are beyond our ability to control or predict. Assumptions, expectations, projections, intentions and beliefs about future events may, and often do, vary from actual results and these differences can be material. The reasons for this include the risks, uncertainties and factors described in the "Risk Factors" section of this prospectus. As a result, the forward-looking events discussed in this prospectus might not occur and our actual results may differ materially from those anticipated in the forward-looking statements. Accordingly, you should not unduly rely on any forward-looking statements.</w:t>
      </w:r>
    </w:p>
    <w:p>
      <w:pPr>
        <w:spacing w:after="0" w:line="17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indicated, references in this prospectus to:</w:t>
      </w:r>
    </w:p>
    <w:p>
      <w:pPr>
        <w:spacing w:after="0" w:line="239" w:lineRule="exact"/>
        <w:rPr>
          <w:sz w:val="20"/>
          <w:szCs w:val="20"/>
          <w:color w:val="auto"/>
        </w:rPr>
      </w:pPr>
    </w:p>
    <w:p>
      <w:pPr>
        <w:ind w:left="1080" w:right="18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"GasLog Partners", the "Partnership", "we", "our", "us" or similar terms refer to GasLog Partners LP or any one or more of its subsidiaries, or to all such entities unless the context otherwise indicates;</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"GasLog", depending on the context, refers to GasLog Ltd. and to any one or more of its direct and indirect subsidiaries, other than GasLog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general partner" refer to GasLog Partners GP LLC, the general partner of GasLog Partners and a wholly owned subsidiary of GasLog;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"GasLog LNG Services" refer to GasLog LNG Services Ltd., a wholly owned subsidiary of GasLog;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"Shell" refers to Royal Dutch Shell plc,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"BG Group" refers to BG Group plc. BG Group was acquired by Shell on February 15,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 refers to Total Gas &amp; Power Chartering Limited, a wholly owned subsidiary of Total plc;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"Omnibus agreement" refers to the Omnibus Agreement dated May 12, 2014 by and among the Partnership, GasLog, our general partner and GasLog Partners Holdings LLC, as amended;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"dollars" and "$" refer to, and amounts are presented in, U.S. dollars;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"cbm" refer to cubic meters.</w:t>
      </w:r>
    </w:p>
    <w:p>
      <w:pPr>
        <w:spacing w:after="0" w:line="225" w:lineRule="exact"/>
        <w:rPr>
          <w:sz w:val="20"/>
          <w:szCs w:val="20"/>
          <w:color w:val="auto"/>
        </w:rPr>
      </w:pPr>
    </w:p>
    <w:p>
      <w:pPr>
        <w:jc w:val="center"/>
        <w:spacing w:after="0" w:line="306" w:lineRule="auto"/>
        <w:rPr>
          <w:sz w:val="20"/>
          <w:szCs w:val="20"/>
          <w:color w:val="auto"/>
        </w:rPr>
      </w:pPr>
      <w:r>
        <w:rPr>
          <w:rFonts w:ascii="Arial" w:cs="Arial" w:eastAsia="Arial" w:hAnsi="Arial"/>
          <w:sz w:val="16"/>
          <w:szCs w:val="16"/>
          <w:color w:val="auto"/>
        </w:rPr>
        <w:t>We are a growth-oriented limited partnership focused on owning, operating and acquiring LNG carriers engaged in LNG transportation under long-term charters, which we define as charters of five full years or more. Our fleet of eleven LNG carriers, which have fixed charter terms expiring between 2018 and 2026 that can be extended at the charterers' option, were contributed to us by, or acquired from, GasLog, which controls us through its ownership of our general partner.</w:t>
      </w:r>
    </w:p>
    <w:p>
      <w:pPr>
        <w:spacing w:after="0" w:line="161"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 xml:space="preserve">As of September 29, 2017, our fleet consisted of eleven LNG carriers, including six vessels with modern tri-fuel diesel electric ("TFDE") propulsion technology and five modern steam-powered ("Steam") vessels that all operate under long-term charters with subsidiaries of Shell. At that date, we also had options and other certain acquisition rights under which we may acquire additional LNG carriers from GasLog. Under the omnibus agreement entered into with GasLog in connection with our IPO (defined below), we have the option to purchase up to five LNG carriers from GasLog within 36 months after each such vessel's acceptance by its charterer (or, in the case of certain vessels, within 36 months after the completion of their acquisition by GasLog on March 31, 2015), in each case at fair market value as determined pursuant to the omnibus agreement. In addition, we previously had options to acquire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w:t>
      </w:r>
      <w:r>
        <w:rPr>
          <w:rFonts w:ascii="Arial" w:cs="Arial" w:eastAsia="Arial" w:hAnsi="Arial"/>
          <w:sz w:val="16"/>
          <w:szCs w:val="16"/>
          <w:i w:val="1"/>
          <w:iCs w:val="1"/>
          <w:color w:val="auto"/>
        </w:rPr>
        <w:t>Methane Rita Andrea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Shirley Elisabeth</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w:t>
      </w:r>
      <w:r>
        <w:rPr>
          <w:rFonts w:ascii="Arial" w:cs="Arial" w:eastAsia="Arial" w:hAnsi="Arial"/>
          <w:sz w:val="16"/>
          <w:szCs w:val="16"/>
          <w:i w:val="1"/>
          <w:iCs w:val="1"/>
          <w:color w:val="auto"/>
        </w:rPr>
        <w:t xml:space="preserve"> GasLog Seattle</w:t>
      </w:r>
      <w:r>
        <w:rPr>
          <w:rFonts w:ascii="Arial" w:cs="Arial" w:eastAsia="Arial" w:hAnsi="Arial"/>
          <w:sz w:val="16"/>
          <w:szCs w:val="16"/>
          <w:color w:val="auto"/>
        </w:rPr>
        <w:t>,</w:t>
      </w:r>
      <w:r>
        <w:rPr>
          <w:rFonts w:ascii="Arial" w:cs="Arial" w:eastAsia="Arial" w:hAnsi="Arial"/>
          <w:sz w:val="16"/>
          <w:szCs w:val="16"/>
          <w:i w:val="1"/>
          <w:iCs w:val="1"/>
          <w:color w:val="auto"/>
        </w:rPr>
        <w:t xml:space="preserve"> GasLog Greece </w:t>
      </w:r>
      <w:r>
        <w:rPr>
          <w:rFonts w:ascii="Arial" w:cs="Arial" w:eastAsia="Arial" w:hAnsi="Arial"/>
          <w:sz w:val="16"/>
          <w:szCs w:val="16"/>
          <w:color w:val="auto"/>
        </w:rPr>
        <w:t>and</w:t>
      </w:r>
      <w:r>
        <w:rPr>
          <w:rFonts w:ascii="Arial" w:cs="Arial" w:eastAsia="Arial" w:hAnsi="Arial"/>
          <w:sz w:val="16"/>
          <w:szCs w:val="16"/>
          <w:i w:val="1"/>
          <w:iCs w:val="1"/>
          <w:color w:val="auto"/>
        </w:rPr>
        <w:t xml:space="preserve"> GasLog Geneva</w:t>
      </w:r>
      <w:r>
        <w:rPr>
          <w:rFonts w:ascii="Arial" w:cs="Arial" w:eastAsia="Arial" w:hAnsi="Arial"/>
          <w:sz w:val="16"/>
          <w:szCs w:val="16"/>
          <w:color w:val="auto"/>
        </w:rPr>
        <w:t>,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 have exercised, and these eight vessels are now part of our owned fleet. We also previously had the option to acquire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which option expired in May 2017.</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the omnibus agreement, we also have a right of first offer from GasLog to purchase any other LNG carriers with cargo capacities greater than 75,000 cbm engaged in ongoing LNG transportation under charters of five full years or more that GasLog owns or acquires (the "Five-Year Vessels") either at their acquisition cost plus certain break up costs (in the case of a newly acquired Five-Year Vessel) or at their fair market value (in the case of a previously owned vessel that becomes a Five-Year Vessel). Generally, we must exercise this right of first offer within 30 days following the notice from GasLog that the vessel has been acquired or has become a Five- Year Vessel. The five newbuildings that will be chartered to Shell, Total and Centrica in 2018 and 2019 will each qualify as a Five-Year Vessel upon commencement of each respective charter, and GasLog will be required to offer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to us an opportunity to purchase each vessel at fair market value within 30 days of the commencement of its charter. Following completion of the acquisition by GasLog of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from a subsidiary of BG Group, GasLog granted us the option, exercisable at any time within 36 months after March 31, 2015—the date that GasLog completed the acquisition to purchase both of the aforementioned vessels at their fair market value as determined under the omnibus agreement—under the same terms that apply to the three other vessels over which we hold options granted by GasLog. This agreement supersedes the provision under the omnibus agreement that would otherwise have required GasLog to offer us, within 30 days of the completion of the vessels acquisition, an opportunity to purchase such vessels at the acquisition price paid plus certain administrative costs, and would have allowed us 30 days to respond to such offer.</w:t>
      </w:r>
    </w:p>
    <w:p>
      <w:pPr>
        <w:spacing w:after="0" w:line="201"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 options, with the addition of the five future firm charters agreed with Shell, Total and Centrica, brings the current pipeline of vessels that we have, or may have, the right to acquire from GasLog to 10 LNG carriers. We believe that such options and acquisition rights provide us with significant built-in growth opportunities. We may also acquire vessels from shipyards or other owners.</w:t>
      </w:r>
    </w:p>
    <w:p>
      <w:pPr>
        <w:spacing w:after="0" w:line="19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operate all of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unit distributions. Among other things, our ability to acquire additional LNG carriers will be dependent upon our ability to raise additional financing.</w:t>
      </w:r>
    </w:p>
    <w:p>
      <w:pPr>
        <w:spacing w:after="0" w:line="197"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We are not obligated to purchase any of the vessels from GasLog described above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September 29, 2017,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with regards to transactions covered by that agreement. We cannot assure you that in any particular case that the necessary consent will be obtained.</w:t>
      </w:r>
    </w:p>
    <w:p>
      <w:pPr>
        <w:spacing w:after="0" w:line="201"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On May 12, 2014, we completed an initial public offering of our Common Units (the "IPO"). We completed follow-on public offerings of our Common Units on September 29, 2014, June 26, 2015, August 5, 2016 and January 27, 2017. Our Common Units are listed on the New York Stock Exchange (the "NYSE") under the ticker symbol "GLOP". If any securities are to be listed or quoted on any other securities exchange or quotation system, the applicable prospectus supplement will so state.</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May 15, 2017, we completed a public offering of our Series A Preference Units, liquidation preference $25.00 per unit. The Series A Preference Units are listed on the NYSE under the ticker symbol "GLOP PR A."</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On May 16, 2017, we commenced an "at-the-market" offering program under which we may offer and sell Common Units having an aggregate offering price of up to $100 million from time to time through our sales agents.</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maintain our principal executive offices at Gildo Pastor Center, 7 Rue du Gabian, MC 98000, Monaco. Our telephone number at that address is +377 97 97 51 15. We have been organized under the laws of the Republic of the Marshall Islands.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Investing in the securities to be offered pursuant to this prospectus may involve a high degree of risk. You should carefully consider the important factors set forth under the heading "Risk Factors" in our most recent Annual Report on Form 20-F filed with the 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197"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Any of the risk factors referred to above could significantly and negatively affect our business, results of operations or financial condition, which may reduce our ability to make cash distributions and lower the trading price of our securities. The risks referred to above are not the only ones that may exist. Additional risks not currently known by us or that we deem immaterial may also impair our business operations. You may lose all or a part of your investment.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194"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our general partner or our subsidiaries or to realize against us or them judgments obtained in United States courts, including judgments predicated upon the civil liability provisions of the securities laws of the United States or any state in the United States.</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Cozen O'Connor, our counsel as to Marshall Islands law, has advised us that there is uncertainty as to whether the courts of the Marshall Islands would</w:t>
      </w:r>
    </w:p>
    <w:p>
      <w:pPr>
        <w:spacing w:after="0" w:line="38" w:lineRule="exact"/>
        <w:rPr>
          <w:sz w:val="20"/>
          <w:szCs w:val="20"/>
          <w:color w:val="auto"/>
        </w:rPr>
      </w:pPr>
    </w:p>
    <w:p>
      <w:pPr>
        <w:ind w:right="100" w:firstLine="8"/>
        <w:spacing w:after="0" w:line="255" w:lineRule="auto"/>
        <w:tabs>
          <w:tab w:leader="none" w:pos="249"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recognize or enforce against us, our general partner or our directors or officers judgments of courts of the United States based on civil liability provisions of applicable U.S. federal and state securities laws or (2) impose liabilities against us, our general partner or our directors and officers in original actions brought in the Marshall Islands, based on these laws.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SEC using a shelf registration process. Under this shelf registration process, we may, from time to time, sell up to an aggregate public offering price of $750,000,000 of any combination of the securities described in this prospectus.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 "Where You Can Find Additional Information".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 xml:space="preserve">We have filed with the SEC a registration statement on Form F-3 under the Securities Act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 For further information pertaining to the securities offered by this prospectus and GasLog Partners, reference is made to the registration statement.</w:t>
      </w:r>
    </w:p>
    <w:p>
      <w:pPr>
        <w:spacing w:after="0" w:line="178"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document.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incorporates by reference the following documents:</w:t>
      </w:r>
    </w:p>
    <w:p>
      <w:pPr>
        <w:spacing w:after="0" w:line="239" w:lineRule="exact"/>
        <w:rPr>
          <w:sz w:val="20"/>
          <w:szCs w:val="20"/>
          <w:color w:val="auto"/>
        </w:rPr>
      </w:pPr>
    </w:p>
    <w:p>
      <w:pPr>
        <w:ind w:left="1080" w:right="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Reports on Form 6-K, filed with the SEC on March 23, 2017, May 3, 2017, May 10, 2017, May 15, 2017, May 16, 2017, June 1, 2017, July 5, 2017, July 27, 2017, August 21, 2017, September 15, 2017 and September 29, 2017;</w:t>
      </w:r>
    </w:p>
    <w:p>
      <w:pPr>
        <w:spacing w:after="0" w:line="212" w:lineRule="exact"/>
        <w:rPr>
          <w:rFonts w:ascii="Arial" w:cs="Arial" w:eastAsia="Arial" w:hAnsi="Arial"/>
          <w:sz w:val="18"/>
          <w:szCs w:val="18"/>
          <w:color w:val="auto"/>
        </w:rPr>
      </w:pPr>
    </w:p>
    <w:p>
      <w:pPr>
        <w:ind w:left="1080" w:right="620" w:hanging="532"/>
        <w:spacing w:after="0" w:line="33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Annual Report on Form 20-F for the year ended December 31, 2016, filed with the SEC on February 13, 2017 (Items 3A, 5, 18 of this Form 20-F have been updated by the Current Report on Form 6-K filed with the SEC on September 29, 2017);</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description of our Common Units which is contained in our registration statement on Form 8-A (File No. 001-36433), filed with the SEC on April 30, 2014, including any amendment or report filed for the purpose of updating such description; and</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description of our Series A Preference Units which is contained in our registration statement on Form 8-A (File No. 001- 36433), filed with the SEC on May 15, 2017, including any amendment or report filed for the purpose of updating such description.</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197" w:lineRule="exact"/>
        <w:rPr>
          <w:sz w:val="20"/>
          <w:szCs w:val="20"/>
          <w:color w:val="auto"/>
        </w:rPr>
      </w:pPr>
    </w:p>
    <w:p>
      <w:pPr>
        <w:ind w:right="440" w:firstLine="348"/>
        <w:spacing w:after="0" w:line="298" w:lineRule="auto"/>
        <w:rPr>
          <w:sz w:val="20"/>
          <w:szCs w:val="20"/>
          <w:color w:val="auto"/>
        </w:rPr>
      </w:pPr>
      <w:r>
        <w:rPr>
          <w:rFonts w:ascii="Arial" w:cs="Arial" w:eastAsia="Arial" w:hAnsi="Arial"/>
          <w:sz w:val="16"/>
          <w:szCs w:val="16"/>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6"/>
          <w:szCs w:val="16"/>
          <w:i w:val="1"/>
          <w:iCs w:val="1"/>
          <w:color w:val="auto"/>
        </w:rPr>
        <w:t>www.gaslogmlp.com.</w:t>
      </w:r>
      <w:r>
        <w:rPr>
          <w:rFonts w:ascii="Arial" w:cs="Arial" w:eastAsia="Arial" w:hAnsi="Arial"/>
          <w:sz w:val="16"/>
          <w:szCs w:val="16"/>
          <w:color w:val="auto"/>
        </w:rPr>
        <w:t xml:space="preserve"> The information contained on or connected to our website is not a part of this prospectus. Requests for such information should be made to us at the following address: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Partners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+377 97 97 51 15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 AND PREFERENCE UNIT DISTRIBUTIONS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following table sets forth our ratio of earnings to fixed charges for the periods indicated, computed using amounts derived from our financial statements for the years ended December 31, 2014, 2015 and 2016 included in the Form 6-K filed on September 29, 2017 and incorporated herein by reference. The amounts as of December 31, 2012 and 2013 and for each of the years ended December 31, 2012 and 2013 are a summary of and are derived from our audited consolidated financial statements after retroactive restatement for the transfer of vessels from GasLog to the Partnership, which are not incorporated by reference in this registration statement. Our financial statements are prepared in accordance with International Financial Reporting Standards as issued by the International Accounting Standards Board.</w:t>
      </w:r>
    </w:p>
    <w:p>
      <w:pPr>
        <w:spacing w:after="0" w:line="345"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5"/>
          </w:tcPr>
          <w:p>
            <w:pPr>
              <w:ind w:left="400"/>
              <w:spacing w:after="0"/>
              <w:rPr>
                <w:sz w:val="20"/>
                <w:szCs w:val="20"/>
                <w:color w:val="auto"/>
              </w:rPr>
            </w:pPr>
            <w:r>
              <w:rPr>
                <w:rFonts w:ascii="Arial" w:cs="Arial" w:eastAsia="Arial" w:hAnsi="Arial"/>
                <w:sz w:val="14"/>
                <w:szCs w:val="14"/>
                <w:b w:val="1"/>
                <w:bCs w:val="1"/>
                <w:color w:val="auto"/>
                <w:w w:val="98"/>
              </w:rPr>
              <w:t>Year ended December 31,</w:t>
            </w:r>
            <w:r>
              <w:rPr>
                <w:rFonts w:ascii="Arial" w:cs="Arial" w:eastAsia="Arial" w:hAnsi="Arial"/>
                <w:sz w:val="22"/>
                <w:szCs w:val="22"/>
                <w:b w:val="1"/>
                <w:bCs w:val="1"/>
                <w:color w:val="auto"/>
                <w:w w:val="98"/>
                <w:vertAlign w:val="superscript"/>
              </w:rPr>
              <w:t>(1)</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0" w:type="dxa"/>
            <w:vAlign w:val="bottom"/>
            <w:gridSpan w:val="2"/>
            <w:vMerge w:val="restart"/>
          </w:tcPr>
          <w:p>
            <w:pPr>
              <w:jc w:val="center"/>
              <w:ind w:right="180"/>
              <w:spacing w:after="0" w:line="109" w:lineRule="exact"/>
              <w:rPr>
                <w:sz w:val="20"/>
                <w:szCs w:val="20"/>
                <w:color w:val="auto"/>
              </w:rPr>
            </w:pPr>
            <w:r>
              <w:rPr>
                <w:rFonts w:ascii="Arial" w:cs="Arial" w:eastAsia="Arial" w:hAnsi="Arial"/>
                <w:sz w:val="12"/>
                <w:szCs w:val="12"/>
                <w:b w:val="1"/>
                <w:bCs w:val="1"/>
                <w:color w:val="auto"/>
                <w:w w:val="99"/>
              </w:rPr>
              <w:t>ended June 30,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40" w:type="dxa"/>
            <w:vAlign w:val="bottom"/>
            <w:gridSpan w:val="7"/>
          </w:tcPr>
          <w:p>
            <w:pPr>
              <w:jc w:val="right"/>
              <w:ind w:right="36"/>
              <w:spacing w:after="0" w:line="142" w:lineRule="exact"/>
              <w:rPr>
                <w:sz w:val="20"/>
                <w:szCs w:val="20"/>
                <w:color w:val="auto"/>
              </w:rPr>
            </w:pPr>
            <w:r>
              <w:rPr>
                <w:rFonts w:ascii="Arial" w:cs="Arial" w:eastAsia="Arial" w:hAnsi="Arial"/>
                <w:sz w:val="14"/>
                <w:szCs w:val="14"/>
                <w:b w:val="1"/>
                <w:bCs w:val="1"/>
                <w:color w:val="auto"/>
              </w:rPr>
              <w:t>(in thousands of U.S. dollars, except ratios)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Pre-tax (loss)/income</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640" w:type="dxa"/>
            <w:vAlign w:val="bottom"/>
          </w:tcPr>
          <w:p>
            <w:pPr>
              <w:jc w:val="right"/>
              <w:spacing w:after="0"/>
              <w:rPr>
                <w:sz w:val="20"/>
                <w:szCs w:val="20"/>
                <w:color w:val="auto"/>
              </w:rPr>
            </w:pPr>
            <w:r>
              <w:rPr>
                <w:rFonts w:ascii="Arial" w:cs="Arial" w:eastAsia="Arial" w:hAnsi="Arial"/>
                <w:sz w:val="18"/>
                <w:szCs w:val="18"/>
                <w:color w:val="auto"/>
              </w:rPr>
              <w:t>31,011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49,035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77,629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87,633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44,906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36,206</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30,974</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39,356</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Earnings available for fixed charges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85,241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126,989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4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Amortization of capitalized expenses relating to</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indebtedness.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12,768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7,246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Fixed Charges before preference unit</w:t>
            </w: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39,356</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color w:val="auto"/>
              </w:rPr>
              <w:t>Preference unit distributions</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gridSpan w:val="3"/>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1,549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Combined Fixed Charges and preference unit</w:t>
            </w: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39,356</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line="277"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9"/>
                <w:szCs w:val="29"/>
                <w:b w:val="1"/>
                <w:bCs w:val="1"/>
                <w:color w:val="auto"/>
                <w:vertAlign w:val="superscript"/>
              </w:rPr>
              <w:t>(2)</w:t>
            </w:r>
          </w:p>
        </w:tc>
        <w:tc>
          <w:tcPr>
            <w:tcW w:w="74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gridSpan w:val="3"/>
            <w:vMerge w:val="continue"/>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n/m</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2.35</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3.51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3.23</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99"/>
              </w:rPr>
              <w:t>Ratio of Earnings to Combined Fixed Charges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920" w:type="dxa"/>
            <w:vAlign w:val="bottom"/>
            <w:gridSpan w:val="2"/>
            <w:shd w:val="clear" w:color="auto" w:fill="CCEEFF"/>
          </w:tcPr>
          <w:p>
            <w:pPr>
              <w:ind w:left="160"/>
              <w:spacing w:after="0" w:line="267" w:lineRule="exact"/>
              <w:rPr>
                <w:sz w:val="20"/>
                <w:szCs w:val="20"/>
                <w:color w:val="auto"/>
              </w:rPr>
            </w:pPr>
            <w:r>
              <w:rPr>
                <w:rFonts w:ascii="Arial" w:cs="Arial" w:eastAsia="Arial" w:hAnsi="Arial"/>
                <w:sz w:val="18"/>
                <w:szCs w:val="18"/>
                <w:b w:val="1"/>
                <w:bCs w:val="1"/>
                <w:color w:val="auto"/>
              </w:rPr>
              <w:t>and Preference Unit Distributions</w:t>
            </w:r>
            <w:r>
              <w:rPr>
                <w:rFonts w:ascii="Arial" w:cs="Arial" w:eastAsia="Arial" w:hAnsi="Arial"/>
                <w:sz w:val="29"/>
                <w:szCs w:val="29"/>
                <w:b w:val="1"/>
                <w:bCs w:val="1"/>
                <w:color w:val="auto"/>
                <w:vertAlign w:val="superscript"/>
              </w:rPr>
              <w:t>(2)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n/m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Dollar Amount of the Coverage Deficiency</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1,715</w:t>
            </w:r>
          </w:p>
        </w:tc>
        <w:tc>
          <w:tcPr>
            <w:tcW w:w="16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8"/>
                <w:szCs w:val="18"/>
                <w:b w:val="1"/>
                <w:bCs w:val="1"/>
                <w:color w:val="auto"/>
                <w:w w:val="92"/>
              </w:rPr>
              <w:t>n/a</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31"/>
        <w:spacing w:after="0" w:line="230" w:lineRule="auto"/>
        <w:tabs>
          <w:tab w:leader="none" w:pos="1680" w:val="left"/>
        </w:tabs>
        <w:numPr>
          <w:ilvl w:val="0"/>
          <w:numId w:val="49"/>
        </w:numPr>
        <w:rPr>
          <w:rFonts w:ascii="Arial" w:cs="Arial" w:eastAsia="Arial" w:hAnsi="Arial"/>
          <w:sz w:val="11"/>
          <w:szCs w:val="11"/>
          <w:color w:val="auto"/>
        </w:rPr>
      </w:pPr>
      <w:r>
        <w:rPr>
          <w:rFonts w:ascii="Arial" w:cs="Arial" w:eastAsia="Arial" w:hAnsi="Arial"/>
          <w:sz w:val="14"/>
          <w:szCs w:val="14"/>
          <w:color w:val="auto"/>
        </w:rPr>
        <w:t>Restated so as to reflect the historical results of GAS-sixteen Ltd., GAS-seventeen Ltd., GAS-nineteen Ltd., GAS-twenty Ltd., GAS- twenty one Ltd., GAS-seven Ltd. and GAS-eleven Ltd. from their respective dates of incorporation by GasLog. See Note 1 to the audited consolidated financial statements for the year ended December 31, 2016 on our Current Report on Form 6-K filed on September 29, 2017, and Note 1 to the unaudited condensed consolidated financial statements for the three and six months ended June 30, 2016 and 2017 on Form 6-K incorporated herein by reference.</w:t>
      </w:r>
    </w:p>
    <w:p>
      <w:pPr>
        <w:spacing w:after="0" w:line="72" w:lineRule="exact"/>
        <w:rPr>
          <w:rFonts w:ascii="Arial" w:cs="Arial" w:eastAsia="Arial" w:hAnsi="Arial"/>
          <w:sz w:val="11"/>
          <w:szCs w:val="11"/>
          <w:color w:val="auto"/>
        </w:rPr>
      </w:pPr>
    </w:p>
    <w:p>
      <w:pPr>
        <w:ind w:left="1680" w:hanging="531"/>
        <w:spacing w:after="0"/>
        <w:tabs>
          <w:tab w:leader="none" w:pos="168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For purposes of calculating the ratios above:</w:t>
      </w:r>
    </w:p>
    <w:p>
      <w:pPr>
        <w:spacing w:after="0" w:line="200" w:lineRule="exact"/>
        <w:rPr>
          <w:rFonts w:ascii="Arial" w:cs="Arial" w:eastAsia="Arial" w:hAnsi="Arial"/>
          <w:sz w:val="22"/>
          <w:szCs w:val="22"/>
          <w:color w:val="auto"/>
          <w:vertAlign w:val="superscript"/>
        </w:rPr>
      </w:pPr>
    </w:p>
    <w:p>
      <w:pPr>
        <w:spacing w:after="0" w:line="248" w:lineRule="exact"/>
        <w:rPr>
          <w:rFonts w:ascii="Arial" w:cs="Arial" w:eastAsia="Arial" w:hAnsi="Arial"/>
          <w:sz w:val="22"/>
          <w:szCs w:val="22"/>
          <w:color w:val="auto"/>
          <w:vertAlign w:val="superscript"/>
        </w:rPr>
      </w:pPr>
    </w:p>
    <w:p>
      <w:pPr>
        <w:ind w:left="2220" w:right="360" w:hanging="531"/>
        <w:spacing w:after="0" w:line="209" w:lineRule="auto"/>
        <w:tabs>
          <w:tab w:leader="none" w:pos="2220" w:val="left"/>
        </w:tabs>
        <w:numPr>
          <w:ilvl w:val="1"/>
          <w:numId w:val="49"/>
        </w:numPr>
        <w:rPr>
          <w:rFonts w:ascii="Arial" w:cs="Arial" w:eastAsia="Arial" w:hAnsi="Arial"/>
          <w:sz w:val="18"/>
          <w:szCs w:val="18"/>
          <w:color w:val="auto"/>
        </w:rPr>
      </w:pPr>
      <w:r>
        <w:rPr>
          <w:rFonts w:ascii="Arial" w:cs="Arial" w:eastAsia="Arial" w:hAnsi="Arial"/>
          <w:sz w:val="14"/>
          <w:szCs w:val="14"/>
          <w:color w:val="auto"/>
        </w:rPr>
        <w:t>"earnings" is the result of adding (a) pre-tax (loss)/income from continuing operations (which includes non-cash unrealized gains and losses on derivative financial instruments) and (b) fixed charges;</w:t>
      </w:r>
    </w:p>
    <w:p>
      <w:pPr>
        <w:spacing w:after="0" w:line="208" w:lineRule="exact"/>
        <w:rPr>
          <w:rFonts w:ascii="Arial" w:cs="Arial" w:eastAsia="Arial" w:hAnsi="Arial"/>
          <w:sz w:val="18"/>
          <w:szCs w:val="18"/>
          <w:color w:val="auto"/>
        </w:rPr>
      </w:pPr>
    </w:p>
    <w:p>
      <w:pPr>
        <w:ind w:left="2220" w:hanging="531"/>
        <w:spacing w:after="0"/>
        <w:tabs>
          <w:tab w:leader="none" w:pos="2220" w:val="left"/>
        </w:tabs>
        <w:numPr>
          <w:ilvl w:val="1"/>
          <w:numId w:val="49"/>
        </w:numPr>
        <w:rPr>
          <w:rFonts w:ascii="Arial" w:cs="Arial" w:eastAsia="Arial" w:hAnsi="Arial"/>
          <w:sz w:val="16"/>
          <w:szCs w:val="16"/>
          <w:color w:val="auto"/>
        </w:rPr>
      </w:pPr>
      <w:r>
        <w:rPr>
          <w:rFonts w:ascii="Arial" w:cs="Arial" w:eastAsia="Arial" w:hAnsi="Arial"/>
          <w:sz w:val="13"/>
          <w:szCs w:val="13"/>
          <w:color w:val="auto"/>
        </w:rPr>
        <w:t>"fixed charges" represent (i) interest incurred (including realized loss on cash flow hedges) and (ii) amortization of capitalized expenses related to indebtedness;</w:t>
      </w:r>
    </w:p>
    <w:p>
      <w:pPr>
        <w:spacing w:after="0" w:line="205" w:lineRule="exact"/>
        <w:rPr>
          <w:rFonts w:ascii="Arial" w:cs="Arial" w:eastAsia="Arial" w:hAnsi="Arial"/>
          <w:sz w:val="16"/>
          <w:szCs w:val="16"/>
          <w:color w:val="auto"/>
        </w:rPr>
      </w:pPr>
    </w:p>
    <w:p>
      <w:pPr>
        <w:ind w:left="2220" w:hanging="531"/>
        <w:spacing w:after="0" w:line="256" w:lineRule="auto"/>
        <w:tabs>
          <w:tab w:leader="none" w:pos="2220" w:val="left"/>
        </w:tabs>
        <w:numPr>
          <w:ilvl w:val="1"/>
          <w:numId w:val="49"/>
        </w:numPr>
        <w:rPr>
          <w:rFonts w:ascii="Arial" w:cs="Arial" w:eastAsia="Arial" w:hAnsi="Arial"/>
          <w:sz w:val="15"/>
          <w:szCs w:val="15"/>
          <w:color w:val="auto"/>
        </w:rPr>
      </w:pPr>
      <w:r>
        <w:rPr>
          <w:rFonts w:ascii="Arial" w:cs="Arial" w:eastAsia="Arial" w:hAnsi="Arial"/>
          <w:sz w:val="12"/>
          <w:szCs w:val="12"/>
          <w:color w:val="auto"/>
        </w:rPr>
        <w:t>"preference unit distributions" represent the amount of pre-tax earnings that is required to pay the cash distributions on outstanding preference units and is computed as the amount of (a) the distribution divided by (b) the result of 1 minus the effective income tax rate applicable to continuing operations. We did not have any preference units outstanding during the years from 2012 to 2016, and the ratio of earnings to combined fixed charges and preference units is equivalent to the ratio of earnings to fixed charges for these years. As of June 30, 2017, we had 5,750,000 outstanding Series A Preference Units. The Series A Preference Units were issued on May 15, 2017.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Unless otherwise set forth in the applicable prospectus, we intend to use the net proceeds received from the sale of the securities we offer by this prospectus for general corporate purposes.</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CAPITALIZATION AND INDEBTEDNESS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capitalization and indebtedness will be set forth in a prospectus supplement to this prospectus or in a report on Form 6-K subsequently furnished to the SEC and specifically incorporated herein by reference.</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COMMON UNITS</w:t>
      </w:r>
    </w:p>
    <w:p>
      <w:pPr>
        <w:spacing w:after="0" w:line="23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 description of our Common Units can be found in our registration statement on Form 8-A (File No. 001-36433), filed with the SEC on April 30, 2014, including any amendment or report filed for the purpose of updating such description.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SERIES A PREFERENCE UNITS</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description of our Series A Preference Units can be found in our registration statement on Form 8-A (File No. 001-36433), filed with the SEC on May 15, 2017, including any amendment or report filed for the purpose of updating such description.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THE OTHER CLASSES OF UNITS</w:t>
      </w:r>
    </w:p>
    <w:p>
      <w:pPr>
        <w:spacing w:after="0" w:line="231"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Our partnership agreement permits us to issue additional classes or series of equity interests at any time and from time to time for consideration on such terms and conditions established by our board of directors without the approval of any of our unitholders, other than the limited approval rights of the holders of the Series A Preference Units. Unless we receive the affirmative vote or consent of the holders of at least two-thirds of the outstanding Series A Preference Units, voting as a class together with holders of any other Parity Securities (as defined in the partnership agreement) (if applicable), we may not (i) issue any Parity Securities if the cumulative distributions on Series A Preference Units are in arrears or (ii) create or issue any Senior Securities (as defined in the partnership agreement). As of September 29, 2017, no classes of limited partnership interests were outstanding other than the Common Units and Series A Preference Units. Should we offer other classes of units under this prospectus, a prospectus supplement relating to the particular class or series of units offered will include the designations, preferences, rights, powers and duties of those units which shall be fixed by the board of directors, including, among other things, the following:</w:t>
      </w:r>
    </w:p>
    <w:p>
      <w:pPr>
        <w:spacing w:after="0" w:line="176"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right to share in partnership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rights upon our dissolution and liquidation;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whether, and the terms and conditions upon which, we may or shall be required to redeem the Other Units (including sinking fund provisions);</w:t>
      </w:r>
    </w:p>
    <w:p>
      <w:pPr>
        <w:spacing w:after="0" w:line="261"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Other Units are issued with the privilege of conversion or exchange and, if so, the terms and conditions of such conversion or exchange;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and conditions upon which Other Units will be issued, evidenced by certificates and assigned or transferred;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method for determining the Percentage Interest (as defined in our partnership agreement) as to such Other Units; and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right, if any, of each Other Unit to vote on partnership matters, including matters relating to the relative rights, preferences and privileges of such Other Units.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particular terms of any class or series of any such class of units will also be described in the amendment to our partnership agreement relating to that class or series of such class of units, which will be filed as an exhibit to or incorporated by reference in this prospectus at or before the time of issuance of any such class or series of any such class of units.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Such units will be fully paid and non-assessable (except as such non-assessability may be affected by Sections 30, 41, 51 and 60 of the Marshall Islands Limited Partnership Act) when issued upon full payment of the purchase price therefor. The transfer agent, registrar and distributions disbursement agent for the units will be designated in the applicable prospectus supplement.</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may offer debt securities. The following description of debt securities sets forth the material terms and provisions of the debt securities to which any prospectus supplement may relate. Our debt securities would be issued under an indenture between us and a trustee. The debt securities we may offer may be convertible into Common Units or other securities. The indenture, a form of which is 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170"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Units or other securities if specified in the applicable prospectus supplement.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170"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Specified in the Applicable Prospectus Supplement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contain, where applicable, the following terms of, and other information relating to, any offered debt securities:</w:t>
      </w:r>
    </w:p>
    <w:p>
      <w:pPr>
        <w:spacing w:after="0" w:line="262"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specific designation;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their purchase price and denomination;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currency in which the debt securities are denominated and/or in which principal, premium, if any, and/or interest, if any, is payable;</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of maturity;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interest rate or rates or the method by which the calculation agent will determine the interest rate or rates,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interest payment dates,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place or places for payment of the principal of and any premium and/or interest on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repayment, redemption, prepayment or sinking fund provisions, including any redemption notice provisions;</w:t>
      </w:r>
    </w:p>
    <w:p>
      <w:pPr>
        <w:spacing w:after="0" w:line="238"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we will issue the debt securities in definitive form and under what terms and conditions;</w:t>
      </w:r>
    </w:p>
    <w:p>
      <w:pPr>
        <w:spacing w:after="0" w:line="25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on which holders of the debt securities may convert or exchange these securities into or for Common Units or other securities, any specific terms relating to the adjustment of the conversion or exchange feature and the period during which the holders may make the conversion or exchange;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agents for the debt securities, including trustees, depositaries, authenticating or paying agents, transfer agents or registrars;</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material United States federal income tax or other income tax consequences, including, but not limited to:</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 considerations applicable to any discounted debt securities or to debt securities issued at par that are treated as having been issued at a discount for United States federal income tax purposes;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 considerations applicable to any debt securities denominated and payable in non-United States currencies;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whether certain payments on the debt securities will be guaranteed under a financial insurance guarantee policy and the terms of that guarantee;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the debt securities will be secured;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applicable selling restrictions;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Transfer of Debt Securities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Holders may present debt securities for exchange, and holders of registered debt securities may present these securities for transfer, in the manner, at the places and subject to the restrictions 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 transferee. If any of the securities are held in global form, the procedures for transfer of interests in those securities will depend upon the procedures of the depositary for those global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197"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pacing w:after="0" w:line="208"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is made for more than 30 days in the payment of interest, premium or principal in respect of the securities;</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fail to perform or observe any of our other obligations under the securities and this failure has continued for the period of 60 days next following the service on us of notice requiring the same to be remedied;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bankruptcy, insolvency or reorganization under any applicable bankruptcy, insolvency or insolvency related reorganization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 up or liquidation of us; or</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the board of directors, if any, under which that series of debt securities is issued.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of Debt Securities Upon an Event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provides that, unless otherwise set forth in a supplemental indenture:</w:t>
      </w:r>
    </w:p>
    <w:p>
      <w:pPr>
        <w:spacing w:after="0" w:line="239" w:lineRule="exact"/>
        <w:rPr>
          <w:sz w:val="20"/>
          <w:szCs w:val="20"/>
          <w:color w:val="auto"/>
        </w:rPr>
      </w:pPr>
    </w:p>
    <w:p>
      <w:pPr>
        <w:ind w:left="1080" w:right="20" w:hanging="532"/>
        <w:spacing w:after="0" w:line="291"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212"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Annulment of Acceleration and Waiver of Defaults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some circumstances, if any and all events of default under the indenture, other than the non-payment of the principal of the securities that has become due as a result of an acceleration, have 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Trustee for Actions Taken on Your Behalf</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Actions by You as an Individual Holder</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indenture provides that no individual holder of debt securities may institute any action against us under the indenture, except actions for payment of overdue principal and interest, unless the following actions have occurred:</w:t>
      </w:r>
    </w:p>
    <w:p>
      <w:pPr>
        <w:spacing w:after="0" w:line="19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holder must have previously given written notice to the trustee of the continuing default;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each affected series, treated as one class, must have: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requested the trustee to institute that action;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offered the trustee indemnity satisfactory to 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must have failed to institute that action within 60 days after receipt of the request referred to above; and</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outstanding debt securities of each affected series, voting as one class, must not have given directions to the trustee inconsistent with those of the holders referred to above.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contains a covenant that we will file annually with the trustee a certificate of no default or a certificate specifying any default that exists.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the ability to eliminate most or all of our obligations on any series of debt securities prior to maturity if we comply with the following provisions:</w:t>
      </w:r>
    </w:p>
    <w:p>
      <w:pPr>
        <w:spacing w:after="0" w:line="248" w:lineRule="exact"/>
        <w:rPr>
          <w:sz w:val="20"/>
          <w:szCs w:val="20"/>
          <w:color w:val="auto"/>
        </w:rPr>
      </w:pPr>
    </w:p>
    <w:p>
      <w:pPr>
        <w:ind w:left="360"/>
        <w:spacing w:after="0"/>
        <w:tabs>
          <w:tab w:leader="none" w:pos="2260" w:val="left"/>
        </w:tabs>
        <w:rPr>
          <w:sz w:val="20"/>
          <w:szCs w:val="20"/>
          <w:color w:val="auto"/>
        </w:rPr>
      </w:pPr>
      <w:r>
        <w:rPr>
          <w:rFonts w:ascii="Arial" w:cs="Arial" w:eastAsia="Arial" w:hAnsi="Arial"/>
          <w:sz w:val="18"/>
          <w:szCs w:val="18"/>
          <w:b w:val="1"/>
          <w:bCs w:val="1"/>
          <w:i w:val="1"/>
          <w:iCs w:val="1"/>
          <w:color w:val="auto"/>
        </w:rPr>
        <w:t>Discharge of Indenture.</w:t>
      </w:r>
      <w:r>
        <w:rPr>
          <w:sz w:val="20"/>
          <w:szCs w:val="20"/>
          <w:color w:val="auto"/>
        </w:rPr>
        <w:tab/>
      </w:r>
      <w:r>
        <w:rPr>
          <w:rFonts w:ascii="Arial" w:cs="Arial" w:eastAsia="Arial" w:hAnsi="Arial"/>
          <w:sz w:val="15"/>
          <w:szCs w:val="15"/>
          <w:color w:val="auto"/>
        </w:rPr>
        <w:t>We may discharge all of our obligations, other than as to transfers and exchanges, under the indenture after we have:</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paid or caused to be paid the principal of and interest on all of the outstanding debt securities in accordance with their terms;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delivered to the trustee for cancellation all of the outstanding debt securities; or</w:t>
      </w:r>
    </w:p>
    <w:p>
      <w:pPr>
        <w:spacing w:after="0" w:line="238"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 due and payable, or are by their terms due and payable, or are scheduled for redemption, within one year, in an amount certified to be sufficient to pay on each date that they become due and payable, the principal of and interest on, and any mandatory sinking fund payments 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Defeasance of a Series of Securities at Any Time. </w:t>
      </w:r>
      <w:r>
        <w:rPr>
          <w:rFonts w:ascii="Arial" w:cs="Arial" w:eastAsia="Arial" w:hAnsi="Arial"/>
          <w:sz w:val="18"/>
          <w:szCs w:val="18"/>
          <w:color w:val="auto"/>
        </w:rPr>
        <w:t>We may also discharge all of our obligations, other than as to transfers and exchanges, under any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Defeasance or covenant defeasance may be effected only if, among other things:</w:t>
      </w:r>
    </w:p>
    <w:p>
      <w:pPr>
        <w:spacing w:after="0" w:line="239" w:lineRule="exact"/>
        <w:rPr>
          <w:sz w:val="20"/>
          <w:szCs w:val="20"/>
          <w:color w:val="auto"/>
        </w:rPr>
      </w:pPr>
    </w:p>
    <w:p>
      <w:pPr>
        <w:ind w:left="1080" w:right="300" w:hanging="532"/>
        <w:spacing w:after="0" w:line="306"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irrevocably deposit with the trustee cash or, in the case of debt securities payable only in U.S.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deliver to the trustee an opinion of counsel to the effect that:</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holders of the series of debt securities being defeased will not recognize income, gain or loss for United States federal income tax purposes as a result of the defeasance or covenant defeasance;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defeasance or covenant defeasance will not otherwise alter those holders' United States federal income tax treatment of principal and interest payments on the series of debt securities being defeased; and</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Modification without Consent of Holders. </w:t>
      </w:r>
      <w:r>
        <w:rPr>
          <w:rFonts w:ascii="Arial" w:cs="Arial" w:eastAsia="Arial" w:hAnsi="Arial"/>
          <w:sz w:val="18"/>
          <w:szCs w:val="18"/>
          <w:color w:val="auto"/>
        </w:rPr>
        <w:t>We and the trustee may enter into supplemental indentures without the consent of the holders of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under the indenture to:</w:t>
      </w:r>
    </w:p>
    <w:p>
      <w:pPr>
        <w:spacing w:after="0" w:line="19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secure any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cure any ambiguity or correct any inconsistency;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evidence the acceptance of appointment by a successor trustee; or</w:t>
      </w:r>
    </w:p>
    <w:p>
      <w:pPr>
        <w:spacing w:after="0" w:line="252" w:lineRule="exact"/>
        <w:rPr>
          <w:rFonts w:ascii="Arial" w:cs="Arial" w:eastAsia="Arial" w:hAnsi="Arial"/>
          <w:sz w:val="18"/>
          <w:szCs w:val="18"/>
          <w:color w:val="auto"/>
        </w:rPr>
      </w:pPr>
    </w:p>
    <w:p>
      <w:pPr>
        <w:ind w:left="1080" w:right="120" w:hanging="532"/>
        <w:spacing w:after="0" w:line="370" w:lineRule="auto"/>
        <w:tabs>
          <w:tab w:leader="none" w:pos="10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w:t>
      </w:r>
    </w:p>
    <w:p>
      <w:pPr>
        <w:spacing w:after="0" w:line="11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Modification with Consent of Holders. </w:t>
      </w:r>
      <w:r>
        <w:rPr>
          <w:rFonts w:ascii="Arial" w:cs="Arial" w:eastAsia="Arial" w:hAnsi="Arial"/>
          <w:sz w:val="16"/>
          <w:szCs w:val="16"/>
          <w:color w:val="auto"/>
        </w:rPr>
        <w:t>We and the trustee, with the consent of the holders of not less than a majority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affected series of outstanding debt securities, voting as one class, may add any provisions to, or change in any manner or eliminate any of the provisions of, the indenture or modify in any manner the rights of the holders of those debt securities. However, we and the trustee may not make any of the following changes to any outstanding debt security without the consent of each holder that would be affected by the change:</w:t>
      </w:r>
    </w:p>
    <w:p>
      <w:pPr>
        <w:spacing w:after="0" w:line="180"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extend the final maturity of the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principal amount;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change the currency in which the principal, including any amount of original issue discount, premium, or interest on the security is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modify or amend the provisions for conversion of any currency into another currency;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amount of any original issue discount security payable upon acceleration or provable in bankruptcy;</w:t>
      </w:r>
    </w:p>
    <w:p>
      <w:pPr>
        <w:spacing w:after="0" w:line="238"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alter the terms on which holders of the debt securities may convert or exchange debt securities for Common Units or other securities, other than in accordance with the antidilution provisions or other similar adjustment provisions included in the terms of the debt securities;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impair the right of any holder to institute suit for the enforcement of any payment on any debt security when due;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percentage of debt securities the consent of whose holders is required for modification of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Debt Security</w:t>
      </w:r>
    </w:p>
    <w:p>
      <w:pPr>
        <w:spacing w:after="0" w:line="23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153"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registered form, where our obligation runs to the holder of the security named on the face of the security;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bearer form, where our obligation runs to the bearer of the security.</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Registered Global Securities. </w:t>
      </w:r>
      <w:r>
        <w:rPr>
          <w:rFonts w:ascii="Arial" w:cs="Arial" w:eastAsia="Arial" w:hAnsi="Arial"/>
          <w:sz w:val="18"/>
          <w:szCs w:val="18"/>
          <w:color w:val="auto"/>
        </w:rPr>
        <w:t>We may issue the debt securities in the form of one or more fully registered global securities that will be deposited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or its nominee identified in the applicable prospectus supplement and registered in the name of that depositary or nominee. In those cases, one or more registered global securities will be issued in a denomination or aggregate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177"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 global securities. If we make that decision, we will issue securities in definitive form in 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2" w:lineRule="exact"/>
        <w:rPr>
          <w:sz w:val="20"/>
          <w:szCs w:val="20"/>
          <w:color w:val="auto"/>
        </w:rPr>
      </w:pPr>
    </w:p>
    <w:p>
      <w:pPr>
        <w:jc w:val="both"/>
        <w:ind w:right="3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Bearer Global Securities. </w:t>
      </w:r>
      <w:r>
        <w:rPr>
          <w:rFonts w:ascii="Arial" w:cs="Arial" w:eastAsia="Arial" w:hAnsi="Arial"/>
          <w:sz w:val="16"/>
          <w:szCs w:val="16"/>
          <w:color w:val="auto"/>
        </w:rPr>
        <w:t>The securities may also be issued in the form of one or more bearer global securities that will be deposited with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depositary for the Euroclear System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Law to Govern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debt securities will be governed by the laws of the State of New York.</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this prospectus is being delivered:</w:t>
      </w:r>
    </w:p>
    <w:p>
      <w:pPr>
        <w:spacing w:after="0" w:line="262"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25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52"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of Warrants outstanding;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248"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 information on how you can obtain copies of any warrant certificate or warrant agreement if we offer Warrants, see "Where You Can Find Additional Information" beginning on page 7 of this prospectus. We urge you to read the applicable warrant certificate, the applicable warrant agreement and any applicable prospectus supplement in their entirety.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relating to any rights will describe the terms of the offered rights, including, where applicable, the following:</w:t>
      </w:r>
    </w:p>
    <w:p>
      <w:pPr>
        <w:spacing w:after="0" w:line="275"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exercise price for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Rights issued to each shareholder;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of Rights outstanding;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extent to which the Rights include an over-subscription privilege with respect to unsubscribed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material terms of any standby underwriting arrangement entered into by us in connection with the Rights offering.</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7 of this prospectus. We urge you to read the applicable rights certificate, the applicable rights agreement and any applicable prospectus supplement in their entirety.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COMBINATION UNITS</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may issue Combination Units consisting of any combination of Common Units, Series A Preference Units, Other Units, debt securities, Warrants and Rights. Each Combination Unit will be issued so that the holder of the Combination Unit is also the holder of each security included in the Combination Unit. Thus, the holder of a Combination Unit will have the rights and obligations of a holder of each included security. The unit agreement under which a Combination Unit is issued may provide that the securities included in the unit may not be held or transferred separately, at any time, or at any time before a specified 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applicable prospectus supplement relating to any series of units will describe the terms of the Combination Units, including, where applicable, the following:</w:t>
      </w:r>
    </w:p>
    <w:p>
      <w:pPr>
        <w:spacing w:after="0" w:line="199" w:lineRule="exact"/>
        <w:rPr>
          <w:sz w:val="20"/>
          <w:szCs w:val="20"/>
          <w:color w:val="auto"/>
        </w:rPr>
      </w:pPr>
    </w:p>
    <w:p>
      <w:pPr>
        <w:ind w:left="1080" w:right="26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designation and terms of the Combination Units and of the securities comprising the Combination Units, including whether and under what circumstances those securities may be held or transferred separately;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provisions of the governing unit agreement; and</w:t>
      </w:r>
    </w:p>
    <w:p>
      <w:pPr>
        <w:spacing w:after="0" w:line="238"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Combination Units or of the securities comprising the Combination Units.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description in the applicable prospectus supplement of any Combination Units we offer will not necessarily be complete and will be qualified in its entirety by reference to the applicable unit certificate or unit agreement, which will be filed with the SEC if we offer Combination Units. For more information on how you can obtain copies of any unit certificate or unit agreement if we offer Combination Units, see "Where You Can Find Additional Information" beginning on page 7 of this prospectus. We urge you to read the applicable unit certificate, the applicable unit agreement and any applicable prospectus supplement in their entirety.</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OUR PARTNERSHIP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is a summary of the material provisions of our partnership agreement, which is qualified in its entirety by the terms and conditions of the partnership agreement, which is incorporated herein by reference. This summary should be read together with any subsequent amendments of the partnership agreement or reports filed for the purpose of updating the description of the important provisions of our partnership agreement and the rights and privileges of our unitholders. Please read "Where You Can Find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organized on January 23, 2014 and have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Marshall Islands Act.</w:t>
      </w:r>
    </w:p>
    <w:p>
      <w:pPr>
        <w:spacing w:after="0" w:line="186"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231"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Our partnership agreement specifies the manner in which we will make cash distributions to holders of our Common Units and other partnership interests, including to the holders of Series A Preference Units, our incentive distribution rights, as well as to our general partner in respect of its general partner interest. Please see "Our Cash Distribution Policy and Restrictions on Distributions" on page 36 of this prospectus for further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No holder of Common Units or Series A Preference Units is obligated to make additional capital contributions, except as described below under "—Limited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following is a summary of the unitholder vote required for approval of the matters specified below. Matters that require the approval of a "Unit Majority" require the approval of a majority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Common Units voting as a single class. In voting their Common Units, our general partner and its affiliates will have no fiduciary duty or obligation whatsoever to us or the limited partners, including any duty to act in good faith or in the best interests of us or the limited partners.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174"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U.S. Internal Revenue Code of 1986, as amended, or the "Code".</w:t>
      </w:r>
    </w:p>
    <w:p>
      <w:pPr>
        <w:sectPr>
          <w:pgSz w:w="11900" w:h="16838" w:orient="portrait"/>
          <w:cols w:equalWidth="0" w:num="1">
            <w:col w:w="11380"/>
          </w:cols>
          <w:pgMar w:left="240" w:top="131" w:right="279" w:bottom="1440" w:gutter="0" w:footer="0" w:header="0"/>
        </w:sectPr>
      </w:pP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Action</w:t>
      </w:r>
    </w:p>
    <w:p>
      <w:pPr>
        <w:spacing w:after="0" w:line="13" w:lineRule="exact"/>
        <w:rPr>
          <w:sz w:val="20"/>
          <w:szCs w:val="20"/>
          <w:color w:val="auto"/>
        </w:rPr>
      </w:pPr>
    </w:p>
    <w:p>
      <w:pPr>
        <w:ind w:left="1320" w:hanging="179"/>
        <w:spacing w:after="0" w:line="259" w:lineRule="auto"/>
        <w:rPr>
          <w:sz w:val="20"/>
          <w:szCs w:val="20"/>
          <w:color w:val="auto"/>
        </w:rPr>
      </w:pPr>
      <w:r>
        <w:rPr>
          <w:rFonts w:ascii="Arial" w:cs="Arial" w:eastAsia="Arial" w:hAnsi="Arial"/>
          <w:sz w:val="18"/>
          <w:szCs w:val="18"/>
          <w:color w:val="auto"/>
        </w:rPr>
        <w:t>Issuance of additional Common Units or other limited partner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Amendment of the partnership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20" w:hanging="179"/>
        <w:spacing w:after="0" w:line="268" w:lineRule="auto"/>
        <w:rPr>
          <w:sz w:val="20"/>
          <w:szCs w:val="20"/>
          <w:color w:val="auto"/>
        </w:rPr>
      </w:pPr>
      <w:r>
        <w:rPr>
          <w:rFonts w:ascii="Arial" w:cs="Arial" w:eastAsia="Arial" w:hAnsi="Arial"/>
          <w:sz w:val="18"/>
          <w:szCs w:val="18"/>
          <w:color w:val="auto"/>
        </w:rPr>
        <w:t>Merger of our partnership or the sale of all or substantially all of our assets</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Dissolution of our partnership</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Reconstitution of our partnership upon dissolution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0</wp:posOffset>
            </wp:positionV>
            <wp:extent cx="27787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Subject to the following paragraph with respect to the</w:t>
      </w:r>
    </w:p>
    <w:p>
      <w:pPr>
        <w:spacing w:after="0" w:line="8" w:lineRule="exact"/>
        <w:rPr>
          <w:sz w:val="20"/>
          <w:szCs w:val="20"/>
          <w:color w:val="auto"/>
        </w:rPr>
      </w:pPr>
    </w:p>
    <w:p>
      <w:pPr>
        <w:ind w:left="280" w:right="1140"/>
        <w:spacing w:after="0" w:line="281" w:lineRule="auto"/>
        <w:rPr>
          <w:sz w:val="20"/>
          <w:szCs w:val="20"/>
          <w:color w:val="auto"/>
        </w:rPr>
      </w:pPr>
      <w:r>
        <w:rPr>
          <w:rFonts w:ascii="Arial" w:cs="Arial" w:eastAsia="Arial" w:hAnsi="Arial"/>
          <w:sz w:val="16"/>
          <w:szCs w:val="16"/>
          <w:color w:val="auto"/>
        </w:rPr>
        <w:t>Series A Preference Units, no approval rights; general partner approval required for all issuances not reasonably expected to be accretive within twelve months of issuance or which would otherwise have a material adverse impact on the general partner or its interest in our partnership.</w:t>
      </w:r>
    </w:p>
    <w:p>
      <w:pPr>
        <w:spacing w:after="0" w:line="3" w:lineRule="exact"/>
        <w:rPr>
          <w:sz w:val="20"/>
          <w:szCs w:val="20"/>
          <w:color w:val="auto"/>
        </w:rPr>
      </w:pPr>
    </w:p>
    <w:p>
      <w:pPr>
        <w:ind w:left="280" w:right="1260"/>
        <w:spacing w:after="0" w:line="300" w:lineRule="auto"/>
        <w:rPr>
          <w:sz w:val="20"/>
          <w:szCs w:val="20"/>
          <w:color w:val="auto"/>
        </w:rPr>
      </w:pPr>
      <w:r>
        <w:rPr>
          <w:rFonts w:ascii="Arial" w:cs="Arial" w:eastAsia="Arial" w:hAnsi="Arial"/>
          <w:sz w:val="15"/>
          <w:szCs w:val="15"/>
          <w:color w:val="auto"/>
        </w:rPr>
        <w:t>Certain amendments may be made by our board of directors without the approval of the unitholders. Other amendments generally require the approval of a Unit Majority. See "— Amendment of the Partnership Agreement".</w:t>
      </w:r>
    </w:p>
    <w:p>
      <w:pPr>
        <w:spacing w:after="0" w:line="2" w:lineRule="exact"/>
        <w:rPr>
          <w:sz w:val="20"/>
          <w:szCs w:val="20"/>
          <w:color w:val="auto"/>
        </w:rPr>
      </w:pPr>
    </w:p>
    <w:p>
      <w:pPr>
        <w:ind w:left="280" w:right="1160"/>
        <w:spacing w:after="0" w:line="250" w:lineRule="auto"/>
        <w:rPr>
          <w:sz w:val="20"/>
          <w:szCs w:val="20"/>
          <w:color w:val="auto"/>
        </w:rPr>
      </w:pPr>
      <w:r>
        <w:rPr>
          <w:rFonts w:ascii="Arial" w:cs="Arial" w:eastAsia="Arial" w:hAnsi="Arial"/>
          <w:sz w:val="18"/>
          <w:szCs w:val="18"/>
          <w:color w:val="auto"/>
        </w:rPr>
        <w:t>Unit Majority and approval of our general partner and our board of directors. See "—Merger, Sale, Conversion or Other Disposition of Assets".</w:t>
      </w:r>
    </w:p>
    <w:p>
      <w:pPr>
        <w:spacing w:after="0" w:line="1" w:lineRule="exact"/>
        <w:rPr>
          <w:sz w:val="20"/>
          <w:szCs w:val="20"/>
          <w:color w:val="auto"/>
        </w:rPr>
      </w:pPr>
    </w:p>
    <w:p>
      <w:pPr>
        <w:jc w:val="both"/>
        <w:ind w:left="280" w:right="1400"/>
        <w:spacing w:after="0" w:line="302" w:lineRule="auto"/>
        <w:rPr>
          <w:sz w:val="20"/>
          <w:szCs w:val="20"/>
          <w:color w:val="auto"/>
        </w:rPr>
      </w:pPr>
      <w:r>
        <w:rPr>
          <w:rFonts w:ascii="Arial" w:cs="Arial" w:eastAsia="Arial" w:hAnsi="Arial"/>
          <w:sz w:val="16"/>
          <w:szCs w:val="16"/>
          <w:color w:val="auto"/>
        </w:rPr>
        <w:t>Unit Majority and approval of our general partner and our board of directors. See "—Termination and Dissolution". Unit Majority. See "—Termination and Dissolution".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80" w:space="140"/>
            <w:col w:w="5760"/>
          </w:cols>
          <w:pgMar w:left="240" w:top="131" w:right="27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Action</w:t>
            </w:r>
          </w:p>
        </w:tc>
        <w:tc>
          <w:tcPr>
            <w:tcW w:w="500" w:type="dxa"/>
            <w:vAlign w:val="bottom"/>
          </w:tcPr>
          <w:p>
            <w:pPr>
              <w:spacing w:after="0"/>
              <w:rPr>
                <w:sz w:val="14"/>
                <w:szCs w:val="14"/>
                <w:color w:val="auto"/>
              </w:rPr>
            </w:pPr>
          </w:p>
        </w:tc>
        <w:tc>
          <w:tcPr>
            <w:tcW w:w="4380" w:type="dxa"/>
            <w:vAlign w:val="bottom"/>
          </w:tcPr>
          <w:p>
            <w:pPr>
              <w:ind w:left="760"/>
              <w:spacing w:after="0"/>
              <w:rPr>
                <w:sz w:val="20"/>
                <w:szCs w:val="20"/>
                <w:color w:val="auto"/>
              </w:rPr>
            </w:pPr>
            <w:r>
              <w:rPr>
                <w:rFonts w:ascii="Arial" w:cs="Arial" w:eastAsia="Arial" w:hAnsi="Arial"/>
                <w:sz w:val="14"/>
                <w:szCs w:val="14"/>
                <w:b w:val="1"/>
                <w:bCs w:val="1"/>
                <w:color w:val="auto"/>
              </w:rPr>
              <w:t>Unitholder Approval Required and Voting Rights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Withdrawal of our general partner</w:t>
            </w:r>
          </w:p>
        </w:tc>
        <w:tc>
          <w:tcPr>
            <w:tcW w:w="500" w:type="dxa"/>
            <w:vAlign w:val="bottom"/>
            <w:vMerge w:val="continue"/>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color w:val="auto"/>
                <w:w w:val="91"/>
              </w:rPr>
              <w:t>Under most circumstances, the approval of a majority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Common Units, excluding Common Units held by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general partner and its affiliates, is required 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2"/>
              </w:rPr>
              <w:t>withdrawal of our general partner prior to March 31, 2024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2"/>
              </w:rPr>
              <w:t>a manner that would cause a dissolution of our partnership.</w:t>
            </w:r>
          </w:p>
        </w:tc>
        <w:tc>
          <w:tcPr>
            <w:tcW w:w="0" w:type="dxa"/>
            <w:vAlign w:val="bottom"/>
          </w:tcPr>
          <w:p>
            <w:pPr>
              <w:spacing w:after="0"/>
              <w:rPr>
                <w:sz w:val="1"/>
                <w:szCs w:val="1"/>
                <w:color w:val="auto"/>
              </w:rPr>
            </w:pPr>
          </w:p>
        </w:tc>
      </w:tr>
      <w:tr>
        <w:trPr>
          <w:trHeight w:val="217"/>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Removal of our general partner</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8"/>
              </w:rPr>
              <w:t>See "—Withdrawal or Removal of our General Partner".</w:t>
            </w:r>
          </w:p>
        </w:tc>
        <w:tc>
          <w:tcPr>
            <w:tcW w:w="0" w:type="dxa"/>
            <w:vAlign w:val="bottom"/>
          </w:tcPr>
          <w:p>
            <w:pPr>
              <w:spacing w:after="0"/>
              <w:rPr>
                <w:sz w:val="1"/>
                <w:szCs w:val="1"/>
                <w:color w:val="auto"/>
              </w:rPr>
            </w:pPr>
          </w:p>
        </w:tc>
      </w:tr>
      <w:tr>
        <w:trPr>
          <w:trHeight w:val="255"/>
        </w:trPr>
        <w:tc>
          <w:tcPr>
            <w:tcW w:w="4260" w:type="dxa"/>
            <w:vAlign w:val="bottom"/>
            <w:gridSpan w:val="3"/>
            <w:vMerge w:val="continue"/>
          </w:tcPr>
          <w:p>
            <w:pPr>
              <w:spacing w:after="0"/>
              <w:rPr>
                <w:sz w:val="22"/>
                <w:szCs w:val="22"/>
                <w:color w:val="auto"/>
              </w:rPr>
            </w:pPr>
          </w:p>
        </w:tc>
        <w:tc>
          <w:tcPr>
            <w:tcW w:w="4880" w:type="dxa"/>
            <w:vAlign w:val="bottom"/>
            <w:gridSpan w:val="2"/>
          </w:tcPr>
          <w:p>
            <w:pPr>
              <w:ind w:left="500"/>
              <w:spacing w:after="0" w:line="255" w:lineRule="exact"/>
              <w:rPr>
                <w:sz w:val="20"/>
                <w:szCs w:val="20"/>
                <w:color w:val="auto"/>
              </w:rPr>
            </w:pPr>
            <w:r>
              <w:rPr>
                <w:rFonts w:ascii="Arial" w:cs="Arial" w:eastAsia="Arial" w:hAnsi="Arial"/>
                <w:sz w:val="18"/>
                <w:szCs w:val="18"/>
                <w:color w:val="auto"/>
                <w:w w:val="98"/>
              </w:rPr>
              <w:t>Not less than 66</w:t>
            </w:r>
            <w:r>
              <w:rPr>
                <w:rFonts w:ascii="Arial" w:cs="Arial" w:eastAsia="Arial" w:hAnsi="Arial"/>
                <w:sz w:val="29"/>
                <w:szCs w:val="29"/>
                <w:color w:val="auto"/>
                <w:w w:val="98"/>
                <w:vertAlign w:val="superscript"/>
              </w:rPr>
              <w:t>2</w:t>
            </w:r>
            <w:r>
              <w:rPr>
                <w:rFonts w:ascii="Arial" w:cs="Arial" w:eastAsia="Arial" w:hAnsi="Arial"/>
                <w:sz w:val="18"/>
                <w:szCs w:val="18"/>
                <w:color w:val="auto"/>
                <w:w w:val="98"/>
              </w:rPr>
              <w:t>/</w:t>
            </w:r>
            <w:r>
              <w:rPr>
                <w:rFonts w:ascii="Arial" w:cs="Arial" w:eastAsia="Arial" w:hAnsi="Arial"/>
                <w:sz w:val="14"/>
                <w:szCs w:val="14"/>
                <w:color w:val="auto"/>
                <w:w w:val="98"/>
              </w:rPr>
              <w:t>3</w:t>
            </w:r>
            <w:r>
              <w:rPr>
                <w:rFonts w:ascii="Arial" w:cs="Arial" w:eastAsia="Arial" w:hAnsi="Arial"/>
                <w:sz w:val="18"/>
                <w:szCs w:val="18"/>
                <w:color w:val="auto"/>
                <w:w w:val="98"/>
              </w:rPr>
              <w:t>% of the outstanding Common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9"/>
              </w:rPr>
              <w:t>voting together as a single class. See "—Withdrawal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Removal of our General Partner".</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Transfer of our general partner interest in us</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1"/>
              </w:rPr>
              <w:t>Our general partner may transfer all, but not less than all,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its general partner interest in us without a vote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9"/>
              </w:rPr>
              <w:t>common unitholders or other limited partners to an affiliate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9"/>
              </w:rPr>
              <w:t>another person in connection with its merger or consolidation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3"/>
              </w:rPr>
              <w:t>with or into, or sale of all or substantially all of its assets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8"/>
              </w:rPr>
              <w:t>such person. The approval of a majority of the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2"/>
              </w:rPr>
              <w:t>Units, excluding Common Units held by our general partner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8"/>
              </w:rPr>
              <w:t>and its affiliates, is required in other circumstances for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0"/>
              </w:rPr>
              <w:t>transfer of the general partner interest to a third party prior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8"/>
              </w:rPr>
              <w:t>March 31, 2024. See "—Transfer of General Partner Interest".</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Transfer of incentive distribution rights</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8"/>
              </w:rPr>
              <w:t>Except for transfers to an affiliate or another person as part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a merger or consolidation with or into, or sale of all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9"/>
              </w:rPr>
              <w:t>substantially all of the assets to, such person, the approval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4"/>
              </w:rPr>
              <w:t>a majority of the Common Units, excluding Common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8"/>
              </w:rPr>
              <w:t>held by our general partner and its affiliates, voting separately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0"/>
              </w:rPr>
              <w:t>as a class, is required in most circumstances for a transfer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the incentive distribution rights to a third party prior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5"/>
              </w:rPr>
              <w:t>March 31, 2019. See "—Transfer of Incentive Distribution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Rights".</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w w:val="99"/>
              </w:rPr>
              <w:t>Transfer of ownership interests in our general partner</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No approval required at any time. See "—Transfer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Ownership Interests in General Partner".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Holders of the Series A Preference Units generally have no voting rights. However, the consent of the holders of at least two-thirds of the outstanding Series A Preference Units, voting as a single class, is required prior to any amendment to the partnership agreement that would have a material adverse effect on the existing terms of the Series A Preference Units. In addition, unless we receive the affirmative vote or consent of the holders of at least two-thirds of the outstanding Series A Preference Units, voting as a class together with holders of any other Parity Securities (as defined in the partnership agreement) (if applicable), we may not (i) issue any Parity Securities if the cumulative distributions on Series A Preference Units are in arrears or (ii) create or issue any Senior Securities (as defined in the partnership agreement). Distributions payable on the Series A Preference Units will be considered to be in arrears for any quarterly period for which full cumulative distributions through the most recent distribution payment date have not been paid on all outstanding Series A Preference Units. In addition, in certain limited instances, the holders of Series A Preference Units will be entitled to</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elect one director to our board of directors, at which point our general partner would similarly be entitled, at its election, to appoint one additional director to serve for only as long a period of time as the director elected by the holders of Series A Preference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Marshall Islands law. Our partnership agreement requires that any claims, suits, actions or proceedings:</w:t>
      </w:r>
    </w:p>
    <w:p>
      <w:pPr>
        <w:spacing w:after="0" w:line="262" w:lineRule="exact"/>
        <w:rPr>
          <w:sz w:val="20"/>
          <w:szCs w:val="20"/>
          <w:color w:val="auto"/>
        </w:rPr>
      </w:pPr>
    </w:p>
    <w:p>
      <w:pPr>
        <w:ind w:left="1080" w:right="140" w:hanging="532"/>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limited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Marshall Islands Act;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Common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Common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jc w:val="both"/>
        <w:ind w:right="10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Common Units plus his share of any undistributed profits and assets. If it were determined, however, that the right, or exercise of the right, by the limited partners as a group:</w:t>
      </w:r>
    </w:p>
    <w:p>
      <w:pPr>
        <w:spacing w:after="0" w:line="211"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elect three (or, following the general partner's exercise of its right to transfer the power to elect a majority of our directors to the common unitholders, four) of our seven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Interests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Series A Preference Units.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intend to fund acquisitions through borrowings and the issuance of additional Common Units or other equity securities and the issuance of debt securities. Holders of any additional Series A Preference Units we issue will be entitled to share equally with the then- existing holders of Series A Preference Units in our distributions, and holders of any additional Common Units we issue will be entitled to share equally with the then-existing holders of Common Units in our distributions. Additionally, we may issue other equity securities that may dilute the value of the interests of the then-existing holders of Common Units or Series A Preference Units in our net assets and such securities may have priority over Common Units or Series A Preference Units for receipt of distributions.</w:t>
      </w:r>
    </w:p>
    <w:p>
      <w:pPr>
        <w:spacing w:after="0" w:line="170" w:lineRule="exact"/>
        <w:rPr>
          <w:sz w:val="20"/>
          <w:szCs w:val="20"/>
          <w:color w:val="auto"/>
        </w:rPr>
      </w:pPr>
    </w:p>
    <w:p>
      <w:pPr>
        <w:ind w:right="700" w:firstLine="351"/>
        <w:spacing w:after="0" w:line="370" w:lineRule="auto"/>
        <w:rPr>
          <w:sz w:val="20"/>
          <w:szCs w:val="20"/>
          <w:color w:val="auto"/>
        </w:rPr>
      </w:pPr>
      <w:r>
        <w:rPr>
          <w:rFonts w:ascii="Arial" w:cs="Arial" w:eastAsia="Arial" w:hAnsi="Arial"/>
          <w:sz w:val="15"/>
          <w:szCs w:val="15"/>
          <w:color w:val="auto"/>
        </w:rPr>
        <w:t>In accordance with Marshall Islands law and the provisions of our partnership agreement, we may also issue additional partnership interests that, as determined by our board of directors, have special voting or other rights to which the Common Units or the Series A Preference Units are not entitled.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 in us does not entitle it to receive any portion of the distributions made in respect of the issuance of the Series A Preference Units. Our general partner and its affiliates will have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and its affiliates' percentage interest that existed immediately prior to each issuance. Other holders of Common Units will not have similar pre-emptive rights to acquire additional Common Units or other partnership interests.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Units required to approve the amendment or call a meeting of the limited partners to consider and vote upon the proposed amendment. In addition, holders of Series A Preference Units must approve certain amendments as described under "—Voting Rights." Except as we describe below, an amendment must be approved by a Unit Majority.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3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approved by at least a majority of the type or class of limited partner interests so affected;</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21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(5) above can be amended upon the approval of the holders of at least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90% of the outstanding units voting together as a single class (including units owned by our general partner and its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generally make amendments to our partnership agreement without the approval of any limited partner to reflect:</w:t>
      </w:r>
    </w:p>
    <w:p>
      <w:pPr>
        <w:spacing w:after="0" w:line="262"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38" w:lineRule="exact"/>
        <w:rPr>
          <w:rFonts w:ascii="Arial" w:cs="Arial" w:eastAsia="Arial" w:hAnsi="Arial"/>
          <w:sz w:val="18"/>
          <w:szCs w:val="18"/>
          <w:color w:val="auto"/>
        </w:rPr>
      </w:pPr>
    </w:p>
    <w:p>
      <w:pPr>
        <w:ind w:left="1080" w:right="600" w:hanging="532"/>
        <w:spacing w:after="0" w:line="332"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52" w:lineRule="exact"/>
        <w:rPr>
          <w:rFonts w:ascii="Arial" w:cs="Arial" w:eastAsia="Arial" w:hAnsi="Arial"/>
          <w:sz w:val="16"/>
          <w:szCs w:val="16"/>
          <w:color w:val="auto"/>
        </w:rPr>
      </w:pPr>
    </w:p>
    <w:p>
      <w:pPr>
        <w:ind w:left="1080" w:right="440" w:hanging="532"/>
        <w:spacing w:after="0" w:line="298"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193" w:lineRule="exact"/>
        <w:rPr>
          <w:rFonts w:ascii="Arial" w:cs="Arial" w:eastAsia="Arial" w:hAnsi="Arial"/>
          <w:sz w:val="16"/>
          <w:szCs w:val="16"/>
          <w:color w:val="auto"/>
        </w:rPr>
      </w:pPr>
    </w:p>
    <w:p>
      <w:pPr>
        <w:ind w:left="1080" w:right="180" w:hanging="532"/>
        <w:spacing w:after="0" w:line="25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adjustments of the minimum quarterly distribution, first target distribution, second target distribution and third target distribution in connection with the reset of our incentive distribution rights;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implementation of the provisions relating to GasLog's right to reset the incentive distribution rights in exchange for Common Units;</w:t>
      </w:r>
    </w:p>
    <w:p>
      <w:pPr>
        <w:spacing w:after="0" w:line="275" w:lineRule="exact"/>
        <w:rPr>
          <w:rFonts w:ascii="Arial" w:cs="Arial" w:eastAsia="Arial" w:hAnsi="Arial"/>
          <w:sz w:val="16"/>
          <w:szCs w:val="16"/>
          <w:color w:val="auto"/>
        </w:rPr>
      </w:pPr>
    </w:p>
    <w:p>
      <w:pPr>
        <w:ind w:left="1620" w:right="60" w:hanging="532"/>
        <w:spacing w:after="0" w:line="259" w:lineRule="auto"/>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amendment expressly permitted in the partnership agreement to be made by our board of directors acting alone;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the partnership agreement;</w:t>
      </w:r>
    </w:p>
    <w:p>
      <w:pPr>
        <w:spacing w:after="0" w:line="286" w:lineRule="exact"/>
        <w:rPr>
          <w:rFonts w:ascii="Arial" w:cs="Arial" w:eastAsia="Arial" w:hAnsi="Arial"/>
          <w:sz w:val="15"/>
          <w:szCs w:val="15"/>
          <w:color w:val="auto"/>
        </w:rPr>
      </w:pPr>
    </w:p>
    <w:p>
      <w:pPr>
        <w:ind w:left="1080" w:right="66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amendment to cure any ambiguity, defect or inconsistency;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or our general partner (subject to the limited approval rights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Series A Preference Units and the holders of other Parity Securities (if applicable)) if our board of directors determines that those amendments:</w:t>
      </w:r>
    </w:p>
    <w:p>
      <w:pPr>
        <w:spacing w:after="0" w:line="262"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do not adversely affect the rights of our limited partners (or any particular class of limited partners) or our general partner in any material respect;</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authority or statute;</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21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the partnership agreement or are otherwise contemplated by the partnership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Limited Partner Approval</w:t>
      </w:r>
    </w:p>
    <w:p>
      <w:pPr>
        <w:spacing w:after="0" w:line="225" w:lineRule="exact"/>
        <w:rPr>
          <w:sz w:val="20"/>
          <w:szCs w:val="20"/>
          <w:color w:val="auto"/>
        </w:rPr>
      </w:pPr>
    </w:p>
    <w:p>
      <w:pPr>
        <w:ind w:right="160" w:firstLine="351"/>
        <w:spacing w:after="0" w:line="323" w:lineRule="auto"/>
        <w:rPr>
          <w:sz w:val="20"/>
          <w:szCs w:val="20"/>
          <w:color w:val="auto"/>
        </w:rPr>
      </w:pPr>
      <w:r>
        <w:rPr>
          <w:rFonts w:ascii="Arial" w:cs="Arial" w:eastAsia="Arial" w:hAnsi="Arial"/>
          <w:sz w:val="15"/>
          <w:szCs w:val="15"/>
          <w:color w:val="auto"/>
        </w:rPr>
        <w:t>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15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to the above restrictions, any amendment that would have a material adverse effect on the rights or privileges of any type or class or series of outstanding of limited partner interests (other than Series A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Series A Preference Units will require the approval of at least two-thirds of the outstanding Series A Preference Units.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Conversion or Other Disposition of Assets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and a Unit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election of our general partner and our board of directors to dissolve us, if approved by the holders of units representing a Unit Majority;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any time there are no limited partners, unless we continue without dissolution in accordance with the Marshall Islands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w:t>
      </w:r>
    </w:p>
    <w:p>
      <w:pPr>
        <w:spacing w:after="0" w:line="194"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liquidator may defer liquidation or distribution of our assets for a reasonable period or distribute assets to partners in kind if it determines that a sale would be impractical or would cause undue loss to our partners. In the event of any liquidation, dissolution or winding up of our affairs, whether voluntary or involuntary, holders of the Series A Preference Units will generally have the right to receive the liquidation preference of $25.00 per unit plus an amount equal to all accumulated and unpaid distributions thereon to the date of payment, whether or not declared, before any payments are made to holders of our Common Units or general partner units. A consolidation or merger of us with or into any other entity, individually or in a series of transactions, will not be deemed to be a liquidation, dissolution or winding up of our affairs.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some instances to sell or otherwise transfer all of its general partner interest in us without the approval of the unitholders. See "—Transfer of General Partner Interest" and "—Transfer of Incentive Distribution Rights".</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majority of the outstanding Common Units, voting as separate classes,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w:t>
      </w:r>
    </w:p>
    <w:p>
      <w:pPr>
        <w:spacing w:after="0" w:line="198" w:lineRule="exact"/>
        <w:rPr>
          <w:sz w:val="20"/>
          <w:szCs w:val="20"/>
          <w:color w:val="auto"/>
        </w:rPr>
      </w:pPr>
    </w:p>
    <w:p>
      <w:pPr>
        <w:ind w:right="420" w:firstLine="351"/>
        <w:spacing w:after="0" w:line="255" w:lineRule="auto"/>
        <w:rPr>
          <w:sz w:val="20"/>
          <w:szCs w:val="20"/>
          <w:color w:val="auto"/>
        </w:rPr>
      </w:pPr>
      <w:r>
        <w:rPr>
          <w:rFonts w:ascii="Arial" w:cs="Arial" w:eastAsia="Arial" w:hAnsi="Arial"/>
          <w:sz w:val="15"/>
          <w:szCs w:val="15"/>
          <w:color w:val="auto"/>
        </w:rPr>
        <w:t>Our general partner may not be removed unless that removal is approved by the vote of the holders of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outstanding Common Units, including units held by our general partner and its affiliates, voting together as a single class, and we receive an opinion of counsel regarding limited</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liability. The ownership of more than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 voting as a single class.</w:t>
      </w:r>
    </w:p>
    <w:p>
      <w:pPr>
        <w:spacing w:after="0" w:line="20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72"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142"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for the transfer by our general partner of all, but not less than all, of its general partner interest in us to:</w:t>
      </w:r>
    </w:p>
    <w:p>
      <w:pPr>
        <w:spacing w:after="0" w:line="23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affiliate of our general partner (other than an individual); or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another entity,</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231"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At any time, the members of our general partner may sell or transfer all or part of their respective membership interests in our general partner to an affiliate or a third party without the approval of our unitholders.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 and Series A Preference Units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By transfer of Common Units or Series A Preference Units in accordance with the partnership agreement, each transferee of Common Units or Series A Preference Units automatically is admitted as a limited partner with respect to the Common Units or Series A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211"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 that the transferee has the capacity, power and authority to become bound by the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agree to be bound by the terms and conditions of, and to have executed,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grants power of attorney to officers of our general partner and any liquidator of us as specified in the partnership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give the consents and approvals contained in the partnership agreement.</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are entitled to treat the nominee holder of a Common Unit or a Series A Preference Unit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Common Units and Series A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Until a Common Unit or a Series A Preference Unit has been transferred on our books, we and our transfer agent may treat the record holder of the unit as the absolute owner of such unit for all purposes, except as otherwise required by law or stock exchange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partnership agreement contains specific provisions that are intended to discourage a person or group from attempting to remove GasLog</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Partners GP LLC as our general partner or otherwise change management. If any person or group acquires beneficial ownership of more than 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16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our general partner will have the right to convert its general partner interest into Common Units or to receive cash in exchange for that interest.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If at any time our general partner and its affiliates hold more than 80% of the then-issued and outstanding partnership interests of any class or series, except for the Series A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Common Units to be repurchased by it upon the exercise of this limited call right and has no fiduciary duty in determining whether to exercise this limited call right.</w:t>
      </w:r>
    </w:p>
    <w:p>
      <w:pPr>
        <w:spacing w:after="0" w:line="172" w:lineRule="exact"/>
        <w:rPr>
          <w:sz w:val="20"/>
          <w:szCs w:val="20"/>
          <w:color w:val="auto"/>
        </w:rPr>
      </w:pPr>
    </w:p>
    <w:p>
      <w:pPr>
        <w:jc w:val="both"/>
        <w:ind w:right="340" w:firstLine="341"/>
        <w:spacing w:after="0" w:line="259" w:lineRule="auto"/>
        <w:rPr>
          <w:sz w:val="20"/>
          <w:szCs w:val="20"/>
          <w:color w:val="auto"/>
        </w:rPr>
      </w:pPr>
      <w:r>
        <w:rPr>
          <w:rFonts w:ascii="Arial" w:cs="Arial" w:eastAsia="Arial" w:hAnsi="Arial"/>
          <w:sz w:val="18"/>
          <w:szCs w:val="18"/>
          <w:color w:val="auto"/>
        </w:rPr>
        <w:t>As a result of the general partner's right to purchase outstanding partnership interests, a holder of partnership interests may have the holder's partnership interests (except for the Series A Preference Units) purchased at an undesirable time or price. The tax consequences to a unitholder of the exercise of this call right are the same as a sale by that unitholder of Common Units in the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As of September 29, 2017, our board of directors is comprised of seven persons. Our general partner has appointed four of our seven directors and the common unitholders elected the remaining three directors. Four of our directors meet the independence standards of the NYSE, and three of the four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Under certain limited circumstances, holders of our Series A Preference Units may elect one additional director to serve on our board of directors, at which point our general partner would similarly be entitled, at its election, to appoint one additional director to serve for only as long a period of time as the director elected by the holders of Series A Preference Units.</w:t>
      </w:r>
    </w:p>
    <w:p>
      <w:pPr>
        <w:spacing w:after="0" w:line="194"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212"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name and address of the limited partner or limited partners making the nomination or nominations;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number of Common Units beneficially owned by the limited partner or limited partners;</w:t>
      </w:r>
    </w:p>
    <w:p>
      <w:pPr>
        <w:spacing w:after="0" w:line="238"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written consent of the nominee(s) to serve as a member of our board of directors if so elected;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certification that the nominee(s) qualify as elected board members.</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 entitled to vote on such matter, although additional limited partners interests having special voting rights could be issued. Holders of the Series A Preference Units generally have no voting rights. However, holders of the Series A Preference Units have limited voting rights as described under "—Voting Rights".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194"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We hold a meeting of the limited partners every year to elect one or more members of our board of directors and to vote on any other matters that are properly brought before the meeting. Any action that is required or permitted to be taken by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w:t>
      </w:r>
    </w:p>
    <w:p>
      <w:pPr>
        <w:spacing w:after="0" w:line="2"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person or by proxy at meetings. The holders of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210"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Each record holder of a unit may vote according to the holder's percentage interest in us, although additional limited partner interests having special voting rights could be issued. See "—Issuance of Additional Interests". However, if at any time, any person or group owns beneficially more than 4.9% of any class of units then outstanding, except for Series A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w:t>
      </w:r>
    </w:p>
    <w:p>
      <w:pPr>
        <w:spacing w:after="0" w:line="178"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Common Units or Series A Preference Units under the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Except as described above under "—Limited Liability", the Common Units and Series A Preference Units will be fully paid, and unitholders will not be required to make additional contributions. By transfer of Common Units or Series A Preference Units in accordance with our partnership agreement, each transferee of units will be admitted as a limited partner with respect to the units transferred when such transfer and admission is reflected in our books and records.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person who is or was an officer, director, member, fiduciary or trustee of any entity described in (1), (2) or (3) above;</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fiduciary or trustee of another person at the request of our board of directors, our general partner or any departing general partner;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166"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and related amendments;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CASH DISTRIBUTION POLICY AND RESTRICTIONS ON DISTRIBUTIONS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Our cash distribution policy reflects a judgment that our unitholders will be better served by our distributing our available cash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225"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There is no guarantee that unitholders will receive quarterly distributions from us. Our distribution policy is subject to certain restrictions and may be changed at any time, including:</w:t>
      </w:r>
    </w:p>
    <w:p>
      <w:pPr>
        <w:spacing w:after="0" w:line="199" w:lineRule="exact"/>
        <w:rPr>
          <w:sz w:val="20"/>
          <w:szCs w:val="20"/>
          <w:color w:val="auto"/>
        </w:rPr>
      </w:pPr>
    </w:p>
    <w:p>
      <w:pPr>
        <w:jc w:val="both"/>
        <w:ind w:left="1080" w:right="440" w:hanging="532"/>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221"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will be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w:t>
      </w:r>
    </w:p>
    <w:p>
      <w:pPr>
        <w:spacing w:after="0" w:line="210" w:lineRule="exact"/>
        <w:rPr>
          <w:rFonts w:ascii="Arial" w:cs="Arial" w:eastAsia="Arial" w:hAnsi="Arial"/>
          <w:sz w:val="18"/>
          <w:szCs w:val="18"/>
          <w:color w:val="auto"/>
        </w:rPr>
      </w:pPr>
    </w:p>
    <w:p>
      <w:pPr>
        <w:ind w:left="1080" w:right="60" w:hanging="532"/>
        <w:spacing w:after="0" w:line="291"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unitholders.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w:t>
      </w:r>
    </w:p>
    <w:p>
      <w:pPr>
        <w:spacing w:after="0" w:line="187" w:lineRule="exact"/>
        <w:rPr>
          <w:rFonts w:ascii="Arial" w:cs="Arial" w:eastAsia="Arial" w:hAnsi="Arial"/>
          <w:sz w:val="16"/>
          <w:szCs w:val="16"/>
          <w:color w:val="auto"/>
        </w:rPr>
      </w:pPr>
    </w:p>
    <w:p>
      <w:pPr>
        <w:jc w:val="both"/>
        <w:ind w:left="1080" w:right="160" w:hanging="532"/>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Although our partnership agreement requires us to distribute all of our available cash, our partnership agreement, including provisions contained therein requiring us to make cash distributions, may be amended. Our partnership agreement can be amended with the approval of a majority of the outstanding Common Units. GasLog owns approximately 26.1% of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Common Units and indirectly 2.0% of our general partnership units outstanding as of September 29, 2017.</w:t>
      </w:r>
    </w:p>
    <w:p>
      <w:pPr>
        <w:spacing w:after="0" w:line="239" w:lineRule="exact"/>
        <w:rPr>
          <w:sz w:val="20"/>
          <w:szCs w:val="20"/>
          <w:color w:val="auto"/>
        </w:rPr>
      </w:pPr>
    </w:p>
    <w:p>
      <w:pPr>
        <w:ind w:left="1080" w:right="440" w:hanging="532"/>
        <w:spacing w:after="0" w:line="332"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Under Section 51 of the Marshall Islands Act, we may not make a distribution to you if the distribution would cause our liabilities to exceed the fair value of our assets.</w:t>
      </w:r>
    </w:p>
    <w:p>
      <w:pPr>
        <w:spacing w:after="0" w:line="199" w:lineRule="exact"/>
        <w:rPr>
          <w:rFonts w:ascii="Arial" w:cs="Arial" w:eastAsia="Arial" w:hAnsi="Arial"/>
          <w:sz w:val="18"/>
          <w:szCs w:val="18"/>
          <w:color w:val="auto"/>
        </w:rPr>
      </w:pPr>
    </w:p>
    <w:p>
      <w:pPr>
        <w:ind w:left="1080" w:right="40" w:hanging="532"/>
        <w:spacing w:after="0" w:line="335" w:lineRule="auto"/>
        <w:tabs>
          <w:tab w:leader="none" w:pos="10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"Risk Factors" for a discussion of these factors.</w:t>
      </w:r>
    </w:p>
    <w:p>
      <w:pPr>
        <w:spacing w:after="0" w:line="14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Preference Unit Distributions</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issued 5,750,000 of our Series A Preference Units on May 15, 2017. The Series A Preference Units are senior to all classes of our Common Units and general partner units. From and including May 15, 2017 to, but excluding, June 15, 2027, the distribution rate for the Series A Preference Units will be 8.625% per annum per $25.00 of liquidation preference per unit (equal to $2.15625 per annum per unit). From and including June 15, 2027, the distribution rate will be a floating rate equal to three-month LIBOR plus a spread of 6.31% per annum per $25.00 of liquidation preference per unit. Distributions on Series A Preference Units are cumulative from May 15, 2017 and will be payable on the 15th of March, June, September and December of each year, commencing on September 15, 2017, when, as and if declared by our board of directors out of legally available funds for such purpose. No distribution may be declared or paid or set apart for payment on any Common Units or general partner units unless full cumulative distributions have been or contemporaneously are being paid or provided for on all outstanding Series A Preference Units through the most recent distribution payment date. Holders of the Series A Preference Units will not be entitled to any distribution, whether payable in cash, property or units, in excess of full cumulative distributions.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Within 45 days after the end of each quarter we will distribute all of our available cash (defined below) to unitholders of record on the applicable record date, subject to distributions with respect to Series A Preference Units as described under "—Series A Preference Unit Distributions".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Available Cash</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Available cash generally means, for each fiscal quarter, all cash on hand at the end of the quarter (including our proportionate share of cash on hand of any subsidiaries we do not wholly own):</w:t>
      </w:r>
    </w:p>
    <w:p>
      <w:pPr>
        <w:spacing w:after="0" w:line="199" w:lineRule="exact"/>
        <w:rPr>
          <w:sz w:val="20"/>
          <w:szCs w:val="20"/>
          <w:color w:val="auto"/>
        </w:rPr>
      </w:pPr>
    </w:p>
    <w:p>
      <w:pPr>
        <w:ind w:left="1080" w:right="6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less</w:t>
      </w:r>
      <w:r>
        <w:rPr>
          <w:rFonts w:ascii="Arial" w:cs="Arial" w:eastAsia="Arial" w:hAnsi="Arial"/>
          <w:sz w:val="18"/>
          <w:szCs w:val="18"/>
          <w:color w:val="auto"/>
        </w:rPr>
        <w:t>, the amount of cash reserves (including our proportionate share of cash reserves of any subsidiaries we do not wholly own) established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and our subsidiaries to: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comply with applicable law, any of our debt instruments or other agreements;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provide funds for Series A Preference Unit distributions and Series A Preference Unit redemption payments; and/or</w:t>
      </w:r>
    </w:p>
    <w:p>
      <w:pPr>
        <w:spacing w:after="0" w:line="25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provide funds for distributions to our unitholders and to our general partner for any one or more of the next four quarters (except to the extent establishing such reserves would cause us to not be able to distribute the minimum quarterly distribution (plus any arrearage) for such quarter);</w:t>
      </w:r>
    </w:p>
    <w:p>
      <w:pPr>
        <w:spacing w:after="0" w:line="200" w:lineRule="exact"/>
        <w:rPr>
          <w:sz w:val="20"/>
          <w:szCs w:val="20"/>
          <w:color w:val="auto"/>
        </w:rPr>
      </w:pPr>
    </w:p>
    <w:p>
      <w:pPr>
        <w:sectPr>
          <w:pgSz w:w="11900" w:h="16838" w:orient="portrait"/>
          <w:cols w:equalWidth="0" w:num="2">
            <w:col w:w="1260" w:space="360"/>
            <w:col w:w="9780"/>
          </w:cols>
          <w:pgMar w:left="240" w:top="131" w:right="259" w:bottom="1440" w:gutter="0" w:footer="0" w:header="0"/>
        </w:sectPr>
      </w:pPr>
    </w:p>
    <w:p>
      <w:pPr>
        <w:spacing w:after="0" w:line="224" w:lineRule="exact"/>
        <w:rPr>
          <w:sz w:val="20"/>
          <w:szCs w:val="20"/>
          <w:color w:val="auto"/>
        </w:rPr>
      </w:pPr>
    </w:p>
    <w:p>
      <w:pPr>
        <w:ind w:left="1080" w:hanging="532"/>
        <w:spacing w:after="0" w:line="294"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plus</w:t>
      </w:r>
      <w:r>
        <w:rPr>
          <w:rFonts w:ascii="Arial" w:cs="Arial" w:eastAsia="Arial" w:hAnsi="Arial"/>
          <w:sz w:val="16"/>
          <w:szCs w:val="16"/>
          <w:color w:val="auto"/>
        </w:rPr>
        <w:t>, all cash on hand (including our proportionate share of cash on hand of any subsidiaries we do not wholly own) on the date of determination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available cash for the quarter resulting from (1) working capital borrowings made after the end of the quarter and (2) cash distributions received after the end of the quarter from any equity interest in any person (other than a subsidiary of us), which distributions are paid by such person in respect of operations conducted by such person during such quarter. Working capital borrowings are generally borrowings that are made under a revolving credit facility and in all cases are used solely for working capital purposes or to pay distributions to partners.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Intent to Distribute the Minimum Quarterly Distribution</w:t>
      </w:r>
    </w:p>
    <w:p>
      <w:pPr>
        <w:spacing w:after="0" w:line="225"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intend to distribute to the holders of Common Units on a quarterly basis at least the minimum quarterly distribution of $0.375 per unit, or $1.50 per unit per year, to the extent we have sufficient cash on hand to pay the distribution after we establish cash reserves and pay fees and expenses.</w:t>
      </w:r>
    </w:p>
    <w:p>
      <w:pPr>
        <w:spacing w:after="0" w:line="139"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There is no guarantee that we will pay the minimum quarterly distribution on the Common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We will be effectively prohibited from making any distributions to unitholders if it would cause an event of default, or an event of default is then existing, under our financing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Operating Surplus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surplus for any period generally means:</w:t>
      </w:r>
    </w:p>
    <w:p>
      <w:pPr>
        <w:spacing w:after="0" w:line="23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$19.0 million; </w:t>
      </w:r>
      <w:r>
        <w:rPr>
          <w:rFonts w:ascii="Arial" w:cs="Arial" w:eastAsia="Arial" w:hAnsi="Arial"/>
          <w:sz w:val="18"/>
          <w:szCs w:val="18"/>
          <w:i w:val="1"/>
          <w:iCs w:val="1"/>
          <w:color w:val="auto"/>
        </w:rPr>
        <w:t>plus</w:t>
      </w:r>
    </w:p>
    <w:p>
      <w:pPr>
        <w:spacing w:after="0" w:line="252" w:lineRule="exact"/>
        <w:rPr>
          <w:rFonts w:ascii="Arial" w:cs="Arial" w:eastAsia="Arial" w:hAnsi="Arial"/>
          <w:sz w:val="18"/>
          <w:szCs w:val="18"/>
          <w:color w:val="auto"/>
        </w:rPr>
      </w:pPr>
    </w:p>
    <w:p>
      <w:pPr>
        <w:ind w:left="1080" w:right="40" w:hanging="532"/>
        <w:spacing w:after="0" w:line="302" w:lineRule="auto"/>
        <w:tabs>
          <w:tab w:leader="none" w:pos="10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all of our cash receipts (including our proportionate share of cash receipts of any subsidiaries we do not wholly own; provided, that cash receipts from the termination of an interest rate, currency or commodity hedge contract prior to its specified termination date will be included in operating surplus in equal quarterly installments over the remaining scheduled life of such hedge contract), excluding cash from (1) borrowings, other than working capital borrowings, (2) sales of equity and debt securities, (3) sales or other dispositions of assets outside the ordinary course of business,</w:t>
      </w:r>
    </w:p>
    <w:p>
      <w:pPr>
        <w:spacing w:after="0" w:line="2"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 xml:space="preserve">(4) capital contributions or (5) corporate reorganizations or restructurings; </w:t>
      </w:r>
      <w:r>
        <w:rPr>
          <w:rFonts w:ascii="Arial" w:cs="Arial" w:eastAsia="Arial" w:hAnsi="Arial"/>
          <w:sz w:val="18"/>
          <w:szCs w:val="18"/>
          <w:i w:val="1"/>
          <w:iCs w:val="1"/>
          <w:color w:val="auto"/>
        </w:rPr>
        <w:t>plus</w:t>
      </w:r>
    </w:p>
    <w:p>
      <w:pPr>
        <w:spacing w:after="0" w:line="232"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working capital borrowings (including our proportionate share of working capital borrowings for any subsidiaries we do not wholly own) made after the end of a quarter but before the date of determination of operating surplus for the quarter;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1080" w:right="140" w:hanging="532"/>
        <w:spacing w:after="0" w:line="306"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20"/>
        <w:spacing w:after="0" w:line="370" w:lineRule="auto"/>
        <w:rPr>
          <w:sz w:val="20"/>
          <w:szCs w:val="20"/>
          <w:color w:val="auto"/>
        </w:rPr>
      </w:pPr>
      <w:r>
        <w:rPr>
          <w:rFonts w:ascii="Arial" w:cs="Arial" w:eastAsia="Arial" w:hAnsi="Arial"/>
          <w:sz w:val="15"/>
          <w:szCs w:val="15"/>
          <w:color w:val="auto"/>
        </w:rPr>
        <w:t xml:space="preserve">case, to finance all or any portion of the construction, replacement or improvement of a capital asset (such as a vessel) in respect of the period from such financing until the earlier to occur of the date the capital asset is put into service or the date that it is abandoned or disposed of; </w:t>
      </w:r>
      <w:r>
        <w:rPr>
          <w:rFonts w:ascii="Arial" w:cs="Arial" w:eastAsia="Arial" w:hAnsi="Arial"/>
          <w:sz w:val="15"/>
          <w:szCs w:val="15"/>
          <w:i w:val="1"/>
          <w:iCs w:val="1"/>
          <w:color w:val="auto"/>
        </w:rPr>
        <w:t>plus</w:t>
      </w:r>
    </w:p>
    <w:p>
      <w:pPr>
        <w:spacing w:after="0" w:line="130" w:lineRule="exact"/>
        <w:rPr>
          <w:sz w:val="20"/>
          <w:szCs w:val="20"/>
          <w:color w:val="auto"/>
        </w:rPr>
      </w:pPr>
    </w:p>
    <w:p>
      <w:pPr>
        <w:ind w:left="1080" w:hanging="532"/>
        <w:spacing w:after="0" w:line="294"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 case, to pay the construction period interest on debt incurred (including periodic net payments under related interest rate swap agreements), or to pay construction period distributions on equity issued, to finance the construction projects described in the immediately preceding bullet; </w:t>
      </w:r>
      <w:r>
        <w:rPr>
          <w:rFonts w:ascii="Arial" w:cs="Arial" w:eastAsia="Arial" w:hAnsi="Arial"/>
          <w:sz w:val="16"/>
          <w:szCs w:val="16"/>
          <w:i w:val="1"/>
          <w:iCs w:val="1"/>
          <w:color w:val="auto"/>
        </w:rPr>
        <w:t>less</w:t>
      </w:r>
    </w:p>
    <w:p>
      <w:pPr>
        <w:spacing w:after="0" w:line="196"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all of our "operating expenditures" (which includes estimated maintenance and replacement capital expenditures and is further described below) (including our proportionate share of operating expenditures by any subsidiaries we do not wholly own);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amount of cash reserves (including our proportionate share of cash reserves for any subsidiaries we do not wholly own) established by our board of directors to provide funds for future operating expenditures;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any cash loss realized on dispositions of assets acquired using investment capital expenditures; </w:t>
      </w:r>
      <w:r>
        <w:rPr>
          <w:rFonts w:ascii="Arial" w:cs="Arial" w:eastAsia="Arial" w:hAnsi="Arial"/>
          <w:sz w:val="18"/>
          <w:szCs w:val="18"/>
          <w:i w:val="1"/>
          <w:iCs w:val="1"/>
          <w:color w:val="auto"/>
        </w:rPr>
        <w:t>less</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working capital borrowings (including our proportionate share of working capital borrowings by any subsidiaries we do not wholly own) not repaid within twelve months after having been incurred.</w:t>
      </w:r>
    </w:p>
    <w:p>
      <w:pPr>
        <w:spacing w:after="0" w:line="186"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If a working capital borrowing, which increases operating surplus, is not repaid during the twelve-month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161"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described above, operating surplus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we receive from non-operating sources.</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Operating expenditures generally means all of our cash expenditures, including but not limited to taxes, employee and director compensation, reimbursement of expenses to our general partner, repayment of working capital borrowings, debt service payments and payments made under any interest rate, currency or commodity hedge contracts (provided that payments made in connection with the termination of any hedge contract prior to the expiration of its specified termination date be included in operating expenditures in equal quarterly installments over the remaining scheduled life of such hedge contract) and Series A Preference Unit distributions, provided that operating expenditures will not include:</w:t>
      </w:r>
    </w:p>
    <w:p>
      <w:pPr>
        <w:spacing w:after="0" w:line="183" w:lineRule="exact"/>
        <w:rPr>
          <w:sz w:val="20"/>
          <w:szCs w:val="20"/>
          <w:color w:val="auto"/>
        </w:rPr>
      </w:pPr>
    </w:p>
    <w:p>
      <w:pPr>
        <w:ind w:left="1080" w:right="12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deemed repayments of working capital borrowings deducted from operating surplus pursuant to the last bullet point of the definition of operating surplus above when such repayment actually occurs;</w:t>
      </w:r>
    </w:p>
    <w:p>
      <w:pPr>
        <w:spacing w:after="0" w:line="199" w:lineRule="exact"/>
        <w:rPr>
          <w:rFonts w:ascii="Arial" w:cs="Arial" w:eastAsia="Arial" w:hAnsi="Arial"/>
          <w:sz w:val="18"/>
          <w:szCs w:val="18"/>
          <w:color w:val="auto"/>
        </w:rPr>
      </w:pPr>
    </w:p>
    <w:p>
      <w:pPr>
        <w:ind w:left="5620" w:right="240" w:hanging="5072"/>
        <w:spacing w:after="0" w:line="519" w:lineRule="auto"/>
        <w:tabs>
          <w:tab w:leader="none" w:pos="1082"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payments (including prepayments and payment penalties) of principal of and premium on indebtedness, other than working capital borrowings;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expansion capital expenditures, investment capital expenditures or actual maintenance and replacement capital expenditures (which are discussed in further detail under "—Capital Expenditures" below);</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payment of transaction expenses (including taxes) relating to interim capital transactions;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Series A Preference Unit redemption payments and payments made to holders of Series A Preference Units to purchase or otherwise acquire preference units;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distributions to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Adjusted Operating Surplus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Adjusted operating surplus for any period generally means:</w:t>
      </w:r>
    </w:p>
    <w:p>
      <w:pPr>
        <w:spacing w:after="0" w:line="252" w:lineRule="exact"/>
        <w:rPr>
          <w:sz w:val="20"/>
          <w:szCs w:val="20"/>
          <w:color w:val="auto"/>
        </w:rPr>
      </w:pPr>
    </w:p>
    <w:p>
      <w:pPr>
        <w:ind w:left="1080" w:right="2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operating surplus generated with respect to that period (excluding any amounts attributable to the item described in the first bullet point under "— Operating Surplus and Capital Surplus—Definition of Operating Surplus" above);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amount of any net increase in working capital borrowings (including our proportionate share of any changes in working capital borrowings of any subsidiaries we do not wholly own) with respect to that period;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amount of any net reduction in cash reserves for operating expenditures (including our proportionate share of cash reserves of any subsidiaries we do not wholly own) over that period not relating to an operating expenditure made during that period;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amount of any net decrease in working capital borrowings (including our proportionate share of any changes in working capital borrowings of any subsidiaries we do not wholly own) with respect to that period;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the amount of any net increase in cash reserves for operating expenditures (including our proportionate share of cash reserves of any subsidiaries we do not wholly own) over that period required by any debt instrument for the repayment of principal, interest or premium; </w:t>
      </w:r>
      <w:r>
        <w:rPr>
          <w:rFonts w:ascii="Arial" w:cs="Arial" w:eastAsia="Arial" w:hAnsi="Arial"/>
          <w:sz w:val="16"/>
          <w:szCs w:val="16"/>
          <w:i w:val="1"/>
          <w:iCs w:val="1"/>
          <w:color w:val="auto"/>
        </w:rPr>
        <w:t>plus</w:t>
      </w:r>
    </w:p>
    <w:p>
      <w:pPr>
        <w:spacing w:after="0" w:line="152" w:lineRule="exact"/>
        <w:rPr>
          <w:rFonts w:ascii="Arial" w:cs="Arial" w:eastAsia="Arial" w:hAnsi="Arial"/>
          <w:sz w:val="16"/>
          <w:szCs w:val="16"/>
          <w:color w:val="auto"/>
        </w:rPr>
      </w:pPr>
    </w:p>
    <w:p>
      <w:pPr>
        <w:ind w:left="1080" w:right="200" w:hanging="532"/>
        <w:spacing w:after="0" w:line="332"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amount of any net decrease made in subsequent periods to cash reserves for operating expenditures initially established with respect to such period to the extent such decrease results in a reduction in adjusted operating surplus in subsequent periods.</w:t>
      </w:r>
    </w:p>
    <w:p>
      <w:pPr>
        <w:spacing w:after="0" w:line="139"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Adjusted operating surplus is intended to reflect the cash generated from operations during a particular period and therefore excludes net increases in working capital borrowings and net drawdowns of reserves of cash generated in prior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For purposes of determining operating surplus, capital expenditures are classified as either maintenance and replacement capital expenditures, expansion capital expenditures or investment capital expenditures. Maintenance and replacement capital expenditures are those capital expenditures required to maintain, over the long-term, the operating capacity of or the revenue generated by our capital assets.</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Expansion capital expenditures are those capital expenditures that increase the operating capacity of or the revenue generated by our capital assets. To the extent, however, that capital expenditures associated with acquiring a new vessel or improving an existing vessel increase the revenues or the operating capacity of our fleet, those capital expenditures would be classified as expansion capital expenditures.</w:t>
      </w:r>
    </w:p>
    <w:p>
      <w:pPr>
        <w:spacing w:after="0" w:line="194"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Investment capital expenditures are those capital expenditures that are neither maintenance and replacement capital expenditures nor expansion capital expenditures. Investment capital expenditures largely will consist of capital expenditures made for investment purposes. Examples of investment capital expenditures include traditional capital expenditures for investment purposes, such as purchases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of equity securities, as well as other capital expenditures that might be made in lieu of such traditional investment capital expenditures, such as the acquisition of a capital asset for investment purposes.</w:t>
      </w:r>
    </w:p>
    <w:p>
      <w:pPr>
        <w:spacing w:after="0" w:line="186" w:lineRule="exact"/>
        <w:rPr>
          <w:sz w:val="20"/>
          <w:szCs w:val="20"/>
          <w:color w:val="auto"/>
        </w:rPr>
      </w:pPr>
    </w:p>
    <w:p>
      <w:pPr>
        <w:ind w:right="100" w:firstLine="351"/>
        <w:spacing w:after="0" w:line="310" w:lineRule="auto"/>
        <w:rPr>
          <w:sz w:val="20"/>
          <w:szCs w:val="20"/>
          <w:color w:val="auto"/>
        </w:rPr>
      </w:pPr>
      <w:r>
        <w:rPr>
          <w:rFonts w:ascii="Arial" w:cs="Arial" w:eastAsia="Arial" w:hAnsi="Arial"/>
          <w:sz w:val="15"/>
          <w:szCs w:val="15"/>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(including the amount of any incremental distributions made to the holders of our incentive distribution rights) to finance the acquisition or construction of a replacement vessel and paid in respect of the construction period. We define construction period as the period beginning on the date that we enter into a binding acquisition or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(including the amount of any incremental distributions made to the holders of our incentive distribution rights) will also be considered maintenance and replacement capital expenditures.</w:t>
      </w:r>
    </w:p>
    <w:p>
      <w:pPr>
        <w:spacing w:after="0" w:line="16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Because our maintenance and replacement capital expenditures can be very large and vary significantly in timing, the amount of our actual maintenance and replacement capital expenditures may differ substantially from period to period. In order to avoid these fluctuations having a similar effect on operating surplus, adjusted operating surplus and available cash for distribution to our unitholders, our partnership agreement will require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our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will be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will be prospective only. For a discussion of the amounts we have allocated toward estimated maintenance and replacement capital expenditures, see "Our Cash Distribution Policy and Restrictions on Distributions".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use of estimated maintenance and replacement capital expenditures in calculating operating surplus will have the following effects:</w:t>
      </w:r>
    </w:p>
    <w:p>
      <w:pPr>
        <w:spacing w:after="0" w:line="239" w:lineRule="exact"/>
        <w:rPr>
          <w:sz w:val="20"/>
          <w:szCs w:val="20"/>
          <w:color w:val="auto"/>
        </w:rPr>
      </w:pPr>
    </w:p>
    <w:p>
      <w:pPr>
        <w:ind w:left="1080" w:right="360" w:hanging="532"/>
        <w:spacing w:after="0" w:line="332"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it will reduce the risk that actual maintenance and replacement capital expenditures in any one quarter will be large enough to make operating surplus less than the minimum quarterly distribution to be paid on all the units for that quarter and subsequent quarters;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it may reduce the need for us to borrow to pay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it will be more difficult for us to raise our distribution above the minimum quarterly distribution and pay incentive distributions to GasLog; and</w:t>
      </w:r>
    </w:p>
    <w:p>
      <w:pPr>
        <w:spacing w:after="0" w:line="261" w:lineRule="exact"/>
        <w:rPr>
          <w:rFonts w:ascii="Arial" w:cs="Arial" w:eastAsia="Arial" w:hAnsi="Arial"/>
          <w:sz w:val="16"/>
          <w:szCs w:val="16"/>
          <w:color w:val="auto"/>
        </w:rPr>
      </w:pPr>
    </w:p>
    <w:p>
      <w:pPr>
        <w:jc w:val="both"/>
        <w:ind w:left="1080" w:right="380" w:hanging="532"/>
        <w:spacing w:after="0" w:line="306"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it will reduce the likelihood that a large maintenance and replacement capital expenditure in a period will prevent GasLog from being able to convert some or all of its subordinated units into Common Units since the effect of an estimate is to spread the expected expense over several periods, mitigating the effect of the actual payment of the expenditure on any single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Capital Surplus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Capital surplus generally will be generated only by:</w:t>
      </w:r>
    </w:p>
    <w:p>
      <w:pPr>
        <w:spacing w:after="0" w:line="252"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Characterization of Cash Distributions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does not reflect actual cash on hand that is available for distribution to our unitholders. For example, it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We do not anticipate that we will make any distributions from capital surplus.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 From Operating Surplus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will make distributions of available cash from operating surplus in the following manner, subject to distributions with respect to Series A Preference Units as described under "—Series A Preference Unit Distributions":</w:t>
      </w:r>
    </w:p>
    <w:p>
      <w:pPr>
        <w:spacing w:after="0" w:line="199" w:lineRule="exact"/>
        <w:rPr>
          <w:sz w:val="20"/>
          <w:szCs w:val="20"/>
          <w:color w:val="auto"/>
        </w:rPr>
      </w:pPr>
    </w:p>
    <w:p>
      <w:pPr>
        <w:ind w:left="1080" w:right="10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unit an amount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minimum quarterly distribution for that quarter;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"—General Partner Interest" and "—Incentive Distribution Rights" below.</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units. Our general partner's 2.0% interest, and the percentage of our cash distributions to which it is entitled, will be proportionately reduced if we issue additional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 contribution to us of Common Units based on the current market value of the contributed Common Units.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GasLog will hold the incentive distribution rights following completion of the offering. The incentive distribution rights may be transferred separately from any other interests, subject to restrictions in the partnership agreement. Except for transfers of incentive distribution rights to an affiliate or another entity as part of a merger or consolidation with or into, or sale of substantially all of the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2019. Any transfer by GasLog of the incentive distribution rights would not change the percentage allocations of quarterly distributions with respect to such rights.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for any quarter:</w:t>
      </w:r>
    </w:p>
    <w:p>
      <w:pPr>
        <w:spacing w:after="0" w:line="239" w:lineRule="exact"/>
        <w:rPr>
          <w:sz w:val="20"/>
          <w:szCs w:val="20"/>
          <w:color w:val="auto"/>
        </w:rPr>
      </w:pPr>
    </w:p>
    <w:p>
      <w:pPr>
        <w:ind w:left="1080" w:right="22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to the common unitholders in an amount equal to the minimum quarterly distribution; and</w:t>
      </w:r>
    </w:p>
    <w:p>
      <w:pPr>
        <w:spacing w:after="0" w:line="21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on outstanding Common Units in an amount necessary to eliminate any cumulative arrearages in payment of the minimum quarterly distribution; then, we will distribute any additional available cash from operating surplus for that quarter among the unitholders and our general partner in the following manner:</w:t>
      </w:r>
    </w:p>
    <w:p>
      <w:pPr>
        <w:spacing w:after="0" w:line="207"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each unitholder receives a total of $0.43125 per unit for</w:t>
      </w:r>
      <w:r>
        <w:rPr>
          <w:rFonts w:ascii="Arial" w:cs="Arial" w:eastAsia="Arial" w:hAnsi="Arial"/>
          <w:sz w:val="18"/>
          <w:szCs w:val="18"/>
          <w:i w:val="1"/>
          <w:iCs w:val="1"/>
          <w:color w:val="auto"/>
        </w:rPr>
        <w:t xml:space="preserve"> </w:t>
      </w:r>
      <w:r>
        <w:rPr>
          <w:rFonts w:ascii="Arial" w:cs="Arial" w:eastAsia="Arial" w:hAnsi="Arial"/>
          <w:sz w:val="18"/>
          <w:szCs w:val="18"/>
          <w:color w:val="auto"/>
        </w:rPr>
        <w:t>that quarter (the "first target distribution");</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85.0% to the common unitholders, pro rata, 2.0% to our general partner and 13.0%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 total of $0.46875 per unit for that quarter (the "second target distribution");</w:t>
      </w:r>
    </w:p>
    <w:p>
      <w:pPr>
        <w:spacing w:after="0" w:line="166"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75.0% to the common unitholders, pro rata, 2.0% to our general partner and 23.0%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 total of $0.5625 per unit for that quarter (the "third target distribution"); and</w:t>
      </w:r>
    </w:p>
    <w:p>
      <w:pPr>
        <w:spacing w:after="0" w:line="152"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the common unitholders, pro rata, 2.0% to our general partner and 48.0% to the holders of the incentive distribution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each case, the amount of the target distribution set forth above is exclusive of any distributions to common unitholders to eliminate any cumulative arrearages in payment of the minimum quarterly distribution. The percentage interests set forth above assume that our general partner maintains its 2.0% general partner interest and that we do not issue additional classes of equity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 Allocations of Available Cash From Operating Surplus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among the common unitholders, our general partner and the holders of the incentive distribution rights up to the various target distribution levels. The amounts set forth under "Marginal Percentage Interest in Distributions" are the percentage interests of the common unitholders, our general partner and the holders of the incentive distribution rights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common unitholders, our general partner and the holders of the incentive distribution rights for the minimum quarterly distribution are also applicable to quarterly distribution amounts that are less than the minimum quarterly distribution. The percentage interests shown for our general partner include its 2.0% general partner interest only and assume that our general partner has contributed any capital necessary to maintain its 2.0% general partner interest.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Marginal Percentage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Interest in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Total Quarterly</w:t>
            </w: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Distributions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Distribution</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General</w:t>
            </w:r>
          </w:p>
        </w:tc>
        <w:tc>
          <w:tcPr>
            <w:tcW w:w="206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9"/>
              </w:rPr>
              <w:t>Holders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Target Amount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Unitholders</w:t>
            </w:r>
          </w:p>
        </w:tc>
        <w:tc>
          <w:tcPr>
            <w:tcW w:w="180" w:type="dxa"/>
            <w:vAlign w:val="bottom"/>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IDRs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860" w:type="dxa"/>
            <w:vAlign w:val="bottom"/>
            <w:gridSpan w:val="3"/>
            <w:shd w:val="clear" w:color="auto" w:fill="CCEEFF"/>
          </w:tcPr>
          <w:p>
            <w:pPr>
              <w:jc w:val="center"/>
              <w:ind w:left="1572"/>
              <w:spacing w:after="0"/>
              <w:rPr>
                <w:sz w:val="20"/>
                <w:szCs w:val="20"/>
                <w:color w:val="auto"/>
              </w:rPr>
            </w:pPr>
            <w:r>
              <w:rPr>
                <w:rFonts w:ascii="Arial" w:cs="Arial" w:eastAsia="Arial" w:hAnsi="Arial"/>
                <w:sz w:val="18"/>
                <w:szCs w:val="18"/>
                <w:color w:val="auto"/>
                <w:w w:val="87"/>
              </w:rPr>
              <w:t>$0.375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up to $0.43125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98.0%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above $0.43125</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up to $0.46875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6"/>
              </w:rPr>
              <w:t>above $0.46875</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up to $0.5625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above $0.5625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GasLog's Right to Reset Incentive Distribution Levels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GasLog, as the initial holder of our incentive distribution rights, has the right under our partnership agreement to elect to relinquish the right of the holders of our incentive distribution rights to receive incentive distribution payments based on the initial cash target distribution levels and to reset, at higher levels, the minimum quarterly distribution amount and cash target distribution levels upon which the incentive distribution payments to GasLog would be set. GasLog's right to reset the minimum quarterly distribution amount and the cash target distribution levels upon which the incentive distributions payable to GasLog are based may be exercised, without approval of our unitholders or the conflicts committee of our board of directors, at any time when we have made cash distributions to the holders of the incentive distribution rights at the highest level of incentive distribution for each of the prior four consecutive fiscal quarters. If at the time of any election to reset the minimum quarterly distribution amount and the cash target distribution levels GasLog and its affiliates are not the holders of a majority of the incentive distribution rights, then any such election to reset shall be subject to the prior written concurrence of our board of directors that the conditions described in the immediately preceding sentence have been satisfied. The reset minimum quarterly distribution amount and cash target distribution levels will be higher than the minimum quarterly distribution amount and the cash target distribution levels prior to the reset such that there will be no incentive distributions paid under the reset cash target distribution levels until cash distributions per unit following this event increase as described below. We anticipate that GasLog would exercise this reset right in order to facilitate acquisitions or internal growth projects that would otherwise not be sufficiently accretive to cash distributions per Common Unit, taking into account the existing levels of incentive distribution payments being made to GasLog.</w:t>
      </w:r>
    </w:p>
    <w:p>
      <w:pPr>
        <w:spacing w:after="0" w:line="17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connection with the resetting of the minimum quarterly distribution amount and the cash target distribution levels and the corresponding relinquishment by GasLog of incentive distribution payments based on the cash target distribution levels prior to the reset, GasLog will be entitled to receive a number of newly issued Common Units based on a predetermined formula described below that takes into account the "cash parity" value of the average cash distributions related to the incentive distribution rights received by GasLog for the two quarters prior to the reset event as compared to the average cash distributions per Common Unit during this period. We will also issue an additional amount of general partner units in order to maintain the general partner's ownership interest in us relative to the issuance of the additional Common Units.</w:t>
      </w:r>
    </w:p>
    <w:p>
      <w:pPr>
        <w:spacing w:after="0" w:line="17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number of Common Units that GasLog would be entitled to receive from us in connection with a resetting of the minimum quarterly distribution amount and the cash target distribution levels then in effect would be equal to (x) the average amount of cash distributions received by GasLog in respect of its incentive distribution rights during the two consecutive fiscal quarters ended immediately prior to the date of such reset election divided by (y) the average of the amount of cash distributed per Common Unit during each of these two quarters. The issuance of the additional Common Units will be conditioned upon approval of the listing or admission for trading of such Common Units by the national securities exchange on which the Common Units are then listed or admitted for trading.</w:t>
      </w:r>
    </w:p>
    <w:p>
      <w:pPr>
        <w:spacing w:after="0" w:line="170"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Following a reset election, the minimum quarterly distribution amount will be reset to an amount equal to the average cash distribution amount per unit for the two fiscal quarters immediately preceding the reset election (such amount is referred to as the "reset minimum quarterly distribution") and the cash target distribution levels will be reset to be correspondingly higher such that we would distribute all of our available cash from operating surplus for each quarter thereafter as follows:</w:t>
      </w:r>
    </w:p>
    <w:p>
      <w:pPr>
        <w:spacing w:after="0" w:line="211" w:lineRule="exact"/>
        <w:rPr>
          <w:sz w:val="20"/>
          <w:szCs w:val="20"/>
          <w:color w:val="auto"/>
        </w:rPr>
      </w:pPr>
    </w:p>
    <w:p>
      <w:pPr>
        <w:ind w:left="1080" w:right="8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each unitholder receives an amount equal to 115.0%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reset minimum quarterly distribution for that quarter;</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85.0% to the common unitholders, pro rata, 2.0% to our general partner and 13.0%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an amount per unit equal to 125.0% of the reset minimum quarterly distribution for that quarter;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332"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75.0% to the common unitholders, pro rata, 2.0% to our general partner and 23.0%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an amount per unit equal to 150.0% of the reset minimum quarterly distribution for that quarter; and</w:t>
      </w:r>
    </w:p>
    <w:p>
      <w:pPr>
        <w:spacing w:after="0" w:line="166"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the common unitholders, pro rata, 2.0% to our general partner and 48.0% to the holders of the incentive distribution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Distributions From Capital Surplus Will Be Made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make distributions of available cash from capital surplus, if any, in the following manner, subject to distributions with respect to Series A Preference Units as described under "—Series A Preference Unit Distributions":</w:t>
      </w:r>
    </w:p>
    <w:p>
      <w:pPr>
        <w:spacing w:after="0" w:line="199" w:lineRule="exact"/>
        <w:rPr>
          <w:sz w:val="20"/>
          <w:szCs w:val="20"/>
          <w:color w:val="auto"/>
        </w:rPr>
      </w:pPr>
    </w:p>
    <w:p>
      <w:pPr>
        <w:ind w:left="1080" w:right="14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the minimum quarterly distribution is reduced to zero,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98.0% to the common unitholders, pro rata, and 2.0% to our general partner, until we distribute for each Common Unit an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cash from capital surplus equal to any unpaid arrearages in payment of the minimum quarterly distribution on the Common Units;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we will make all distributions of available cash from capital surplus as if they were from operating surplus.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 Distribution from Capital Surplus</w:t>
      </w:r>
    </w:p>
    <w:p>
      <w:pPr>
        <w:spacing w:after="0" w:line="22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partnership agreement treats a distribution of capital surplus as the repayment of the consideration for the issuance of the units, which is a return of capital. Each time a distribution of capital surplus is made, the minimum quarterly distribution and the cash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GasLog to receive incentive distributions. However, any distribution of capital surplus before the minimum quarterly distribution is reduced to zero cannot be applied to the payment of the minimum quarterly distribution or any arrearages.</w:t>
      </w:r>
    </w:p>
    <w:p>
      <w:pPr>
        <w:spacing w:after="0" w:line="19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Once we reduce the minimum quarterly distribution and the cash target distribution levels to zero, we will then make all future distributions 50.0% to the common unitholders, 2.0% to our general partner and 48.0% to the holders of the incentive distribution rights (currently, GasLog). The 2.0% interest shown for our general partner assumes that our general partner maintains its 2.0% general partner interest.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to adjusting the minimum quarterly distribution and cash target distribution levels to reflect a distribution of capital surplus, if we combine our units into fewer units or subdivide our units into a greater number of units, we will proportionately adjust:</w:t>
      </w:r>
    </w:p>
    <w:p>
      <w:pPr>
        <w:spacing w:after="0" w:line="199"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cash target distribution levels;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initial unit price.</w:t>
      </w:r>
    </w:p>
    <w:p>
      <w:pPr>
        <w:spacing w:after="0" w:line="225" w:lineRule="exact"/>
        <w:rPr>
          <w:sz w:val="20"/>
          <w:szCs w:val="20"/>
          <w:color w:val="auto"/>
        </w:rPr>
      </w:pPr>
    </w:p>
    <w:p>
      <w:pPr>
        <w:jc w:val="both"/>
        <w:ind w:right="80" w:firstLine="351"/>
        <w:spacing w:after="0" w:line="332" w:lineRule="auto"/>
        <w:rPr>
          <w:sz w:val="20"/>
          <w:szCs w:val="20"/>
          <w:color w:val="auto"/>
        </w:rPr>
      </w:pPr>
      <w:r>
        <w:rPr>
          <w:rFonts w:ascii="Arial" w:cs="Arial" w:eastAsia="Arial" w:hAnsi="Arial"/>
          <w:sz w:val="16"/>
          <w:szCs w:val="16"/>
          <w:color w:val="auto"/>
        </w:rPr>
        <w:t>For example, if a two-for-one split of the Common Units should occur, the minimum quarterly distribution, the cash target distribution levels and the initial unit price would each be reduced to 50.0% of its initial level. We will not make any adjustment by reason of the issuance of additional units for cash or property.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apply the proceeds of liquidation in the manner set forth below, subject to distributions with respect to Series A Preference Units as described under "—Series A Preference Unit Liquidation Rights".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199" w:lineRule="exact"/>
        <w:rPr>
          <w:sz w:val="20"/>
          <w:szCs w:val="20"/>
          <w:color w:val="auto"/>
        </w:rPr>
      </w:pPr>
    </w:p>
    <w:p>
      <w:pPr>
        <w:ind w:left="1080" w:right="30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any arrearages in payment of the minimum quarterly distribution on the Common Units for any prior quarters during the subordination period;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right="340" w:firstLine="548"/>
        <w:spacing w:after="0" w:line="501"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initial unit price (less any prior capital surplus distributions and any prior cash distributions made in connection with a partial liquidation); then the proceeds of the liquidation will be applied as follows:</w:t>
      </w:r>
    </w:p>
    <w:p>
      <w:pPr>
        <w:spacing w:after="0" w:line="13"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current market price of our common units;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50.0% to the common unitholders, pro rata, 48.0% to holders of incentive distribution rights and 2.0% to our general partner.</w:t>
      </w:r>
    </w:p>
    <w:p>
      <w:pPr>
        <w:spacing w:after="0" w:line="24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as of the date three trading days prior to the announcement of the proposed liquidation, the current market price of our Common Units is equal to or less than the sum of:</w:t>
      </w:r>
    </w:p>
    <w:p>
      <w:pPr>
        <w:spacing w:after="0" w:line="213" w:lineRule="exact"/>
        <w:rPr>
          <w:sz w:val="20"/>
          <w:szCs w:val="20"/>
          <w:color w:val="auto"/>
        </w:rPr>
      </w:pPr>
    </w:p>
    <w:p>
      <w:pPr>
        <w:ind w:left="1080" w:right="30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any arrearages in payment of the minimum quarterly distribution on the Common Units for any prior quarters during the subordination period;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right="340" w:firstLine="548"/>
        <w:spacing w:after="0" w:line="501"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initial unit price (less any prior capital surplus distributions and any prior cash distributions made in connection with a partial liquidation); then the proceeds of the liquidation will be applied as follows:</w:t>
      </w:r>
    </w:p>
    <w:p>
      <w:pPr>
        <w:spacing w:after="0" w:line="13"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initial unit price (less any prior capital surplus distributions and any prior cash distributions made in connection with a partial liquidation);</w:t>
      </w:r>
    </w:p>
    <w:p>
      <w:pPr>
        <w:spacing w:after="0" w:line="221"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any arrearages in payment of the minimum quarterly distribution on the Common Units for any prior quarters during the subordination period;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50.0% to the common unitholders, pro rata, 48.0% to holders of incentive distribution rights and 2.0% to our general partner.</w:t>
      </w:r>
    </w:p>
    <w:p>
      <w:pPr>
        <w:spacing w:after="0" w:line="248"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immediately preceding paragraph is based on the assumption that our general partner maintains its 2.0% general partner interest and that we do not issue additional classes of equity securities (other than the Series A Preference Units, which are discussed in the following section).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Preference Unit Liquidation Rights</w:t>
      </w:r>
    </w:p>
    <w:p>
      <w:pPr>
        <w:spacing w:after="0" w:line="231"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holders of Series A Preference Units will be entitled, in the event of a dissolution, to receive the liquidation preference of $25.00 per unit in cash plus an amount equal to accumulated and unpaid distributions thereon to the date fixed for payment of such amount (whether or not declared), and no more, before any distribution will be made to the holders of our Common Units or any other Junior Securities (as defined in the partnership agreement). In the event that our assets available for distribution to holders of the outstanding Series A Preference Units and any other Parity Securities (if applicable) are insufficient to permit payment of all required amounts, our assets then remaining will be distributed among the Series A Preference Units and any Parity Securities, as applicable, ratably 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basis of their relative aggregate liquidation preferences. After payment of all required amounts to the holders of the outstanding Series A Preference Units and other Parity Securities (if applicable), our remaining assets and funds will be distributed among the holders of the common units and any other Junior Securities then outstanding according to their respective rights.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the material U.S. federal income tax considerations that may be relevant to prospective investors in Common Units. The applicable prospectus supplement may also contain information about any material U.S. federal income tax considerations relating to the securities covered by such prospectus supplement.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Marshall Islands tax consequences that may be relevant to prospective investors in Common Units. The applicable prospectus supplement may also contain information about any non-U.S. tax considerations relating to the securities covered by such prospectus supplement.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19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208" w:lineRule="exact"/>
        <w:rPr>
          <w:sz w:val="20"/>
          <w:szCs w:val="20"/>
          <w:color w:val="auto"/>
        </w:rPr>
      </w:pPr>
    </w:p>
    <w:p>
      <w:pPr>
        <w:ind w:left="1080" w:right="36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on the NYSE or any other national securities exchange or U.S. inter-dealer system of a registered national securities association on which our Common Units may be listed or quoted at the time of sale;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settlement of short sales entered into after the date of the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through broker-dealers, who may act as agents or principals;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through sales "at the market" to or through a market-maker;</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as agent but may position and resell a portion of the block as principal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through one or more underwriters on a firm commitment or best-efforts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over the Internet;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any combination of the above.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effecting sales, brokers or dealers engaged by us may arrange for other brokers or dealers to participate. Broker-dealer transactions may include:</w:t>
      </w:r>
    </w:p>
    <w:p>
      <w:pPr>
        <w:spacing w:after="0" w:line="262" w:lineRule="exact"/>
        <w:rPr>
          <w:sz w:val="20"/>
          <w:szCs w:val="20"/>
          <w:color w:val="auto"/>
        </w:rPr>
      </w:pPr>
    </w:p>
    <w:p>
      <w:pPr>
        <w:ind w:left="1080" w:right="64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purchases of the securities by a broker-dealer as principal and resales of the securities by the broker-dealer for its account pursuant to this prospectus;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ordinary brokerage transactions; or</w:t>
      </w:r>
    </w:p>
    <w:p>
      <w:pPr>
        <w:sectPr>
          <w:pgSz w:w="11900" w:h="16838" w:orient="portrait"/>
          <w:cols w:equalWidth="0" w:num="1">
            <w:col w:w="11380"/>
          </w:cols>
          <w:pgMar w:left="240" w:top="131" w:right="27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transactions in which the broker-dealer solicits purchasers.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we may sell any securities covered by this prospectus in private transactions or under Rule 144 of the Securities Act of 1933, as amended, rather than pursuant to this prospectus.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 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174"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172"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any discounts, commissions or concessions allowed or reallowed or paid to dealers and the number of securities being offered by them.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7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370" w:lineRule="auto"/>
        <w:rPr>
          <w:sz w:val="20"/>
          <w:szCs w:val="20"/>
          <w:color w:val="auto"/>
        </w:rPr>
      </w:pPr>
      <w:r>
        <w:rPr>
          <w:rFonts w:ascii="Arial" w:cs="Arial" w:eastAsia="Arial" w:hAnsi="Arial"/>
          <w:sz w:val="15"/>
          <w:szCs w:val="15"/>
          <w:color w:val="auto"/>
        </w:rPr>
        <w:t>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w:t>
      </w:r>
    </w:p>
    <w:p>
      <w:pPr>
        <w:spacing w:after="0" w:line="116"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Pursuant to a requirement by the Financial Industry Regulatory Authority, or "FINRA",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FINRA Rule 5121.</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bear all costs relating to all of the securities being registered under the registration statement of which this prospectus is a part.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are the expenses estimated to be incurred by us in connection with a possible offering of the securities registered under this registration statement.</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86,925</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Printing</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Accountants' Fees and Expenses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 Fees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Miscellaneous Costs</w:t>
            </w:r>
          </w:p>
        </w:tc>
        <w:tc>
          <w:tcPr>
            <w:tcW w:w="2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221" w:lineRule="exact"/>
        <w:rPr>
          <w:sz w:val="20"/>
          <w:szCs w:val="20"/>
          <w:color w:val="auto"/>
        </w:rPr>
      </w:pPr>
    </w:p>
    <w:p>
      <w:pPr>
        <w:ind w:left="2260" w:right="260" w:hanging="540"/>
        <w:spacing w:after="0" w:line="268" w:lineRule="auto"/>
        <w:tabs>
          <w:tab w:leader="none" w:pos="2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be provided by a prospectus supplement or as an exhibit to a Report on Form 6-K that is incorporated by reference into this prospectus.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validity of the securities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consolidated financial statements as of December 31, 2015 and December 31, 2016 and for each of the three years in the period ended December 31, 2016 incorporated in this prospectus by reference from the Company's Current Report on Form 6-K filed on September 29, 2017 have been audited by Deloitte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2 New Street Square, London, EC4A 3BZ, United Kingdom.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$144,040,000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923290</wp:posOffset>
            </wp:positionV>
            <wp:extent cx="18954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160020</wp:posOffset>
            </wp:positionV>
            <wp:extent cx="1337945" cy="6261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3794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360" w:type="dxa"/>
            <w:vAlign w:val="bottom"/>
          </w:tcPr>
          <w:p>
            <w:pPr>
              <w:ind w:left="380"/>
              <w:spacing w:after="0"/>
              <w:rPr>
                <w:sz w:val="20"/>
                <w:szCs w:val="20"/>
                <w:color w:val="auto"/>
              </w:rPr>
            </w:pPr>
            <w:r>
              <w:rPr>
                <w:rFonts w:ascii="Arial" w:cs="Arial" w:eastAsia="Arial" w:hAnsi="Arial"/>
                <w:sz w:val="22"/>
                <w:szCs w:val="22"/>
                <w:b w:val="1"/>
                <w:bCs w:val="1"/>
                <w:color w:val="auto"/>
              </w:rPr>
              <w:t>Credit</w:t>
            </w:r>
          </w:p>
        </w:tc>
        <w:tc>
          <w:tcPr>
            <w:tcW w:w="1480" w:type="dxa"/>
            <w:vAlign w:val="bottom"/>
          </w:tcPr>
          <w:p>
            <w:pPr>
              <w:ind w:left="380"/>
              <w:spacing w:after="0"/>
              <w:rPr>
                <w:sz w:val="20"/>
                <w:szCs w:val="20"/>
                <w:color w:val="auto"/>
              </w:rPr>
            </w:pPr>
            <w:r>
              <w:rPr>
                <w:rFonts w:ascii="Arial" w:cs="Arial" w:eastAsia="Arial" w:hAnsi="Arial"/>
                <w:sz w:val="22"/>
                <w:szCs w:val="22"/>
                <w:b w:val="1"/>
                <w:bCs w:val="1"/>
                <w:color w:val="auto"/>
              </w:rPr>
              <w:t>Morgan</w:t>
            </w:r>
          </w:p>
        </w:tc>
        <w:tc>
          <w:tcPr>
            <w:tcW w:w="3560" w:type="dxa"/>
            <w:vAlign w:val="bottom"/>
          </w:tcPr>
          <w:p>
            <w:pPr>
              <w:spacing w:after="0"/>
              <w:rPr>
                <w:sz w:val="21"/>
                <w:szCs w:val="21"/>
                <w:color w:val="auto"/>
              </w:rPr>
            </w:pPr>
          </w:p>
        </w:tc>
      </w:tr>
      <w:tr>
        <w:trPr>
          <w:trHeight w:val="281"/>
        </w:trPr>
        <w:tc>
          <w:tcPr>
            <w:tcW w:w="2420" w:type="dxa"/>
            <w:vAlign w:val="bottom"/>
          </w:tcPr>
          <w:p>
            <w:pPr>
              <w:ind w:left="1140"/>
              <w:spacing w:after="0"/>
              <w:rPr>
                <w:sz w:val="20"/>
                <w:szCs w:val="20"/>
                <w:color w:val="auto"/>
              </w:rPr>
            </w:pPr>
            <w:r>
              <w:rPr>
                <w:rFonts w:ascii="Arial" w:cs="Arial" w:eastAsia="Arial" w:hAnsi="Arial"/>
                <w:sz w:val="22"/>
                <w:szCs w:val="22"/>
                <w:b w:val="1"/>
                <w:bCs w:val="1"/>
                <w:color w:val="auto"/>
              </w:rPr>
              <w:t>Citigroup</w:t>
            </w:r>
          </w:p>
        </w:tc>
        <w:tc>
          <w:tcPr>
            <w:tcW w:w="2600" w:type="dxa"/>
            <w:vAlign w:val="bottom"/>
          </w:tcPr>
          <w:p>
            <w:pPr>
              <w:ind w:left="360"/>
              <w:spacing w:after="0"/>
              <w:rPr>
                <w:sz w:val="20"/>
                <w:szCs w:val="20"/>
                <w:color w:val="auto"/>
              </w:rPr>
            </w:pPr>
            <w:r>
              <w:rPr>
                <w:rFonts w:ascii="Arial" w:cs="Arial" w:eastAsia="Arial" w:hAnsi="Arial"/>
                <w:sz w:val="22"/>
                <w:szCs w:val="22"/>
                <w:b w:val="1"/>
                <w:bCs w:val="1"/>
                <w:color w:val="auto"/>
              </w:rPr>
              <w:t>BofA Merrill Lynch</w:t>
            </w:r>
          </w:p>
        </w:tc>
        <w:tc>
          <w:tcPr>
            <w:tcW w:w="1360" w:type="dxa"/>
            <w:vAlign w:val="bottom"/>
          </w:tcPr>
          <w:p>
            <w:pPr>
              <w:ind w:left="400"/>
              <w:spacing w:after="0"/>
              <w:rPr>
                <w:sz w:val="20"/>
                <w:szCs w:val="20"/>
                <w:color w:val="auto"/>
              </w:rPr>
            </w:pPr>
            <w:r>
              <w:rPr>
                <w:rFonts w:ascii="Arial" w:cs="Arial" w:eastAsia="Arial" w:hAnsi="Arial"/>
                <w:sz w:val="22"/>
                <w:szCs w:val="22"/>
                <w:b w:val="1"/>
                <w:bCs w:val="1"/>
                <w:color w:val="auto"/>
              </w:rPr>
              <w:t>Suisse</w:t>
            </w:r>
          </w:p>
        </w:tc>
        <w:tc>
          <w:tcPr>
            <w:tcW w:w="1480" w:type="dxa"/>
            <w:vAlign w:val="bottom"/>
          </w:tcPr>
          <w:p>
            <w:pPr>
              <w:ind w:left="400"/>
              <w:spacing w:after="0"/>
              <w:rPr>
                <w:sz w:val="20"/>
                <w:szCs w:val="20"/>
                <w:color w:val="auto"/>
              </w:rPr>
            </w:pPr>
            <w:r>
              <w:rPr>
                <w:rFonts w:ascii="Arial" w:cs="Arial" w:eastAsia="Arial" w:hAnsi="Arial"/>
                <w:sz w:val="22"/>
                <w:szCs w:val="22"/>
                <w:b w:val="1"/>
                <w:bCs w:val="1"/>
                <w:color w:val="auto"/>
              </w:rPr>
              <w:t>Stanley</w:t>
            </w:r>
          </w:p>
        </w:tc>
        <w:tc>
          <w:tcPr>
            <w:tcW w:w="3560" w:type="dxa"/>
            <w:vAlign w:val="bottom"/>
          </w:tcPr>
          <w:p>
            <w:pPr>
              <w:ind w:left="360"/>
              <w:spacing w:after="0"/>
              <w:rPr>
                <w:sz w:val="20"/>
                <w:szCs w:val="20"/>
                <w:color w:val="auto"/>
              </w:rPr>
            </w:pPr>
            <w:r>
              <w:rPr>
                <w:rFonts w:ascii="Arial" w:cs="Arial" w:eastAsia="Arial" w:hAnsi="Arial"/>
                <w:sz w:val="22"/>
                <w:szCs w:val="22"/>
                <w:b w:val="1"/>
                <w:bCs w:val="1"/>
                <w:color w:val="auto"/>
              </w:rPr>
              <w:t>UBS Investment Bank</w:t>
            </w:r>
          </w:p>
        </w:tc>
      </w:tr>
      <w:tr>
        <w:trPr>
          <w:trHeight w:val="206"/>
        </w:trPr>
        <w:tc>
          <w:tcPr>
            <w:tcW w:w="24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r>
      <w:tr>
        <w:trPr>
          <w:trHeight w:val="41"/>
        </w:trPr>
        <w:tc>
          <w:tcPr>
            <w:tcW w:w="242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r>
        <w:trPr>
          <w:trHeight w:val="226"/>
        </w:trPr>
        <w:tc>
          <w:tcPr>
            <w:tcW w:w="242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1)"/>
      <w:numFmt w:val="decimal"/>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decimal"/>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1)"/>
      <w:numFmt w:val="decimal"/>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1"/>
      <w:numFmt w:val="decimal"/>
      <w:start w:val="1"/>
    </w:lvl>
    <w:lvl w:ilvl="1">
      <w:lvlJc w:val="left"/>
      <w:lvlText w:val="**"/>
      <w:numFmt w:val="bullet"/>
      <w:start w:val="1"/>
    </w:lvl>
  </w:abstractNum>
  <w:abstractNum w:abstractNumId="11">
    <w:nsid w:val="235BA861"/>
    <w:multiLevelType w:val="hybridMultilevel"/>
    <w:lvl w:ilvl="0">
      <w:lvlJc w:val="left"/>
      <w:lvlText w:val="(%1)"/>
      <w:numFmt w:val="decimal"/>
      <w:start w:val="5"/>
    </w:lvl>
    <w:lvl w:ilvl="1">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1)"/>
      <w:numFmt w:val="decimal"/>
      <w:start w:val="1"/>
    </w:lvl>
  </w:abstractNum>
  <w:abstractNum w:abstractNumId="22">
    <w:nsid w:val="579BE4F1"/>
    <w:multiLevelType w:val="hybridMultilevel"/>
    <w:lvl w:ilvl="0">
      <w:lvlJc w:val="left"/>
      <w:lvlText w:val="(%1)"/>
      <w:numFmt w:val="decimal"/>
      <w:start w:val="1"/>
    </w:lvl>
    <w:lvl w:ilvl="1">
      <w:lvlJc w:val="left"/>
      <w:lvlText w:val="•"/>
      <w:numFmt w:val="bullet"/>
      <w:start w:val="1"/>
    </w:lvl>
  </w:abstractNum>
  <w:abstractNum w:abstractNumId="23">
    <w:nsid w:val="310C50B3"/>
    <w:multiLevelType w:val="hybridMultilevel"/>
    <w:lvl w:ilvl="0">
      <w:lvlJc w:val="left"/>
      <w:lvlText w:val="(%1)"/>
      <w:numFmt w:val="decimal"/>
      <w:start w:val="10"/>
    </w:lvl>
  </w:abstractNum>
  <w:abstractNum w:abstractNumId="24">
    <w:nsid w:val="5FF87E05"/>
    <w:multiLevelType w:val="hybridMultilevel"/>
    <w:lvl w:ilvl="0">
      <w:lvlJc w:val="left"/>
      <w:lvlText w:val="(%1)"/>
      <w:numFmt w:val="decimal"/>
      <w:start w:val="1"/>
    </w:lvl>
  </w:abstractNum>
  <w:abstractNum w:abstractNumId="25">
    <w:nsid w:val="2F305DEF"/>
    <w:multiLevelType w:val="hybridMultilevel"/>
    <w:lvl w:ilvl="0">
      <w:lvlJc w:val="left"/>
      <w:lvlText w:val="(%1)"/>
      <w:numFmt w:val="decimal"/>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1)"/>
      <w:numFmt w:val="lowerLetter"/>
      <w:start w:val="25"/>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1)"/>
      <w:numFmt w:val="decimal"/>
      <w:start w:val="1"/>
    </w:lvl>
  </w:abstractNum>
  <w:abstractNum w:abstractNumId="33">
    <w:nsid w:val="6590700B"/>
    <w:multiLevelType w:val="hybridMultilevel"/>
    <w:lvl w:ilvl="0">
      <w:lvlJc w:val="left"/>
      <w:lvlText w:val="(%1)"/>
      <w:numFmt w:val="decimal"/>
      <w:start w:val="7"/>
    </w:lvl>
  </w:abstractNum>
  <w:abstractNum w:abstractNumId="34">
    <w:nsid w:val="15014ACB"/>
    <w:multiLevelType w:val="hybridMultilevel"/>
    <w:lvl w:ilvl="0">
      <w:lvlJc w:val="left"/>
      <w:lvlText w:val="(%1)"/>
      <w:numFmt w:val="decimal"/>
      <w:start w:val="1"/>
    </w:lvl>
  </w:abstractNum>
  <w:abstractNum w:abstractNumId="35">
    <w:nsid w:val="5F5E7FD0"/>
    <w:multiLevelType w:val="hybridMultilevel"/>
    <w:lvl w:ilvl="0">
      <w:lvlJc w:val="left"/>
      <w:lvlText w:val="(%1)"/>
      <w:numFmt w:val="lowerRoman"/>
      <w:start w:val="1"/>
    </w:lvl>
  </w:abstractNum>
  <w:abstractNum w:abstractNumId="36">
    <w:nsid w:val="98A3148"/>
    <w:multiLevelType w:val="hybridMultilevel"/>
    <w:lvl w:ilvl="0">
      <w:lvlJc w:val="left"/>
      <w:lvlText w:val="(%1)"/>
      <w:numFmt w:val="lowerRoman"/>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1)"/>
      <w:numFmt w:val="lowerRoman"/>
      <w:start w:val="2"/>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1)"/>
      <w:numFmt w:val="decimal"/>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1)"/>
      <w:numFmt w:val="decimal"/>
      <w:start w:val="1"/>
    </w:lvl>
    <w:lvl w:ilvl="1">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1)"/>
      <w:numFmt w:val="decimal"/>
      <w:start w:val="1"/>
    </w:lvl>
  </w:abstractNum>
  <w:abstractNum w:abstractNumId="69">
    <w:nsid w:val="76272110"/>
    <w:multiLevelType w:val="hybridMultilevel"/>
    <w:lvl w:ilvl="0">
      <w:lvlJc w:val="left"/>
      <w:lvlText w:val="(%1)"/>
      <w:numFmt w:val="decimal"/>
      <w:start w:val="1"/>
    </w:lvl>
    <w:lvl w:ilvl="1">
      <w:lvlJc w:val="left"/>
      <w:lvlText w:val="•"/>
      <w:numFmt w:val="bullet"/>
      <w:start w:val="1"/>
    </w:lvl>
  </w:abstractNum>
  <w:abstractNum w:abstractNumId="70">
    <w:nsid w:val="4C04A8AF"/>
    <w:multiLevelType w:val="hybridMultilevel"/>
    <w:lvl w:ilvl="0">
      <w:lvlJc w:val="left"/>
      <w:lvlText w:val="(%1)"/>
      <w:numFmt w:val="decimal"/>
      <w:start w:val="1"/>
    </w:lvl>
  </w:abstractNum>
  <w:abstractNum w:abstractNumId="71">
    <w:nsid w:val="1716703B"/>
    <w:multiLevelType w:val="hybridMultilevel"/>
    <w:lvl w:ilvl="0">
      <w:lvlJc w:val="left"/>
      <w:lvlText w:val="(%1)"/>
      <w:numFmt w:val="decimal"/>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1)"/>
      <w:numFmt w:val="decimal"/>
      <w:start w:val="1"/>
    </w:lvl>
  </w:abstractNum>
  <w:abstractNum w:abstractNumId="78">
    <w:nsid w:val="4A2AC315"/>
    <w:multiLevelType w:val="hybridMultilevel"/>
    <w:lvl w:ilvl="0">
      <w:lvlJc w:val="left"/>
      <w:lvlText w:val="(%1)"/>
      <w:numFmt w:val="decimal"/>
      <w:start w:val="2"/>
    </w:lvl>
  </w:abstractNum>
  <w:abstractNum w:abstractNumId="79">
    <w:nsid w:val="39EE015C"/>
    <w:multiLevelType w:val="hybridMultilevel"/>
    <w:lvl w:ilvl="0">
      <w:lvlJc w:val="left"/>
      <w:lvlText w:val="(%1)"/>
      <w:numFmt w:val="decimal"/>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abstractNum>
  <w:abstractNum w:abstractNumId="82">
    <w:nsid w:val="43F18422"/>
    <w:multiLevelType w:val="hybridMultilevel"/>
    <w:lvl w:ilvl="0">
      <w:lvlJc w:val="left"/>
      <w:lvlText w:val="•"/>
      <w:numFmt w:val="bullet"/>
      <w:start w:val="1"/>
    </w:lvl>
    <w:lvl w:ilvl="1">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
      <w:numFmt w:val="bullet"/>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
      <w:numFmt w:val="bullet"/>
      <w:start w:val="1"/>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
      <w:numFmt w:val="bullet"/>
      <w:start w:val="1"/>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
      <w:numFmt w:val="bullet"/>
      <w:start w:val="1"/>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
      <w:numFmt w:val="bullet"/>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
      <w:numFmt w:val="bullet"/>
      <w:start w:val="1"/>
    </w:lvl>
  </w:abstractNum>
  <w:abstractNum w:abstractNumId="101">
    <w:nsid w:val="3FA62ACA"/>
    <w:multiLevelType w:val="hybridMultilevel"/>
    <w:lvl w:ilvl="0">
      <w:lvlJc w:val="left"/>
      <w:lvlText w:val="•"/>
      <w:numFmt w:val="bullet"/>
      <w:start w:val="1"/>
    </w:lvl>
  </w:abstractNum>
  <w:abstractNum w:abstractNumId="102">
    <w:nsid w:val="14FCE74E"/>
    <w:multiLevelType w:val="hybridMultilevel"/>
    <w:lvl w:ilvl="0">
      <w:lvlJc w:val="left"/>
      <w:lvlText w:val="•"/>
      <w:numFmt w:val="bullet"/>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2019-12-08T10:25:17Z</dcterms:created>
  <dcterms:modified xsi:type="dcterms:W3CDTF">2019-12-08T10:25:17Z</dcterms:modified>
</cp:coreProperties>
</file>