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146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07" w:lineRule="exact"/>
        <w:rPr>
          <w:sz w:val="24"/>
          <w:szCs w:val="24"/>
          <w:color w:val="auto"/>
        </w:rPr>
      </w:pPr>
    </w:p>
    <w:p>
      <w:pPr>
        <w:spacing w:after="0" w:line="207" w:lineRule="exact"/>
        <w:tabs>
          <w:tab w:leader="none" w:pos="10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p>
    <w:p>
      <w:pPr>
        <w:spacing w:after="0" w:line="27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 w:name="page2"/>
    <w:bookmarkEnd w:id="1"/>
    <w:p>
      <w:pPr>
        <w:ind w:right="200" w:firstLine="324"/>
        <w:spacing w:after="0" w:line="293" w:lineRule="auto"/>
        <w:rPr>
          <w:sz w:val="20"/>
          <w:szCs w:val="20"/>
          <w:color w:val="auto"/>
        </w:rPr>
      </w:pPr>
      <w:r>
        <w:rPr>
          <w:rFonts w:ascii="Arial" w:cs="Arial" w:eastAsia="Arial" w:hAnsi="Arial"/>
          <w:sz w:val="16"/>
          <w:szCs w:val="16"/>
          <w:color w:val="auto"/>
        </w:rPr>
        <w:t>The press release issued by GasLog Partners LP on May 11, 2023 confirming the Series A, B and C Preference Units payable on June 15, 2023 is attached hereto as Exhibit 99.1.</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INCORPORATION BY REFERENCE</w:t>
      </w:r>
    </w:p>
    <w:p>
      <w:pPr>
        <w:spacing w:after="0" w:line="221" w:lineRule="exact"/>
        <w:rPr>
          <w:sz w:val="20"/>
          <w:szCs w:val="20"/>
          <w:color w:val="auto"/>
        </w:rPr>
      </w:pPr>
    </w:p>
    <w:p>
      <w:pPr>
        <w:ind w:firstLine="324"/>
        <w:spacing w:after="0" w:line="297" w:lineRule="auto"/>
        <w:rPr>
          <w:sz w:val="20"/>
          <w:szCs w:val="20"/>
          <w:color w:val="auto"/>
        </w:rPr>
      </w:pPr>
      <w:r>
        <w:rPr>
          <w:rFonts w:ascii="Arial" w:cs="Arial" w:eastAsia="Arial" w:hAnsi="Arial"/>
          <w:sz w:val="15"/>
          <w:szCs w:val="15"/>
          <w:color w:val="auto"/>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EXHIBIT LIST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u w:val="single" w:color="auto"/>
          <w:color w:val="0000EE"/>
        </w:rPr>
        <w:t>99.1</w:t>
      </w:r>
      <w:r>
        <w:rPr>
          <w:sz w:val="20"/>
          <w:szCs w:val="20"/>
          <w:color w:val="auto"/>
        </w:rPr>
        <w:tab/>
      </w:r>
      <w:r>
        <w:rPr>
          <w:rFonts w:ascii="Arial" w:cs="Arial" w:eastAsia="Arial" w:hAnsi="Arial"/>
          <w:sz w:val="14"/>
          <w:szCs w:val="14"/>
          <w:u w:val="single" w:color="auto"/>
          <w:color w:val="0000EE"/>
        </w:rPr>
        <w:t>Press Release dated 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899" w:right="4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PARTNERS LP</w:t>
      </w:r>
    </w:p>
    <w:p>
      <w:pPr>
        <w:spacing w:after="0" w:line="252" w:lineRule="exact"/>
        <w:rPr>
          <w:sz w:val="20"/>
          <w:szCs w:val="20"/>
          <w:color w:val="auto"/>
        </w:rPr>
      </w:pPr>
    </w:p>
    <w:p>
      <w:pPr>
        <w:ind w:left="59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2708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899" w:right="479" w:bottom="1440" w:gutter="0" w:footer="0" w:header="0"/>
        </w:sectPr>
      </w:pPr>
    </w:p>
    <w:bookmarkStart w:id="3" w:name="page4"/>
    <w:bookmarkEnd w:id="3"/>
    <w:p>
      <w:pPr>
        <w:ind w:left="10400"/>
        <w:spacing w:after="0"/>
        <w:rPr>
          <w:sz w:val="20"/>
          <w:szCs w:val="20"/>
          <w:color w:val="auto"/>
        </w:rPr>
      </w:pPr>
      <w:r>
        <w:rPr>
          <w:rFonts w:ascii="Arial" w:cs="Arial" w:eastAsia="Arial" w:hAnsi="Arial"/>
          <w:sz w:val="15"/>
          <w:szCs w:val="15"/>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Declares Distributions on Series A, B and C Preference Units</w:t>
      </w:r>
    </w:p>
    <w:p>
      <w:pPr>
        <w:spacing w:after="0" w:line="221"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b w:val="1"/>
          <w:bCs w:val="1"/>
          <w:color w:val="auto"/>
        </w:rPr>
        <w:t xml:space="preserve">Majuro, Marshall Islands, May 11, 2023, GasLog Partners LP (“GasLog Partners” or the “Partnership”) (NYSE: GLOP), </w:t>
      </w:r>
      <w:r>
        <w:rPr>
          <w:rFonts w:ascii="Arial" w:cs="Arial" w:eastAsia="Arial" w:hAnsi="Arial"/>
          <w:sz w:val="16"/>
          <w:szCs w:val="16"/>
          <w:color w:val="auto"/>
        </w:rPr>
        <w:t>an international owner, operator and</w:t>
      </w:r>
      <w:r>
        <w:rPr>
          <w:rFonts w:ascii="Arial" w:cs="Arial" w:eastAsia="Arial" w:hAnsi="Arial"/>
          <w:sz w:val="16"/>
          <w:szCs w:val="16"/>
          <w:b w:val="1"/>
          <w:bCs w:val="1"/>
          <w:color w:val="auto"/>
        </w:rPr>
        <w:t xml:space="preserve"> </w:t>
      </w:r>
      <w:r>
        <w:rPr>
          <w:rFonts w:ascii="Arial" w:cs="Arial" w:eastAsia="Arial" w:hAnsi="Arial"/>
          <w:sz w:val="16"/>
          <w:szCs w:val="16"/>
          <w:color w:val="auto"/>
        </w:rPr>
        <w:t>acquirer of liquefied natural gas (“LNG”) carriers, today announced the quarterly distributions on its preference units as follows:</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496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Series of Preference Units</w:t>
            </w:r>
          </w:p>
        </w:tc>
        <w:tc>
          <w:tcPr>
            <w:tcW w:w="2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Distribution</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Record Date</w:t>
            </w:r>
          </w:p>
        </w:tc>
        <w:tc>
          <w:tcPr>
            <w:tcW w:w="1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Payment Date</w:t>
            </w:r>
          </w:p>
        </w:tc>
      </w:tr>
      <w:tr>
        <w:trPr>
          <w:trHeight w:val="33"/>
        </w:trPr>
        <w:tc>
          <w:tcPr>
            <w:tcW w:w="48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27"/>
        </w:trPr>
        <w:tc>
          <w:tcPr>
            <w:tcW w:w="49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Series A Cumulative Redeemable Perpetual Fixed to Floating Rate</w:t>
            </w:r>
          </w:p>
        </w:tc>
        <w:tc>
          <w:tcPr>
            <w:tcW w:w="28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$0.5390625 per preference unit</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June 8, 2023</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June 15, 2023</w:t>
            </w:r>
          </w:p>
        </w:tc>
      </w:tr>
      <w:tr>
        <w:trPr>
          <w:trHeight w:val="206"/>
        </w:trPr>
        <w:tc>
          <w:tcPr>
            <w:tcW w:w="49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Preference Units</w:t>
            </w:r>
          </w:p>
        </w:tc>
        <w:tc>
          <w:tcPr>
            <w:tcW w:w="28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r>
      <w:tr>
        <w:trPr>
          <w:trHeight w:val="47"/>
        </w:trPr>
        <w:tc>
          <w:tcPr>
            <w:tcW w:w="48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r>
      <w:tr>
        <w:trPr>
          <w:trHeight w:val="213"/>
        </w:trPr>
        <w:tc>
          <w:tcPr>
            <w:tcW w:w="49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Series B Cumulative Redeemable Perpetual Fixed to Floating Rate</w:t>
            </w:r>
          </w:p>
        </w:tc>
        <w:tc>
          <w:tcPr>
            <w:tcW w:w="28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$0.67375 per preference unit</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June 8, 2023</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June 15, 2023</w:t>
            </w:r>
          </w:p>
        </w:tc>
      </w:tr>
      <w:tr>
        <w:trPr>
          <w:trHeight w:val="206"/>
        </w:trPr>
        <w:tc>
          <w:tcPr>
            <w:tcW w:w="49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Preference Units</w:t>
            </w:r>
          </w:p>
        </w:tc>
        <w:tc>
          <w:tcPr>
            <w:tcW w:w="28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r>
      <w:tr>
        <w:trPr>
          <w:trHeight w:val="46"/>
        </w:trPr>
        <w:tc>
          <w:tcPr>
            <w:tcW w:w="48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r>
      <w:tr>
        <w:trPr>
          <w:trHeight w:val="227"/>
        </w:trPr>
        <w:tc>
          <w:tcPr>
            <w:tcW w:w="49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Series C Cumulative Redeemable Perpetual Fixed to Floating Rate</w:t>
            </w:r>
          </w:p>
        </w:tc>
        <w:tc>
          <w:tcPr>
            <w:tcW w:w="28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$0.53125 per preference unit</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June 8, 2023</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June 15, 2023</w:t>
            </w:r>
          </w:p>
        </w:tc>
      </w:tr>
      <w:tr>
        <w:trPr>
          <w:trHeight w:val="206"/>
        </w:trPr>
        <w:tc>
          <w:tcPr>
            <w:tcW w:w="496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color w:val="auto"/>
              </w:rPr>
              <w:t>Preference Units</w:t>
            </w:r>
          </w:p>
        </w:tc>
        <w:tc>
          <w:tcPr>
            <w:tcW w:w="28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r>
      <w:tr>
        <w:trPr>
          <w:trHeight w:val="33"/>
        </w:trPr>
        <w:tc>
          <w:tcPr>
            <w:tcW w:w="48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595"/>
        </w:trPr>
        <w:tc>
          <w:tcPr>
            <w:tcW w:w="4960" w:type="dxa"/>
            <w:vAlign w:val="bottom"/>
            <w:gridSpan w:val="3"/>
          </w:tcPr>
          <w:p>
            <w:pPr>
              <w:spacing w:after="0"/>
              <w:rPr>
                <w:sz w:val="20"/>
                <w:szCs w:val="20"/>
                <w:color w:val="auto"/>
              </w:rPr>
            </w:pPr>
            <w:r>
              <w:rPr>
                <w:rFonts w:ascii="Arial" w:cs="Arial" w:eastAsia="Arial" w:hAnsi="Arial"/>
                <w:sz w:val="16"/>
                <w:szCs w:val="16"/>
                <w:b w:val="1"/>
                <w:bCs w:val="1"/>
                <w:color w:val="auto"/>
              </w:rPr>
              <w:t>Contacts:</w:t>
            </w:r>
          </w:p>
        </w:tc>
        <w:tc>
          <w:tcPr>
            <w:tcW w:w="2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1"/>
        </w:trPr>
        <w:tc>
          <w:tcPr>
            <w:tcW w:w="4960" w:type="dxa"/>
            <w:vAlign w:val="bottom"/>
            <w:gridSpan w:val="3"/>
          </w:tcPr>
          <w:p>
            <w:pPr>
              <w:spacing w:after="0"/>
              <w:rPr>
                <w:sz w:val="20"/>
                <w:szCs w:val="20"/>
                <w:color w:val="auto"/>
              </w:rPr>
            </w:pPr>
            <w:r>
              <w:rPr>
                <w:rFonts w:ascii="Arial" w:cs="Arial" w:eastAsia="Arial" w:hAnsi="Arial"/>
                <w:sz w:val="16"/>
                <w:szCs w:val="16"/>
                <w:color w:val="auto"/>
              </w:rPr>
              <w:t>Robert Brinberg</w:t>
            </w:r>
          </w:p>
        </w:tc>
        <w:tc>
          <w:tcPr>
            <w:tcW w:w="2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4960" w:type="dxa"/>
            <w:vAlign w:val="bottom"/>
            <w:gridSpan w:val="3"/>
          </w:tcPr>
          <w:p>
            <w:pPr>
              <w:spacing w:after="0"/>
              <w:rPr>
                <w:sz w:val="20"/>
                <w:szCs w:val="20"/>
                <w:color w:val="auto"/>
              </w:rPr>
            </w:pPr>
            <w:r>
              <w:rPr>
                <w:rFonts w:ascii="Arial" w:cs="Arial" w:eastAsia="Arial" w:hAnsi="Arial"/>
                <w:sz w:val="16"/>
                <w:szCs w:val="16"/>
                <w:color w:val="auto"/>
              </w:rPr>
              <w:t>Rose &amp; Company</w:t>
            </w:r>
          </w:p>
        </w:tc>
        <w:tc>
          <w:tcPr>
            <w:tcW w:w="2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6"/>
        </w:trPr>
        <w:tc>
          <w:tcPr>
            <w:tcW w:w="4960" w:type="dxa"/>
            <w:vAlign w:val="bottom"/>
            <w:gridSpan w:val="3"/>
          </w:tcPr>
          <w:p>
            <w:pPr>
              <w:spacing w:after="0"/>
              <w:rPr>
                <w:sz w:val="20"/>
                <w:szCs w:val="20"/>
                <w:color w:val="auto"/>
              </w:rPr>
            </w:pPr>
            <w:r>
              <w:rPr>
                <w:rFonts w:ascii="Arial" w:cs="Arial" w:eastAsia="Arial" w:hAnsi="Arial"/>
                <w:sz w:val="16"/>
                <w:szCs w:val="16"/>
                <w:color w:val="auto"/>
              </w:rPr>
              <w:t>Phone: +1 212-517-0810</w:t>
            </w:r>
          </w:p>
        </w:tc>
        <w:tc>
          <w:tcPr>
            <w:tcW w:w="2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370"/>
        </w:trPr>
        <w:tc>
          <w:tcPr>
            <w:tcW w:w="4960" w:type="dxa"/>
            <w:vAlign w:val="bottom"/>
            <w:gridSpan w:val="3"/>
          </w:tcPr>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gaslog@roseandco.com</w:t>
            </w:r>
          </w:p>
        </w:tc>
        <w:tc>
          <w:tcPr>
            <w:tcW w:w="2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2023-05-11T07:25:21Z</dcterms:created>
  <dcterms:modified xsi:type="dcterms:W3CDTF">2023-05-11T07:25:21Z</dcterms:modified>
</cp:coreProperties>
</file>