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left="14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 PURSUANT TO RULE 13a-16 OR 15d-16 UNDER THE SECURITIES EXCHANGE ACT OF 1934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May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Commission File Number 001-36433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GasLog Partners LP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(Translation of registrant’s name into English)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c/o GasLog LNG Services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69 Akti Miaouli, 18537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Piraeus, Greece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214630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240665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566420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87" w:right="1440" w:bottom="1440" w:gutter="0" w:footer="0" w:header="0"/>
        </w:sectPr>
      </w:pPr>
    </w:p>
    <w:bookmarkStart w:id="1" w:name="page2"/>
    <w:bookmarkEnd w:id="1"/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press release issued by GasLog Partners LP on May 29, 2025 announcing the Series A, B and C Preference Units distributions payable on June 16, 2025 is attached hereto as Exhibit 99.1.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Press Release dated May 29, 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291465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320" w:top="904" w:right="37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29, 2025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GASLOG PARTNERS LP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/s/ Paolo Enoizi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17145</wp:posOffset>
            </wp:positionV>
            <wp:extent cx="3128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Paolo Enoizi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320"/>
        <w:spacing w:after="0"/>
        <w:tabs>
          <w:tab w:leader="none" w:pos="6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Chief Executive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4" w:right="339" w:bottom="1440" w:gutter="0" w:footer="0" w:header="0"/>
        </w:sectPr>
      </w:pPr>
    </w:p>
    <w:bookmarkStart w:id="3" w:name="page4"/>
    <w:bookmarkEnd w:id="3"/>
    <w:p>
      <w:pPr>
        <w:ind w:left="10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GasLog Partners LP Declares Distributions on Series A, B and C Preference Units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Majuro, Marshall Islands, May 29, 2025, GasLog Partners LP (“GasLog Partners” or the “Partnership”) (NYSE: GLOP-PA, GLOP-PB, GLOP-PC)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an international owner, operator and acquirer of liquefied natural gas (“LNG”) carriers, today announced the quarterly distributions on its preference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units as follows: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496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Series of Preference Units</w:t>
            </w:r>
          </w:p>
        </w:tc>
        <w:tc>
          <w:tcPr>
            <w:tcW w:w="28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Distribution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Record Date</w:t>
            </w:r>
          </w:p>
        </w:tc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Payment Date</w:t>
            </w:r>
          </w:p>
        </w:tc>
      </w:tr>
      <w:tr>
        <w:trPr>
          <w:trHeight w:val="191"/>
        </w:trPr>
        <w:tc>
          <w:tcPr>
            <w:tcW w:w="496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Series A Cumulative Redeemable Perpetual Fixed to Floating Rate</w:t>
            </w:r>
          </w:p>
        </w:tc>
        <w:tc>
          <w:tcPr>
            <w:tcW w:w="28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$0.5390625 per preference unit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9, 2025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16, 2025</w:t>
            </w:r>
          </w:p>
        </w:tc>
      </w:tr>
      <w:tr>
        <w:trPr>
          <w:trHeight w:val="234"/>
        </w:trPr>
        <w:tc>
          <w:tcPr>
            <w:tcW w:w="49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496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Series B Cumulative Redeemable Perpetual Fixed to Floating Rate</w:t>
            </w:r>
          </w:p>
        </w:tc>
        <w:tc>
          <w:tcPr>
            <w:tcW w:w="28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$0.6641672 per preference unit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9, 2025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16, 2025</w:t>
            </w:r>
          </w:p>
        </w:tc>
      </w:tr>
      <w:tr>
        <w:trPr>
          <w:trHeight w:val="234"/>
        </w:trPr>
        <w:tc>
          <w:tcPr>
            <w:tcW w:w="49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91"/>
        </w:trPr>
        <w:tc>
          <w:tcPr>
            <w:tcW w:w="496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Series C Cumulative Redeemable Perpetual Fixed to Floating Rate</w:t>
            </w:r>
          </w:p>
        </w:tc>
        <w:tc>
          <w:tcPr>
            <w:tcW w:w="28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$0.6308172 per preference unit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9, 2025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June 16, 2025</w:t>
            </w:r>
          </w:p>
        </w:tc>
      </w:tr>
      <w:tr>
        <w:trPr>
          <w:trHeight w:val="234"/>
        </w:trPr>
        <w:tc>
          <w:tcPr>
            <w:tcW w:w="49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Preference Units</w:t>
            </w:r>
          </w:p>
        </w:tc>
        <w:tc>
          <w:tcPr>
            <w:tcW w:w="2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85"/>
        </w:trPr>
        <w:tc>
          <w:tcPr>
            <w:tcW w:w="4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About GasLog Partners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tcBorders>
              <w:lef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GasLog Partners is an owner, operator and acquirer of LNG carriers. The Partnership’s fleet consists of ten wholly-owned LNG carriers as well as four vessels on bareboat charters, with an average carrying capacity of approximately 159,000 cbm. GasLog Partners is a publicly traded master limited partnership (NYSE: GLOP-PA, GLOP-PB, GLOP-PC) but has elected to be treated as a C corporation for U.S. income tax purposes and therefore its investors receive an Internal Revenue Service Form 1099 with respect to any distributions declared and received. Visit GasLog Partners’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http://www.gaslogmlp.com.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419735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36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2025-05-29T05:11:05Z</dcterms:created>
  <dcterms:modified xsi:type="dcterms:W3CDTF">2025-05-29T05:11:05Z</dcterms:modified>
</cp:coreProperties>
</file>